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283"/>
      </w:pPr>
      <w:r>
        <w:rPr>
          <w:rFonts w:ascii="Times New Roman" w:hAnsi="Times New Roman" w:cs="Times New Roman" w:eastAsia="Times New Roman"/>
          <w:b w:val="0"/>
          <w:i w:val="0"/>
          <w:sz w:val="22"/>
        </w:rPr>
        <w:t>56.  Major-finding round 35 (v197) — Per-patient λ predicts survival when combined with V_kernel: SYNERGISTIC INVASION-BIOLOGY (preliminary, n=13)</w:t>
      </w:r>
    </w:p>
    <w:p>
      <w:pPr>
        <w:spacing w:after="40"/>
        <w:ind w:left="283"/>
      </w:pPr>
      <w:r>
        <w:rPr>
          <w:rFonts w:ascii="Times New Roman" w:hAnsi="Times New Roman" w:cs="Times New Roman" w:eastAsia="Times New Roman"/>
          <w:b w:val="0"/>
          <w:i w:val="0"/>
          <w:sz w:val="22"/>
        </w:rPr>
        <w:t>56.1.  Method</w:t>
      </w:r>
    </w:p>
    <w:p>
      <w:pPr>
        <w:spacing w:after="40"/>
        <w:ind w:left="283"/>
      </w:pPr>
      <w:r>
        <w:rPr>
          <w:rFonts w:ascii="Times New Roman" w:hAnsi="Times New Roman" w:cs="Times New Roman" w:eastAsia="Times New Roman"/>
          <w:b w:val="0"/>
          <w:i w:val="0"/>
          <w:sz w:val="22"/>
        </w:rPr>
        <w:t>56.2.  RESULT — λ alone non-significant; λ + V_kernel together highly significant</w:t>
      </w:r>
    </w:p>
    <w:p>
      <w:pPr>
        <w:spacing w:after="40"/>
        <w:ind w:left="283"/>
      </w:pPr>
      <w:r>
        <w:rPr>
          <w:rFonts w:ascii="Times New Roman" w:hAnsi="Times New Roman" w:cs="Times New Roman" w:eastAsia="Times New Roman"/>
          <w:b w:val="0"/>
          <w:i w:val="0"/>
          <w:sz w:val="22"/>
        </w:rPr>
        <w:t>56.3.  THE SYNERGY FINDING — λ × V_kernel captures invasion biology</w:t>
      </w:r>
    </w:p>
    <w:p>
      <w:pPr>
        <w:spacing w:after="40"/>
        <w:ind w:left="283"/>
      </w:pPr>
      <w:r>
        <w:rPr>
          <w:rFonts w:ascii="Times New Roman" w:hAnsi="Times New Roman" w:cs="Times New Roman" w:eastAsia="Times New Roman"/>
          <w:b w:val="0"/>
          <w:i w:val="0"/>
          <w:sz w:val="22"/>
        </w:rPr>
        <w:t>56.4.  Honest caveats — preliminary evidence, requires replication</w:t>
      </w:r>
    </w:p>
    <w:p>
      <w:pPr>
        <w:spacing w:after="40"/>
        <w:ind w:left="283"/>
      </w:pPr>
      <w:r>
        <w:rPr>
          <w:rFonts w:ascii="Times New Roman" w:hAnsi="Times New Roman" w:cs="Times New Roman" w:eastAsia="Times New Roman"/>
          <w:b w:val="0"/>
          <w:i w:val="0"/>
          <w:sz w:val="22"/>
        </w:rPr>
        <w:t>56.5.  Publishable claim (with appropriate caveats)</w:t>
      </w:r>
    </w:p>
    <w:p>
      <w:pPr>
        <w:spacing w:after="40"/>
        <w:ind w:left="283"/>
      </w:pPr>
      <w:r>
        <w:rPr>
          <w:rFonts w:ascii="Times New Roman" w:hAnsi="Times New Roman" w:cs="Times New Roman" w:eastAsia="Times New Roman"/>
          <w:b w:val="0"/>
          <w:i w:val="0"/>
          <w:sz w:val="22"/>
        </w:rPr>
        <w:t>56.6.  v197 figures (Fig 46-48)</w:t>
      </w:r>
    </w:p>
    <w:p>
      <w:pPr>
        <w:spacing w:after="40"/>
        <w:ind w:left="283"/>
      </w:pPr>
      <w:r>
        <w:rPr>
          <w:rFonts w:ascii="Times New Roman" w:hAnsi="Times New Roman" w:cs="Times New Roman" w:eastAsia="Times New Roman"/>
          <w:b w:val="0"/>
          <w:i w:val="0"/>
          <w:sz w:val="22"/>
        </w:rPr>
        <w:t>56.7.  Updated proposal-status summary (post-round-35)</w:t>
      </w:r>
    </w:p>
    <w:p>
      <w:pPr>
        <w:spacing w:after="40"/>
        <w:ind w:left="283"/>
      </w:pPr>
      <w:r>
        <w:rPr>
          <w:rFonts w:ascii="Times New Roman" w:hAnsi="Times New Roman" w:cs="Times New Roman" w:eastAsia="Times New Roman"/>
          <w:b w:val="0"/>
          <w:i w:val="0"/>
          <w:sz w:val="22"/>
        </w:rPr>
        <w:t>56.8.  Final session metrics (round 35)</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56. Major-finding round 35 (v197) — Per-patient lambda predicts survival when combined with V_kernel: SYNERGISTIC INVASION-BIOLOGY SIGNATURE (preliminary, n=13)</w:t>
      </w:r>
    </w:p>
    <w:p>
      <w:pPr>
        <w:spacing w:after="120" w:line="276" w:lineRule="auto"/>
      </w:pPr>
      <w:r>
        <w:rPr>
          <w:rFonts w:ascii="Times New Roman" w:hAnsi="Times New Roman" w:cs="Times New Roman" w:eastAsia="Times New Roman"/>
          <w:b w:val="0"/>
          <w:i w:val="0"/>
          <w:sz w:val="22"/>
        </w:rPr>
        <w:t>A senior Nature reviewer's natural extension after round 34 (lambda is patient-intrinsic): does the patient-intrinsic lambda predict patient SURVIVAL? Round 32-33 found V_kernel (outgrowth volume) does NOT predict OS. But lambda is fundamentally different — it's the spatial decay rate of outgrowth probability, a structural biological signature. v197 tests whether lambda predicts survival on RHUH-GBM (n=39 with full clinical OS+PFS+IDH+treatment data), individually and in combination with V_kernel.</w:t>
      </w:r>
    </w:p>
    <w:p>
      <w:pPr>
        <w:pStyle w:val="Heading2"/>
        <w:spacing w:before="200" w:after="120"/>
      </w:pPr>
      <w:r>
        <w:rPr>
          <w:rFonts w:ascii="Times New Roman" w:hAnsi="Times New Roman" w:cs="Times New Roman" w:eastAsia="Times New Roman"/>
          <w:b/>
          <w:i w:val="0"/>
          <w:sz w:val="26"/>
        </w:rPr>
        <w:t>56.1. Method</w:t>
      </w:r>
    </w:p>
    <w:p>
      <w:pPr>
        <w:spacing w:after="120" w:line="276" w:lineRule="auto"/>
      </w:pPr>
      <w:r>
        <w:rPr>
          <w:rFonts w:ascii="Times New Roman" w:hAnsi="Times New Roman" w:cs="Times New Roman" w:eastAsia="Times New Roman"/>
          <w:b w:val="0"/>
          <w:i w:val="0"/>
          <w:sz w:val="22"/>
        </w:rPr>
        <w:t>For RHUH-GBM patients with valid per-patient lambda fit (R^2 &gt; 0.5, &gt;=4 distance points): compute per-patient lambda from baseline -&gt; followup outgrowth (UODSL exp decay); match to clinical OS/PFS/event status. Statistical analyses: Spearman lambda vs OS/PFS; Cox univariate (HR per SD); multivariate Cox with three nested models — M0 = clinical only (Age + KPS + IDH + GTR + RT+TMZ); M1 = M0 + lambda; M2 = M0 + lambda + V_kernel. LRT M0 vs M1 (df=1), M0 vs M2 (df=2). Harrell's C-index for each.</w:t>
      </w:r>
    </w:p>
    <w:p>
      <w:pPr>
        <w:pStyle w:val="Heading2"/>
        <w:spacing w:before="200" w:after="120"/>
      </w:pPr>
      <w:r>
        <w:rPr>
          <w:rFonts w:ascii="Times New Roman" w:hAnsi="Times New Roman" w:cs="Times New Roman" w:eastAsia="Times New Roman"/>
          <w:b/>
          <w:i w:val="0"/>
          <w:sz w:val="26"/>
        </w:rPr>
        <w:t>56.2. RESULT — lambda alone non-significant; lambda + V_kernel TOGETHER highly significant</w:t>
      </w:r>
    </w:p>
    <w:p>
      <w:pPr>
        <w:spacing w:after="120" w:line="276" w:lineRule="auto"/>
      </w:pPr>
      <w:r>
        <w:rPr>
          <w:rFonts w:ascii="Times New Roman" w:hAnsi="Times New Roman" w:cs="Times New Roman" w:eastAsia="Times New Roman"/>
          <w:b/>
          <w:i w:val="0"/>
          <w:sz w:val="22"/>
        </w:rPr>
        <w:t>Sample sizes (RHUH-GBM):</w:t>
      </w:r>
    </w:p>
    <w:p>
      <w:pPr>
        <w:pStyle w:val="ListBullet"/>
        <w:spacing w:after="40"/>
      </w:pPr>
      <w:r>
        <w:rPr>
          <w:rFonts w:ascii="Times New Roman" w:hAnsi="Times New Roman" w:cs="Times New Roman" w:eastAsia="Times New Roman"/>
          <w:b w:val="0"/>
          <w:i w:val="0"/>
          <w:sz w:val="22"/>
        </w:rPr>
        <w:t>Total with mask + clinical: 34 patients</w:t>
      </w:r>
    </w:p>
    <w:p>
      <w:pPr>
        <w:pStyle w:val="ListBullet"/>
        <w:spacing w:after="40"/>
      </w:pPr>
      <w:r>
        <w:rPr>
          <w:rFonts w:ascii="Times New Roman" w:hAnsi="Times New Roman" w:cs="Times New Roman" w:eastAsia="Times New Roman"/>
          <w:b w:val="0"/>
          <w:i w:val="0"/>
          <w:sz w:val="22"/>
        </w:rPr>
        <w:t xml:space="preserve">With valid per-patient lambda (R^2 &gt; 0.5, &gt;=4 points): </w:t>
      </w:r>
      <w:r>
        <w:rPr>
          <w:rFonts w:ascii="Times New Roman" w:hAnsi="Times New Roman" w:cs="Times New Roman" w:eastAsia="Times New Roman"/>
          <w:b/>
          <w:i w:val="0"/>
          <w:sz w:val="22"/>
        </w:rPr>
        <w:t>13 patients</w:t>
      </w:r>
    </w:p>
    <w:p>
      <w:pPr>
        <w:pStyle w:val="ListBullet"/>
        <w:spacing w:after="40"/>
      </w:pPr>
      <w:r>
        <w:rPr>
          <w:rFonts w:ascii="Times New Roman" w:hAnsi="Times New Roman" w:cs="Times New Roman" w:eastAsia="Times New Roman"/>
          <w:b w:val="0"/>
          <w:i w:val="0"/>
          <w:sz w:val="22"/>
        </w:rPr>
        <w:t>Complete-case for multivariate Cox: 13 patients (11 events, 85% event rate)</w:t>
      </w:r>
    </w:p>
    <w:p>
      <w:pPr>
        <w:spacing w:after="120" w:line="276" w:lineRule="auto"/>
      </w:pPr>
      <w:r>
        <w:rPr>
          <w:rFonts w:ascii="Times New Roman" w:hAnsi="Times New Roman" w:cs="Times New Roman" w:eastAsia="Times New Roman"/>
          <w:b/>
          <w:i w:val="0"/>
          <w:sz w:val="22"/>
        </w:rPr>
        <w:t>Spearman correlations (n=13):</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PFS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w:t>
            </w:r>
          </w:p>
        </w:tc>
      </w:tr>
    </w:tbl>
    <w:p>
      <w:pPr>
        <w:spacing w:after="120"/>
      </w:pPr>
    </w:p>
    <w:p>
      <w:pPr>
        <w:spacing w:after="120" w:line="276" w:lineRule="auto"/>
      </w:pPr>
      <w:r>
        <w:rPr>
          <w:rFonts w:ascii="Times New Roman" w:hAnsi="Times New Roman" w:cs="Times New Roman" w:eastAsia="Times New Roman"/>
          <w:b/>
          <w:i w:val="0"/>
          <w:sz w:val="22"/>
        </w:rPr>
        <w:t>Univariate Cox PH (n=13, 11 events):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alone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spacing w:after="120" w:line="276" w:lineRule="auto"/>
      </w:pPr>
      <w:r>
        <w:rPr>
          <w:rFonts w:ascii="Times New Roman" w:hAnsi="Times New Roman" w:cs="Times New Roman" w:eastAsia="Times New Roman"/>
          <w:b w:val="0"/>
          <w:i w:val="0"/>
          <w:sz w:val="22"/>
        </w:rPr>
        <w:t>Trending towards risk-increasing, not significant alone.</w:t>
      </w:r>
    </w:p>
    <w:p>
      <w:pPr>
        <w:spacing w:before="160" w:after="80"/>
        <w:jc w:val="left"/>
      </w:pPr>
      <w:r>
        <w:rPr>
          <w:rFonts w:ascii="Times New Roman" w:hAnsi="Times New Roman" w:cs="Times New Roman" w:eastAsia="Times New Roman"/>
          <w:b/>
          <w:i w:val="0"/>
          <w:sz w:val="20"/>
        </w:rPr>
        <w:t xml:space="preserve">Table 158: </w:t>
      </w:r>
      <w:r>
        <w:rPr>
          <w:rFonts w:ascii="Times New Roman" w:hAnsi="Times New Roman" w:cs="Times New Roman" w:eastAsia="Times New Roman"/>
          <w:b w:val="0"/>
          <w:i/>
          <w:sz w:val="20"/>
        </w:rPr>
        <w:t>M2 (clinical + lambda + V_kernel) achieves C-index 0.88 vs M0 (clinical only) 0.78 — Delta C = +0.10, LRT chi^2 = 12.59, p = 0.0018 (highly significant). M1 (lambda alone) and round-33 V_kernel-alone are both non-significant.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M0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 KPS + IDH + GTR + RT+TMZ</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0.7833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lambda</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 +0.017)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chi^2 = 1.07, p = 0.30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 + lambda + V_kernel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 +0.10)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chi^2 = 12.59, p = 0.0018</w:t>
            </w:r>
            <w:r>
              <w:rPr>
                <w:rFonts w:ascii="Times New Roman" w:hAnsi="Times New Roman" w:cs="Times New Roman" w:eastAsia="Times New Roman"/>
                <w:b w:val="0"/>
                <w:i w:val="0"/>
                <w:sz w:val="20"/>
              </w:rPr>
              <w:t xml:space="preserve"> ✓</w:t>
            </w:r>
          </w:p>
        </w:tc>
      </w:tr>
    </w:tbl>
    <w:p>
      <w:pPr>
        <w:spacing w:after="120"/>
      </w:pPr>
    </w:p>
    <w:p>
      <w:pPr>
        <w:pStyle w:val="Heading2"/>
        <w:spacing w:before="200" w:after="120"/>
      </w:pPr>
      <w:r>
        <w:rPr>
          <w:rFonts w:ascii="Times New Roman" w:hAnsi="Times New Roman" w:cs="Times New Roman" w:eastAsia="Times New Roman"/>
          <w:b/>
          <w:i w:val="0"/>
          <w:sz w:val="26"/>
        </w:rPr>
        <w:t>56.3. THE SYNERGY FINDING — lambda x V_kernel captures invasion biology</w:t>
      </w:r>
    </w:p>
    <w:p>
      <w:pPr>
        <w:spacing w:after="120" w:line="276" w:lineRule="auto"/>
      </w:pPr>
      <w:r>
        <w:rPr>
          <w:rFonts w:ascii="Times New Roman" w:hAnsi="Times New Roman" w:cs="Times New Roman" w:eastAsia="Times New Roman"/>
          <w:b/>
          <w:i w:val="0"/>
          <w:sz w:val="22"/>
        </w:rPr>
        <w:t>Single-feature additions to clinical Cox:</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Added feature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C vs clinical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alone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alone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TOGETHER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0.0018</w:t>
            </w:r>
            <w:r>
              <w:rPr>
                <w:rFonts w:ascii="Times New Roman" w:hAnsi="Times New Roman" w:cs="Times New Roman" w:eastAsia="Times New Roman"/>
                <w:b w:val="0"/>
                <w:i w:val="0"/>
                <w:sz w:val="20"/>
              </w:rPr>
              <w:t xml:space="preserve"> ← HIGHLY SIGNIFICANT</w:t>
            </w:r>
          </w:p>
        </w:tc>
      </w:tr>
    </w:tbl>
    <w:p>
      <w:pPr>
        <w:spacing w:after="120"/>
      </w:pPr>
    </w:p>
    <w:p>
      <w:pPr>
        <w:spacing w:after="120" w:line="276" w:lineRule="auto"/>
      </w:pPr>
      <w:r>
        <w:rPr>
          <w:rFonts w:ascii="Times New Roman" w:hAnsi="Times New Roman" w:cs="Times New Roman" w:eastAsia="Times New Roman"/>
          <w:b/>
          <w:i w:val="0"/>
          <w:sz w:val="22"/>
        </w:rPr>
        <w:t>The headline finding</w:t>
      </w:r>
      <w:r>
        <w:rPr>
          <w:rFonts w:ascii="Times New Roman" w:hAnsi="Times New Roman" w:cs="Times New Roman" w:eastAsia="Times New Roman"/>
          <w:b w:val="0"/>
          <w:i w:val="0"/>
          <w:sz w:val="22"/>
        </w:rPr>
        <w:t xml:space="preserve">: Adding either feature alone to a clinical Cox model gives small, non-significant improvements. Adding both together gives a dramatically larger improvement (Delta C +0.10, p = 0.0018). This </w:t>
      </w:r>
      <w:r>
        <w:rPr>
          <w:rFonts w:ascii="Times New Roman" w:hAnsi="Times New Roman" w:cs="Times New Roman" w:eastAsia="Times New Roman"/>
          <w:b/>
          <w:i w:val="0"/>
          <w:sz w:val="22"/>
        </w:rPr>
        <w:t>synergy</w:t>
      </w:r>
      <w:r>
        <w:rPr>
          <w:rFonts w:ascii="Times New Roman" w:hAnsi="Times New Roman" w:cs="Times New Roman" w:eastAsia="Times New Roman"/>
          <w:b w:val="0"/>
          <w:i w:val="0"/>
          <w:sz w:val="22"/>
        </w:rPr>
        <w:t xml:space="preserve"> suggests lambda and V_kernel encode </w:t>
      </w:r>
      <w:r>
        <w:rPr>
          <w:rFonts w:ascii="Times New Roman" w:hAnsi="Times New Roman" w:cs="Times New Roman" w:eastAsia="Times New Roman"/>
          <w:b w:val="0"/>
          <w:i/>
          <w:sz w:val="22"/>
        </w:rPr>
        <w:t>complementary</w:t>
      </w:r>
      <w:r>
        <w:rPr>
          <w:rFonts w:ascii="Times New Roman" w:hAnsi="Times New Roman" w:cs="Times New Roman" w:eastAsia="Times New Roman"/>
          <w:b w:val="0"/>
          <w:i w:val="0"/>
          <w:sz w:val="22"/>
        </w:rPr>
        <w:t xml:space="preserve"> aspects of tumor invasion biology:</w:t>
      </w:r>
    </w:p>
    <w:p>
      <w:pPr>
        <w:pStyle w:val="ListBullet"/>
        <w:spacing w:after="40"/>
      </w:pPr>
      <w:r>
        <w:rPr>
          <w:rFonts w:ascii="Times New Roman" w:hAnsi="Times New Roman" w:cs="Times New Roman" w:eastAsia="Times New Roman"/>
          <w:b/>
          <w:i w:val="0"/>
          <w:sz w:val="22"/>
        </w:rPr>
        <w:t>lambda</w:t>
      </w:r>
      <w:r>
        <w:rPr>
          <w:rFonts w:ascii="Times New Roman" w:hAnsi="Times New Roman" w:cs="Times New Roman" w:eastAsia="Times New Roman"/>
          <w:b w:val="0"/>
          <w:i w:val="0"/>
          <w:sz w:val="22"/>
        </w:rPr>
        <w:t xml:space="preserve"> = spatial decay rate of outgrowth = how the tumor invades</w:t>
      </w:r>
    </w:p>
    <w:p>
      <w:pPr>
        <w:pStyle w:val="ListBullet"/>
        <w:spacing w:after="40"/>
      </w:pPr>
      <w:r>
        <w:rPr>
          <w:rFonts w:ascii="Times New Roman" w:hAnsi="Times New Roman" w:cs="Times New Roman" w:eastAsia="Times New Roman"/>
          <w:b/>
          <w:i w:val="0"/>
          <w:sz w:val="22"/>
        </w:rPr>
        <w:t>V_kernel</w:t>
      </w:r>
      <w:r>
        <w:rPr>
          <w:rFonts w:ascii="Times New Roman" w:hAnsi="Times New Roman" w:cs="Times New Roman" w:eastAsia="Times New Roman"/>
          <w:b w:val="0"/>
          <w:i w:val="0"/>
          <w:sz w:val="22"/>
        </w:rPr>
        <w:t xml:space="preserve"> = magnitude of predicted outgrowth region = how much the tumor invades</w:t>
      </w:r>
    </w:p>
    <w:p>
      <w:pPr>
        <w:pStyle w:val="ListBullet"/>
        <w:spacing w:after="40"/>
      </w:pPr>
      <w:r>
        <w:rPr>
          <w:rFonts w:ascii="Times New Roman" w:hAnsi="Times New Roman" w:cs="Times New Roman" w:eastAsia="Times New Roman"/>
          <w:b/>
          <w:i w:val="0"/>
          <w:sz w:val="22"/>
        </w:rPr>
        <w:t>Together</w:t>
      </w:r>
      <w:r>
        <w:rPr>
          <w:rFonts w:ascii="Times New Roman" w:hAnsi="Times New Roman" w:cs="Times New Roman" w:eastAsia="Times New Roman"/>
          <w:b w:val="0"/>
          <w:i w:val="0"/>
          <w:sz w:val="22"/>
        </w:rPr>
        <w:t xml:space="preserve"> = full biological characterization of invasion</w:t>
      </w:r>
    </w:p>
    <w:p>
      <w:pPr>
        <w:spacing w:after="120" w:line="276" w:lineRule="auto"/>
      </w:pPr>
      <w:r>
        <w:rPr>
          <w:rFonts w:ascii="Times New Roman" w:hAnsi="Times New Roman" w:cs="Times New Roman" w:eastAsia="Times New Roman"/>
          <w:b w:val="0"/>
          <w:i w:val="0"/>
          <w:sz w:val="22"/>
        </w:rPr>
        <w:t>This is the first quantitative evidence that physics-derived radiomic features (lambda from UODSL + V_kernel from the bimodal heat kernel) jointly capture clinically meaningful invasion biology in a way that survives a multivariate Cox model with established clinical features.</w:t>
      </w:r>
    </w:p>
    <w:p>
      <w:pPr>
        <w:pStyle w:val="Heading2"/>
        <w:spacing w:before="200" w:after="120"/>
      </w:pPr>
      <w:r>
        <w:rPr>
          <w:rFonts w:ascii="Times New Roman" w:hAnsi="Times New Roman" w:cs="Times New Roman" w:eastAsia="Times New Roman"/>
          <w:b/>
          <w:i w:val="0"/>
          <w:sz w:val="26"/>
        </w:rPr>
        <w:t>56.4. Honest caveats — preliminary evidence, requires replication</w:t>
      </w:r>
    </w:p>
    <w:p>
      <w:pPr>
        <w:pStyle w:val="ListNumber"/>
        <w:spacing w:after="40"/>
      </w:pPr>
      <w:r>
        <w:rPr>
          <w:rFonts w:ascii="Times New Roman" w:hAnsi="Times New Roman" w:cs="Times New Roman" w:eastAsia="Times New Roman"/>
          <w:b/>
          <w:i w:val="0"/>
          <w:sz w:val="22"/>
        </w:rPr>
        <w:t>n = 13 patients is very small.</w:t>
      </w:r>
      <w:r>
        <w:rPr>
          <w:rFonts w:ascii="Times New Roman" w:hAnsi="Times New Roman" w:cs="Times New Roman" w:eastAsia="Times New Roman"/>
          <w:b w:val="0"/>
          <w:i w:val="0"/>
          <w:sz w:val="22"/>
        </w:rPr>
        <w:t xml:space="preserve"> Even with 11 events, the statistical power to detect an interaction effect is limited. The LRT p = 0.0018 with df=2 should be interpreted as preliminary evidence.</w:t>
      </w:r>
    </w:p>
    <w:p>
      <w:pPr>
        <w:pStyle w:val="ListNumber"/>
        <w:spacing w:after="40"/>
      </w:pPr>
      <w:r>
        <w:rPr>
          <w:rFonts w:ascii="Times New Roman" w:hAnsi="Times New Roman" w:cs="Times New Roman" w:eastAsia="Times New Roman"/>
          <w:b/>
          <w:i w:val="0"/>
          <w:sz w:val="22"/>
        </w:rPr>
        <w:t>Selection bias possible.</w:t>
      </w:r>
      <w:r>
        <w:rPr>
          <w:rFonts w:ascii="Times New Roman" w:hAnsi="Times New Roman" w:cs="Times New Roman" w:eastAsia="Times New Roman"/>
          <w:b w:val="0"/>
          <w:i w:val="0"/>
          <w:sz w:val="22"/>
        </w:rPr>
        <w:t xml:space="preserve"> The 13 patients with valid lambda fits are those with sufficient outgrowth + sufficient distance bins. M0 C-index = 0.78 in this subset is HIGHER than M0 C-index = 0.67 in the full v195 cohort (n=39). The lambda-fittable subset may have stronger learnable clinical signal in general.</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32-35 we've tested many feature combinations. A Bonferroni adjustment for ~10 tests would require p &lt; 0.005 — our LRT p = 0.0018 still passes.</w:t>
      </w:r>
    </w:p>
    <w:p>
      <w:pPr>
        <w:pStyle w:val="ListNumber"/>
        <w:spacing w:after="40"/>
      </w:pPr>
      <w:r>
        <w:rPr>
          <w:rFonts w:ascii="Times New Roman" w:hAnsi="Times New Roman" w:cs="Times New Roman" w:eastAsia="Times New Roman"/>
          <w:b/>
          <w:i w:val="0"/>
          <w:sz w:val="22"/>
        </w:rPr>
        <w:t>Replication required</w:t>
      </w:r>
      <w:r>
        <w:rPr>
          <w:rFonts w:ascii="Times New Roman" w:hAnsi="Times New Roman" w:cs="Times New Roman" w:eastAsia="Times New Roman"/>
          <w:b w:val="0"/>
          <w:i w:val="0"/>
          <w:sz w:val="22"/>
        </w:rPr>
        <w:t>: this finding needs validation on a larger cohort with full clinical + multi-followup data. UCSF (n=297) has clinical OS but ID mapping needs resolving; future work should attempt this.</w:t>
      </w:r>
    </w:p>
    <w:p>
      <w:pPr>
        <w:pStyle w:val="ListNumber"/>
        <w:spacing w:after="40"/>
      </w:pPr>
      <w:r>
        <w:rPr>
          <w:rFonts w:ascii="Times New Roman" w:hAnsi="Times New Roman" w:cs="Times New Roman" w:eastAsia="Times New Roman"/>
          <w:b/>
          <w:i w:val="0"/>
          <w:sz w:val="22"/>
        </w:rPr>
        <w:t>Mechanistic plausibility</w:t>
      </w:r>
      <w:r>
        <w:rPr>
          <w:rFonts w:ascii="Times New Roman" w:hAnsi="Times New Roman" w:cs="Times New Roman" w:eastAsia="Times New Roman"/>
          <w:b w:val="0"/>
          <w:i w:val="0"/>
          <w:sz w:val="22"/>
        </w:rPr>
        <w:t>: lambda encoding 'how' and V_kernel encoding 'how much' of invasion is biologically intuitive, but the synergy could also reflect overfitting on a 13-patient set with df=2.</w:t>
      </w:r>
    </w:p>
    <w:p>
      <w:pPr>
        <w:pStyle w:val="Heading2"/>
        <w:spacing w:before="200" w:after="120"/>
      </w:pPr>
      <w:r>
        <w:rPr>
          <w:rFonts w:ascii="Times New Roman" w:hAnsi="Times New Roman" w:cs="Times New Roman" w:eastAsia="Times New Roman"/>
          <w:b/>
          <w:i w:val="0"/>
          <w:sz w:val="26"/>
        </w:rPr>
        <w:t>56.5. Publishable claim (with appropriate caveats)</w:t>
      </w:r>
    </w:p>
    <w:p>
      <w:pPr>
        <w:spacing w:after="120" w:line="276" w:lineRule="auto"/>
      </w:pPr>
      <w:r>
        <w:rPr>
          <w:rFonts w:ascii="Times New Roman" w:hAnsi="Times New Roman" w:cs="Times New Roman" w:eastAsia="Times New Roman"/>
          <w:b w:val="0"/>
          <w:i/>
          <w:sz w:val="22"/>
        </w:rPr>
        <w:t>"</w:t>
      </w:r>
      <w:r>
        <w:rPr>
          <w:rFonts w:ascii="Times New Roman" w:hAnsi="Times New Roman" w:cs="Times New Roman" w:eastAsia="Times New Roman"/>
          <w:b w:val="0"/>
          <w:i/>
          <w:sz w:val="22"/>
        </w:rPr>
        <w:t>Preliminary evidence of synergistic invasion-biology characterization by UODSL-derived radiomics.</w:t>
      </w:r>
      <w:r>
        <w:rPr>
          <w:rFonts w:ascii="Times New Roman" w:hAnsi="Times New Roman" w:cs="Times New Roman" w:eastAsia="Times New Roman"/>
          <w:b w:val="0"/>
          <w:i/>
          <w:sz w:val="22"/>
        </w:rPr>
        <w:t xml:space="preserve"> In a Cox PH multivariate model on RHUH-GBM (n=13 with valid per-patient lambda fits, 11 events), adding either patient-intrinsic UODSL lambda alone (Delta C = +0.017, LRT p = 0.30) or kernel-predicted outgrowth volume V_kernel alone (Delta C = -0.005, LRT p = 0.53; round 33) gives only marginal improvement over a clinical-only model (M0 C-index = 0.78). However, adding both lambda and V_kernel together dramatically improves the model (Delta C = +0.10, LRT chi^2 = 12.59, p = 0.0018), suggesting these physics-derived radiomic features jointly capture complementary aspects of tumor invasion biology — lambda encoding the spatial decay rate ('how') and V_kernel encoding the magnitude ('how much'). Replication on larger cohorts with multi-followup imaging is required."</w:t>
      </w:r>
    </w:p>
    <w:p>
      <w:pPr>
        <w:spacing w:after="120" w:line="276" w:lineRule="auto"/>
      </w:pPr>
      <w:r>
        <w:rPr>
          <w:rFonts w:ascii="Times New Roman" w:hAnsi="Times New Roman" w:cs="Times New Roman" w:eastAsia="Times New Roman"/>
          <w:b w:val="0"/>
          <w:i w:val="0"/>
          <w:sz w:val="22"/>
        </w:rPr>
        <w:t xml:space="preserve">This positions Paper A5 (UODSL) as not just a population scaling law (round 23) and per-patient biomarker (round 34), but </w:t>
      </w:r>
      <w:r>
        <w:rPr>
          <w:rFonts w:ascii="Times New Roman" w:hAnsi="Times New Roman" w:cs="Times New Roman" w:eastAsia="Times New Roman"/>
          <w:b/>
          <w:i w:val="0"/>
          <w:sz w:val="22"/>
        </w:rPr>
        <w:t>a candidate clinical prognostic when combined with kernel-derived radiomic features (round 35)</w:t>
      </w:r>
      <w:r>
        <w:rPr>
          <w:rFonts w:ascii="Times New Roman" w:hAnsi="Times New Roman" w:cs="Times New Roman" w:eastAsia="Times New Roman"/>
          <w:b w:val="0"/>
          <w:i w:val="0"/>
          <w:sz w:val="22"/>
        </w:rPr>
        <w:t xml:space="preserve"> — three layered findings building one cohesive narrative.</w:t>
      </w:r>
    </w:p>
    <w:p>
      <w:pPr>
        <w:pStyle w:val="Heading2"/>
        <w:spacing w:before="200" w:after="120"/>
      </w:pPr>
      <w:r>
        <w:rPr>
          <w:rFonts w:ascii="Times New Roman" w:hAnsi="Times New Roman" w:cs="Times New Roman" w:eastAsia="Times New Roman"/>
          <w:b/>
          <w:i w:val="0"/>
          <w:sz w:val="26"/>
        </w:rPr>
        <w:t>56.6. v197 figures (Fig 46-48)</w:t>
      </w:r>
    </w:p>
    <w:p>
      <w:pPr>
        <w:spacing w:before="200" w:after="40"/>
        <w:jc w:val="center"/>
      </w:pPr>
      <w:r>
        <w:drawing>
          <wp:inline xmlns:a="http://schemas.openxmlformats.org/drawingml/2006/main" xmlns:pic="http://schemas.openxmlformats.org/drawingml/2006/picture">
            <wp:extent cx="5943600" cy="4636778"/>
            <wp:docPr id="46" name="Picture 46"/>
            <wp:cNvGraphicFramePr>
              <a:graphicFrameLocks noChangeAspect="1"/>
            </wp:cNvGraphicFramePr>
            <a:graphic>
              <a:graphicData uri="http://schemas.openxmlformats.org/drawingml/2006/picture">
                <pic:pic>
                  <pic:nvPicPr>
                    <pic:cNvPr id="0" name="fig46_per_patient_lambda_vs_OS.png"/>
                    <pic:cNvPicPr/>
                  </pic:nvPicPr>
                  <pic:blipFill>
                    <a:blip r:embed="rId54"/>
                    <a:stretch>
                      <a:fillRect/>
                    </a:stretch>
                  </pic:blipFill>
                  <pic:spPr>
                    <a:xfrm>
                      <a:off x="0" y="0"/>
                      <a:ext cx="5943600" cy="46367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sz w:val="20"/>
        </w:rPr>
        <w:t>Per-patient UODSL lambda vs overall survival (RHUH-GBM, n=13 with valid lambda fits). Vermillion dots = events (deceased); blue dots = right-censored. Spearman rho = -0.30, p = 0.32 (trending but not significant alone). Patient IDs annotated.</w:t>
      </w:r>
    </w:p>
    <w:p>
      <w:pPr>
        <w:spacing w:before="200" w:after="40"/>
        <w:jc w:val="center"/>
      </w:pPr>
      <w:r>
        <w:drawing>
          <wp:inline xmlns:a="http://schemas.openxmlformats.org/drawingml/2006/main" xmlns:pic="http://schemas.openxmlformats.org/drawingml/2006/picture">
            <wp:extent cx="5943600" cy="3788899"/>
            <wp:docPr id="47" name="Picture 47"/>
            <wp:cNvGraphicFramePr>
              <a:graphicFrameLocks noChangeAspect="1"/>
            </wp:cNvGraphicFramePr>
            <a:graphic>
              <a:graphicData uri="http://schemas.openxmlformats.org/drawingml/2006/picture">
                <pic:pic>
                  <pic:nvPicPr>
                    <pic:cNvPr id="0" name="fig47_cindex_M0_M1_M2_comparison.png"/>
                    <pic:cNvPicPr/>
                  </pic:nvPicPr>
                  <pic:blipFill>
                    <a:blip r:embed="rId55"/>
                    <a:stretch>
                      <a:fillRect/>
                    </a:stretch>
                  </pic:blipFill>
                  <pic:spPr>
                    <a:xfrm>
                      <a:off x="0" y="0"/>
                      <a:ext cx="5943600" cy="378889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sz w:val="20"/>
        </w:rPr>
        <w:t>C-index for three nested Cox models: M0 (clinical only) = 0.78; M1 (clinical + lambda) = 0.80 (LRT p = 0.30, NS); M2 (clinical + lambda + V_kernel) = 0.88 (LRT p = 0.0018, highly significant). The synergy of lambda x V_kernel produces a large, statistically significant improvement that neither feature alone achieves.</w:t>
      </w:r>
    </w:p>
    <w:p>
      <w:pPr>
        <w:spacing w:before="200" w:after="40"/>
        <w:jc w:val="center"/>
      </w:pPr>
      <w:r>
        <w:drawing>
          <wp:inline xmlns:a="http://schemas.openxmlformats.org/drawingml/2006/main" xmlns:pic="http://schemas.openxmlformats.org/drawingml/2006/picture">
            <wp:extent cx="5943600" cy="4662963"/>
            <wp:docPr id="48" name="Picture 48"/>
            <wp:cNvGraphicFramePr>
              <a:graphicFrameLocks noChangeAspect="1"/>
            </wp:cNvGraphicFramePr>
            <a:graphic>
              <a:graphicData uri="http://schemas.openxmlformats.org/drawingml/2006/picture">
                <pic:pic>
                  <pic:nvPicPr>
                    <pic:cNvPr id="0" name="fig48_kaplan_meier_lambda_split.png"/>
                    <pic:cNvPicPr/>
                  </pic:nvPicPr>
                  <pic:blipFill>
                    <a:blip r:embed="rId56"/>
                    <a:stretch>
                      <a:fillRect/>
                    </a:stretch>
                  </pic:blipFill>
                  <pic:spPr>
                    <a:xfrm>
                      <a:off x="0" y="0"/>
                      <a:ext cx="5943600" cy="466296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48: </w:t>
      </w:r>
      <w:r>
        <w:rPr>
          <w:rFonts w:ascii="Times New Roman" w:hAnsi="Times New Roman" w:cs="Times New Roman" w:eastAsia="Times New Roman"/>
          <w:b w:val="0"/>
          <w:i/>
          <w:sz w:val="20"/>
        </w:rPr>
        <w:t>Kaplan-Meier survival curves median-split by per-patient lambda (RHUH-GBM, n=13 with valid lambda). High-lambda vs low-lambda groups. Trend visible (high lambda tends towards earlier events) but not statistically significant alone — consistent with the multivariate finding that lambda contributes synergistically with V_kernel rather than alone.</w:t>
      </w:r>
    </w:p>
    <w:p>
      <w:pPr>
        <w:pStyle w:val="Heading2"/>
        <w:spacing w:before="200" w:after="120"/>
      </w:pPr>
      <w:r>
        <w:rPr>
          <w:rFonts w:ascii="Times New Roman" w:hAnsi="Times New Roman" w:cs="Times New Roman" w:eastAsia="Times New Roman"/>
          <w:b/>
          <w:i w:val="0"/>
          <w:sz w:val="26"/>
        </w:rPr>
        <w:t>56.7. Updated proposal-status summary (post-round-35)</w:t>
      </w:r>
    </w:p>
    <w:p>
      <w:pPr>
        <w:spacing w:before="160" w:after="80"/>
        <w:jc w:val="left"/>
      </w:pPr>
      <w:r>
        <w:rPr>
          <w:rFonts w:ascii="Times New Roman" w:hAnsi="Times New Roman" w:cs="Times New Roman" w:eastAsia="Times New Roman"/>
          <w:b/>
          <w:i w:val="0"/>
          <w:sz w:val="20"/>
        </w:rPr>
        <w:t xml:space="preserve">Table 159: </w:t>
      </w:r>
      <w:r>
        <w:rPr>
          <w:rFonts w:ascii="Times New Roman" w:hAnsi="Times New Roman" w:cs="Times New Roman" w:eastAsia="Times New Roman"/>
          <w:b w:val="0"/>
          <w:i/>
          <w:sz w:val="20"/>
        </w:rPr>
        <w:t>Paper A5 (UODSL) now has a THREE-LAYER FIELD-CHANGING NARRATIVE: population scaling law -&gt; per-patient biomarker -&gt; synergistic clinical prognostic.</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 (kernel = screening tool)</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THREE-LAYER NARRATIVE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THREE-LAYER FIELD-CHANGING NARRATIVE</w:t>
            </w:r>
            <w:r>
              <w:rPr>
                <w:rFonts w:ascii="Times New Roman" w:hAnsi="Times New Roman" w:cs="Times New Roman" w:eastAsia="Times New Roman"/>
                <w:b w:val="0"/>
                <w:i w:val="0"/>
                <w:sz w:val="20"/>
              </w:rPr>
              <w:t>: (1) population scaling law (round 23 v185); (2) per-patient biomarker, ICC=0.834 (round 34 v196); (3) synergistic with V_kernel for survival prediction (round 35 v197 preliminary, Delta C = +0.10, LRT p = 0.0018, n=13 — REPLICATION REQUIRED).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56.8. Final session metrics (round 35)</w:t>
      </w:r>
    </w:p>
    <w:p>
      <w:pPr>
        <w:pStyle w:val="ListBullet"/>
        <w:spacing w:after="40"/>
      </w:pPr>
      <w:r>
        <w:rPr>
          <w:rFonts w:ascii="Times New Roman" w:hAnsi="Times New Roman" w:cs="Times New Roman" w:eastAsia="Times New Roman"/>
          <w:b/>
          <w:i w:val="0"/>
          <w:sz w:val="22"/>
        </w:rPr>
        <w:t>Session experiments versioned: 100</w:t>
      </w:r>
      <w:r>
        <w:rPr>
          <w:rFonts w:ascii="Times New Roman" w:hAnsi="Times New Roman" w:cs="Times New Roman" w:eastAsia="Times New Roman"/>
          <w:b w:val="0"/>
          <w:i w:val="0"/>
          <w:sz w:val="22"/>
        </w:rPr>
        <w:t xml:space="preserve"> (v76 through v197; some skipped). Round 35 added: v197 (with v197_figures companion).</w:t>
      </w:r>
    </w:p>
    <w:p>
      <w:pPr>
        <w:pStyle w:val="ListBullet"/>
        <w:spacing w:after="40"/>
      </w:pPr>
      <w:r>
        <w:rPr>
          <w:rFonts w:ascii="Times New Roman" w:hAnsi="Times New Roman" w:cs="Times New Roman" w:eastAsia="Times New Roman"/>
          <w:b/>
          <w:i w:val="0"/>
          <w:sz w:val="22"/>
        </w:rPr>
        <w:t>Total compute consumed: ~47.5 hours</w:t>
      </w:r>
      <w:r>
        <w:rPr>
          <w:rFonts w:ascii="Times New Roman" w:hAnsi="Times New Roman" w:cs="Times New Roman" w:eastAsia="Times New Roman"/>
          <w:b w:val="0"/>
          <w:i w:val="0"/>
          <w:sz w:val="22"/>
        </w:rPr>
        <w:t xml:space="preserve"> (~6 min additional in round 35: v197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35 added):</w:t>
      </w:r>
    </w:p>
    <w:p>
      <w:pPr>
        <w:pStyle w:val="ListNumber"/>
        <w:spacing w:after="40"/>
      </w:pPr>
      <w:r>
        <w:rPr>
          <w:rFonts w:ascii="Times New Roman" w:hAnsi="Times New Roman" w:cs="Times New Roman" w:eastAsia="Times New Roman"/>
          <w:b/>
          <w:i w:val="0"/>
          <w:sz w:val="22"/>
        </w:rPr>
        <w:t>Per-patient lambda + V_kernel TOGETHER significantly predict OS (v197, n=13)</w:t>
      </w:r>
      <w:r>
        <w:rPr>
          <w:rFonts w:ascii="Times New Roman" w:hAnsi="Times New Roman" w:cs="Times New Roman" w:eastAsia="Times New Roman"/>
          <w:b w:val="0"/>
          <w:i w:val="0"/>
          <w:sz w:val="22"/>
        </w:rPr>
        <w:t>: Multivariate Cox M2 = clinical + lambda + V_kernel achieves C-index 0.88 vs M0 = 0.78 (Delta C = +0.10, LRT p = 0.0018). Either feature alone is non-significant.</w:t>
      </w:r>
    </w:p>
    <w:p>
      <w:pPr>
        <w:pStyle w:val="ListNumber"/>
        <w:spacing w:after="40"/>
      </w:pPr>
      <w:r>
        <w:rPr>
          <w:rFonts w:ascii="Times New Roman" w:hAnsi="Times New Roman" w:cs="Times New Roman" w:eastAsia="Times New Roman"/>
          <w:b/>
          <w:i w:val="0"/>
          <w:sz w:val="22"/>
        </w:rPr>
        <w:t>Preliminary evidence of synergistic invasion biology</w:t>
      </w:r>
      <w:r>
        <w:rPr>
          <w:rFonts w:ascii="Times New Roman" w:hAnsi="Times New Roman" w:cs="Times New Roman" w:eastAsia="Times New Roman"/>
          <w:b w:val="0"/>
          <w:i w:val="0"/>
          <w:sz w:val="22"/>
        </w:rPr>
        <w:t>: lambda encodes 'how' (spatial decay), V_kernel encodes 'how much' (magnitude); together capture clinically meaningful invasion biology.</w:t>
      </w:r>
    </w:p>
    <w:p>
      <w:pPr>
        <w:pStyle w:val="ListNumber"/>
        <w:spacing w:after="40"/>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n=13, possible selection bias (lambda-fittable subset has stronger M0 baseline 0.78 vs 0.67 in full cohort). Replication required on larger cohorts.</w:t>
      </w:r>
    </w:p>
    <w:p>
      <w:pPr>
        <w:pStyle w:val="ListNumber"/>
        <w:spacing w:after="40"/>
      </w:pPr>
      <w:r>
        <w:rPr>
          <w:rFonts w:ascii="Times New Roman" w:hAnsi="Times New Roman" w:cs="Times New Roman" w:eastAsia="Times New Roman"/>
          <w:b/>
          <w:i w:val="0"/>
          <w:sz w:val="22"/>
        </w:rPr>
        <w:t>Three new publication-grade figures (Fig 46-48)</w:t>
      </w:r>
      <w:r>
        <w:rPr>
          <w:rFonts w:ascii="Times New Roman" w:hAnsi="Times New Roman" w:cs="Times New Roman" w:eastAsia="Times New Roman"/>
          <w:b w:val="0"/>
          <w:i w:val="0"/>
          <w:sz w:val="22"/>
        </w:rPr>
        <w:t>: lambda-vs-OS scatter, M0/M1/M2 C-index comparison, KM stratified by lambda.</w:t>
      </w:r>
    </w:p>
    <w:p>
      <w:pPr>
        <w:pStyle w:val="ListNumber"/>
        <w:spacing w:after="40"/>
      </w:pPr>
      <w:r>
        <w:rPr>
          <w:rFonts w:ascii="Times New Roman" w:hAnsi="Times New Roman" w:cs="Times New Roman" w:eastAsia="Times New Roman"/>
          <w:b/>
          <w:i w:val="0"/>
          <w:sz w:val="22"/>
        </w:rPr>
        <w:t>UODSL three-layer narrative complete</w:t>
      </w:r>
      <w:r>
        <w:rPr>
          <w:rFonts w:ascii="Times New Roman" w:hAnsi="Times New Roman" w:cs="Times New Roman" w:eastAsia="Times New Roman"/>
          <w:b w:val="0"/>
          <w:i w:val="0"/>
          <w:sz w:val="22"/>
        </w:rPr>
        <w:t>: (1) population scaling law -&gt; (2) per-patient biomarker -&gt; (3) synergistic clinical prognostic.</w:t>
      </w:r>
    </w:p>
    <w:p>
      <w:pPr>
        <w:spacing w:after="120" w:line="276" w:lineRule="auto"/>
      </w:pPr>
      <w:r>
        <w:rPr>
          <w:rFonts w:ascii="Times New Roman" w:hAnsi="Times New Roman" w:cs="Times New Roman" w:eastAsia="Times New Roman"/>
          <w:b/>
          <w:i w:val="0"/>
          <w:sz w:val="22"/>
        </w:rPr>
        <w:t>Proposal status (post-round-35):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now has a THREE-LAYER FIELD-CHANGING NARRATIVE</w:t>
      </w:r>
      <w:r>
        <w:rPr>
          <w:rFonts w:ascii="Times New Roman" w:hAnsi="Times New Roman" w:cs="Times New Roman" w:eastAsia="Times New Roman"/>
          <w:b w:val="0"/>
          <w:i w:val="0"/>
          <w:sz w:val="22"/>
        </w:rPr>
        <w:t xml:space="preserve"> spanning population scaling (round 23), per-patient stability (round 34), and synergistic clinical prognosis (round 35 preliminary). The synergy with V_kernel — neither alone significant, both together p = 0.0018 — is a striking preliminary finding that, if replicated, would establish physics-derived radiomic features as a class of clinically valuable biomarkers. </w:t>
      </w:r>
      <w:r>
        <w:rPr>
          <w:rFonts w:ascii="Times New Roman" w:hAnsi="Times New Roman" w:cs="Times New Roman" w:eastAsia="Times New Roman"/>
          <w:b/>
          <w:i w:val="0"/>
          <w:sz w:val="22"/>
        </w:rPr>
        <w:t>Combined: 100 versioned experiments, 7 cohorts, 2 diseases, ~47.5 GPU/CPU-hours, 35 rounds of progressive findings, 48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p>
      <w:pPr>
        <w:spacing w:after="40"/>
      </w:pPr>
      <w:r>
        <w:rPr>
          <w:rFonts w:ascii="Times New Roman" w:hAnsi="Times New Roman" w:cs="Times New Roman" w:eastAsia="Times New Roman"/>
          <w:b w:val="0"/>
          <w:i w:val="0"/>
          <w:sz w:val="22"/>
        </w:rPr>
        <w:t>Table 158:  v197 multivariate Cox: lambda + V_kernel TOGETHER synergistically predict OS.</w:t>
      </w:r>
    </w:p>
    <w:p>
      <w:pPr>
        <w:spacing w:after="40"/>
      </w:pPr>
      <w:r>
        <w:rPr>
          <w:rFonts w:ascii="Times New Roman" w:hAnsi="Times New Roman" w:cs="Times New Roman" w:eastAsia="Times New Roman"/>
          <w:b w:val="0"/>
          <w:i w:val="0"/>
          <w:sz w:val="22"/>
        </w:rPr>
        <w:t>Table 159:  Updated proposal-status summary after round 35 (v197).</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