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CLEC Strategy Backtest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c5282"/>
          <w:sz w:val="36"/>
          <w:szCs w:val="36"/>
        </w:rPr>
        <w:t xml:space="preserve">功能扩展项目需求文档（PRD）</w:t>
      </w:r>
    </w:p>
    <w:p>
      <w:pPr>
        <w:pBdr>
          <w:bottom w:val="single" w:color="1e3a5f" w:sz="6"/>
        </w:pBd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新增标的管理 · 移动均线 · 价格图表 · 信号推送 · 两种熊市策略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文档信息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2026-05-02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目标受众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开发团队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正式需求 · 待评审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clec-strategy-backtest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项目背景与目标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当前 CLEC Strategy Backtest 平台已实现 QQQ / QLD 两种资产的月度回测，支持 5 种投资策略、杠杆建模与 PDF 报告导出。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本次迭代聚焦两大方向：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A. 新增标的管理体系：支持用户自定义 3 倍杠杆基金（TQQQ、KORU 等），含仓位拖拽、移动均线、股价对比图及信号推送。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B. 新增两种熊市策略：「熊市仓位转换型」与「熊市质押借款型」，实现基于回撤/反弹百分比的动态仓位管理。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术语约定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原型基金（Prototype Fund）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用户指定的1倍参考基金，默认 QQQ。用于衡量市场状态与计算回撤/反弹幅度。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杠杆基金（Leveraged Fund）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2倍（如 QLD）或3倍（如 TQQQ）ETF，相对原型基金有杠杆放大效应。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高水位（HWM）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原型基金自回测开始或上次重置以来的历史最高收盘价。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低水位（LWM）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从高水位下跌后，原型基金历史最低收盘价（用于判断反弹）。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回撤（Drawdown）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(HWM - 当前价) / HWM，触发卖出/转换/借款操作的关键指标。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反弹（Recovery）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(当前价 - LWM) / LWM，触发平仓/回转操作的关键指标。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自定义标的（CustomAsset）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用户在 UI 中手动新增的基金代码，可含历史数据 JSON。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信号推送（Signal Alert）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当标的出现买入信号时，通过配置的消息渠道通知用户。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功能 A：新增标的管理体系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3.1 自定义标的（A1）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用户可在「配置面板 → 标的管理」中新增任意 ETF 代码（例如 TQQQ、KORU）。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3.1.1 数据模型扩展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 types.ts 新增以下接口：</w:t>
      </w:r>
    </w:p>
    <w:p>
      <w:pPr>
        <w:pBdr>
          <w:left w:val="single" w:color="4a90d9" w:sz="6"/>
        </w:pBdr>
        <w:shd w:fill="f4f6f9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interface CustomAsset {</w:t>
      </w:r>
    </w:p>
    <w:p>
      <w:pPr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id: string              // 唯一标识，如 'TQQQ'</w:t>
      </w:r>
    </w:p>
    <w:p>
      <w:pPr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ticker: string          // 股票代码，展示用</w:t>
      </w:r>
    </w:p>
    <w:p>
      <w:pPr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label: string           // 用户自定义显示名</w:t>
      </w:r>
    </w:p>
    <w:p>
      <w:pPr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leverageMultiplier: number  // 1 | 2 | 3</w:t>
      </w:r>
    </w:p>
    <w:p>
      <w:pPr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color: string           // 图表颜色</w:t>
      </w:r>
    </w:p>
    <w:p>
      <w:pPr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  history: { month: string; close: number; low: number }[]</w:t>
      </w:r>
    </w:p>
    <w:p>
      <w:pPr>
        <w:spacing w:after="80" w:before="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MarketDataRow 需扩展为动态 key-value 结构，以容纳自定义标的价格：</w:t>
      </w:r>
    </w:p>
    <w:p>
      <w:pPr>
        <w:pBdr>
          <w:left w:val="single" w:color="4a90d9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现有固定字段保持不变，新增：</w:t>
      </w:r>
    </w:p>
    <w:p>
      <w:pPr>
        <w:pBdr>
          <w:left w:val="single" w:color="4a90d9" w:sz="6"/>
        </w:pBdr>
        <w:spacing w:after="80" w:before="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customClose: Record&lt;string, number&gt;  // { 'TQQQ': 85.2, 'KORU': 12.4 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3.1.2 UI 交互流程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入口：ConfigPanel → 「标的管理」标签页，列出当前所有标的（QQQ、QLD + 用户自定义）。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新增标的：点击「+ 新增标的」，弹出 Modal 填写 Ticker、显示名、杠杆倍数、图表颜色，并上传/粘贴历史数据 JSON（格式与现有 qld-history.json 一致）。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删除标的：点击标的行末「删除」，弹窗确认后移除（QQQ 与用户选定的原型基金不可删除）。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持久化：自定义标的存储于 localStorage，key = 'clec-custom-assets'。</w:t>
      </w:r>
    </w:p>
    <w:p>
      <w:pPr>
        <w:pBdr>
          <w:left w:val="single" w:color="e67e22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5a00"/>
          <w:sz w:val="20"/>
          <w:szCs w:val="20"/>
        </w:rPr>
        <w:t xml:space="preserve">⚠️ MVP 阶段不接入实时行情 API，历史数据由用户手动上传或粘贴 JSON，格式校验须在前端完成。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3.2 仓位拖拽调整（A2）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配置面板中原有 QQQ/QLD 权重输入框，改为可拖拽滑块（Slider）组合，支持多资产联动。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3.2.1 交互规则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所有标的权重之和恒等于 100%。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拖动某一标的滑块时，剩余资产的比例按其当前权重等比缩放（类似 pie 联动）。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现金（Cash）可被设为 0%，但不可为负。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每个标的滑块最小步长 1%，最大 100%。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贡献权重（Contribution Weight）同步显示独立滑块组，逻辑相同。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3.2.2 数据模型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AssetConfig 中增加：</w:t>
      </w:r>
    </w:p>
    <w:p>
      <w:pPr>
        <w:pBdr>
          <w:left w:val="single" w:color="4a90d9" w:sz="6"/>
        </w:pBdr>
        <w:spacing w:after="80" w:before="8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customWeights: Record&lt;string, number&gt;    // { 'TQQQ': 20, 'KORU': 10 }</w:t>
      </w:r>
    </w:p>
    <w:p>
      <w:pPr>
        <w:pBdr>
          <w:left w:val="single" w:color="4a90d9" w:sz="6"/>
        </w:pBdr>
        <w:spacing w:after="80" w:before="0"/>
        <w:ind w:left="36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contributionCustomWeights: Record&lt;string, number&gt;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回测引擎读取 customWeights 时，与 qqqWeight/qldWeight 并列计算持仓和估值。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3.3 移动均线（A3）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在「市场监控（MarketMonitor）」面板及股价对比图中，叠加原型基金的 20 日、50 日、200 日移动均线（SMA）。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3.3.1 计算口径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数据源：marketData 中原型基金的月度 Close 价格（即现有 qqqClose）。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SMA-20：最近 20 个月收盘价均值。SMA-50：最近 50 个月。SMA-200：最近 200 个月。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月度数据较稀疏，均线名称在 UI 中展示为「20M均线 / 50M均线 / 200M均线」（月均线）。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数据点不足时，该均线不显示，图例置灰。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3.3.2 实现位置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新增工具函数 services/maUtils.ts，导出 calculateSMA(data: number[], period: number): (number | null)[]。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ResultsDashboard 的主折线图叠加三条均线，颜色固定：20M=#f59e0b，50M=#3b82f6，200M=#8b5cf6。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MarketMonitor 面板新增「均线」开关（默认开启），可单独切换显示。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3.4 股价对比图（A4）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在「市场监控（MarketMonitor）」面板新增独立图表，展示用户配置的所有标的（QQQ、QLD 及自定义标的）的价格走势折线对比。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3.4.1 功能要求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图表类型：Recharts LineChart，X 轴为日期，Y 轴为归一化指数（以回测起始日 = 100 为基准），便于不同价格量级的标的对比。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图例：每条线显示 Ticker + 当前价格变化百分比。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时间范围：与主回测时间范围联动，或单独设置「近1年 / 近3年 / 全部」快捷切换。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均线叠加：复用 A3 的 calculateSMA，在此图表上也可叠加均线（可选开关）。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3.4.2 组件位置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 MarketMonitor.tsx 下方新增 &lt;PriceComparisonChart /&gt; 子组件，或作为独立标签页，具体由开发团队根据布局决定。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3.5 信号推送（A5）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系统定时扫描用户指定标的，当出现买入信号时通过配置的渠道通知用户。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3.5.1 买入信号定义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信号名称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均线金叉-20/50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20M均线由下穿上突破50M均线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均线金叉-50/200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50M均线由下穿上突破200M均线（黄金交叉）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回撤买点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标的价格跌破200M均线后首次收盘在200M均线上方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自定义阈值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标的从高位回撤达用户设定百分比（默认-10%）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可配置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3.5.2 推送渠道（优先级顺序）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渠道配置统一在「设置 → 推送配置」面板，每个渠道可单独启用/禁用：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4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 (WeChat)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企业微信 Webhook URL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通过企业微信机器人发送，需用户在企业微信创建群机器人获取 URL。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钉钉 (DingTalk)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钉钉自定义机器人 Webhook + 签名密钥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支持安全签名验证，消息类型 markdown。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邮件 (Email)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Host/Port/User/Pass + 收件人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通过用户自有 SMTP 发送，前端调用本地代理或用户部署的后端。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Token + Chat 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 Telegram Bot API 发送消息。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3.5.3 架构设计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前端定时器（setInterval，默认每小时检查一次，间隔可配置）在用户已开启推送时执行信号检测。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推送功能整体由一个全局开关控制（ON/OFF），UI 位于顶部导航栏。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渠道调用通过用户配置的 Webhook 直接从浏览器端发出，无需平台后端。</w:t>
      </w:r>
    </w:p>
    <w:p>
      <w:pPr>
        <w:pBdr>
          <w:left w:val="single" w:color="e67e22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5a00"/>
          <w:sz w:val="20"/>
          <w:szCs w:val="20"/>
        </w:rPr>
        <w:t xml:space="preserve">⚠️ Telegram 因浏览器 CORS 限制，需用户自行部署简单代理（提供示例 Docker Compose 配置）或使用 Vercel Edge Function。邮件同样需要代理端。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信号历史：最近 50 条信号记录存于 localStorage，在「推送历史」面板展示。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推送消息模板（示例）：
「[CLEC 信号] TQQQ 买入信号
信号：20M/50M 均线金叉
当前价：$65.40 (+2.3% 今日)
时间：2025-01-15 16:00 EST」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功能 B：新增两种熊市策略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两种策略共用相同的市场状态判断机制（高水位/低水位追踪），但操作方向不同：前者转换仓位，后者质押借款买入。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4.1 市场状态共用机制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4.1.1 高水位/低水位追踪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 strategyMemory 中维护：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hwm (High Water Mark)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原型基金历史最高收盘价，仅单调递增。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lwm (Low Water Mark)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 hwm 下跌后记录的最低收盘价。初始为 null，进入跌5%阶段后开始追踪。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(0-4)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当前熊市阶段：0=正常，1=-10%，2=-20%，3=-30%，4=-40%。只增不减（直到进入反弹逻辑）。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(0-4)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当前反弹阶段：0=未反弹，1=+10%，2=+20%，3=+30%，4=+40%。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alertSent5pct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是否已发送-5%预警通知，避免重复推送。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'normal' | 'bear' | 'recovery'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当前策略模式。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4.1.2 状态转换规则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正常 → 熊市：原型基金收盘价跌破 HWM × (1 - 0.10) 时，bearPhase 从 0 升至 1（-10% 触发第一档操作），同时发送 -5% 预警。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熊市阶段递进：每当收盘跌破下一阈值（-20%、-30%、-40%），bearPhase 递增，执行对应档操作。bearPhase 最大为 4（-40%），不再递增。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进入反弹追踪：当收盘价高于 LWM × 1.10（即从低点涨 10%），mode 变为 'recovery'，bearPhase 锁定不再变化。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反弹阶段递进：每当收盘涨过 LWM × (1 + N×0.10)，recoveryPhase 递增，执行对应档平仓操作。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完全恢复：recoveryPhase = 4（从低点+40%）后，所有临时仓位/债务清零，mode 恢复 'normal'，HWM 更新为当前价。</w:t>
      </w:r>
    </w:p>
    <w:p>
      <w:pPr>
        <w:pBdr>
          <w:left w:val="single" w:color="e67e22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5a00"/>
          <w:sz w:val="20"/>
          <w:szCs w:val="20"/>
        </w:rPr>
        <w:t xml:space="preserve">⚠️ -5% 仅作预警通知，不触发实际交易。-10% 开始才触发第一档交易。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4.2 策略 B1：熊市仓位转换型（BEAR_ROTATION）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核心思路：市场下跌时，将部分1倍原型基金仓位「旋转」成3倍杠杆基金，用相同名义敞口博取更高反弹收益；反弹时逐步换回原型基金锁定收益。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4.2.1 操作规则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原型基金从HWM下跌 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推送预警通知（不交易）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提示用户市场开始转弱，可考虑关注。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下跌 10%（bearPhase=1）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将持仓原型基金的 10% 卖出 → 买入等值3倍杠杆基金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首档介入，试仓。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下跌 20%（bearPhase=2）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将持仓原型基金的 20% 卖出 → 买入等值3倍杠杆基金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累计转换仓位约 30%。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下跌 30%（bearPhase=3）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将持仓原型基金的 30% 卖出 → 买入等值3倍杠杆基金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累计转换仓位约 51%。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下跌 40%（bearPhase=4）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将持仓原型基金的 40% 卖出 → 买入等值3倍杠杆基金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不再转换，等待反弹。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从LWM反弹 10%（recoveryPhase=1）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将持有的3倍杠杆基金的 10% 卖出 → 买回原型基金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开始退出杠杆。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从LWM反弹 20%（recoveryPhase=2）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将持有的3倍杠杆基金的 20% 卖出 → 买回原型基金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继续降低杠杆。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从LWM反弹 30%（recoveryPhase=3）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将持有的3倍杠杆基金的 30% 卖出 → 买回原型基金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从LWM反弹 40%（recoveryPhase=4）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将持有的3倍杠杆基金的 40% 卖出 → 买回原型基金，mode=normal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完全退出熊市模式。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4.2.2 重要约束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「将持仓X%卖出」是指执行操作时实际持有该标的的 X%，而非初始总资产的 X%。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3倍杠杆基金默认为 TQQQ（用户可在策略配置中选择其他已添加的3倍标的）。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仓位不足时，以实际可用仓位为准，事件日志记录实际成交量。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每档操作只执行一次（bearPhase/recoveryPhase 单调递增保证幂等性）。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4.2.3 新增配置项（AssetConfig 扩展）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bearRotation.tripleETF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'TQQQ'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用于转换的3倍杠杆基金 Ticker。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bearRotation.enableAlerts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是否通过推送渠道发送交易通知。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4.3 策略 B2：熊市质押借款型（BEAR_PLEDGE）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核心思路：市场下跌时，以持仓资产为抵押进行质押借款（最多总资产 10%），用借款资金分批买入用户指定基金；反弹时分批卖出还款。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4.3.1 操作规则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原型基金从HWM下跌 5%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推送预警通知（不借款）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提示用户可以开始准备质押借款额度。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下跌 10%（bearPhase=1）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借入总资产 1%（质押额度的10%）→ 买入指定基金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首档动用借款10%。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下跌 20%（bearPhase=2）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再借入总资产 1%（质押额度的20%）→ 买入指定基金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累计借款20%额度。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下跌 30%（bearPhase=3）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再借入总资产 1% → 买入指定基金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累计借款30%额度。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下跌 40%（bearPhase=4）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再借入总资产 1% → 买入指定基金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累计借款40%额度，不再追加。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从LWM反弹 10%（recoveryPhase=1）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卖出对应批次买入的 10%仓位 → 还款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先进先出原则。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从LWM反弹 20%（recoveryPhase=2）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卖出对应批次买入的 20%仓位 → 还款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从LWM反弹 30%（recoveryPhase=3）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卖出对应批次买入的 30%仓位 → 还款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从LWM反弹 40%（recoveryPhase=4）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卖出全部质押买入仓位 → 全部还款，mode=normal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清零所有质押债务。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4.3.2 重要约束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质押借款额度上限 = 总资产净值 × 10%，固定在进入熊市阶段时的总资产快照计算，后续市场下跌不再调整上限（防止追加暴露）。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借款利息：沿用现有 LeverageConfig.interestRate，计入 debtBalance，与现有杠杆利息计算逻辑一致。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每档借款独立记账，strategyMemory 记录各批次的买入价格和数量，用于反弹时精确平仓。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若市场继续下跌至 bearPhase=4 后，不再新增借款，现有借款继续计息。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买入标的由用户在策略配置中选择，可选：原型基金（QQQ）、2倍基金（QLD）或3倍基金（TQQQ）。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4.3.3 新增配置项（AssetConfig 扩展）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bearPledge.buyTarget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'QQQ'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质押借款后买入的标的 Ticker，可选 QQQ/QLD/TQQQ 或其他已添加标的。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bearPledge.maxPledgeRatio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最大质押借款占总资产比例，默认10%。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bearPledge.enableAlerts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是否发送每次操作的推送通知。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数据流与架构变更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5.1 constants.ts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MARKET_DATA 构建逻辑抽象为函数 buildMarketData(customAssets: CustomAsset[])，支持动态注入自定义标的数据。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新增 DEFAULT_CUSTOM_ASSETS: CustomAsset[] = [] 导出，用于初始化。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5.2 types.ts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MarketDataRow 增加 customClose: Record&lt;string, number&gt;。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PortfolioState.shares 类型从 { QQQ: number; QLD: number } 改为 Record&lt;string, number&gt;，向下兼容。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AssetConfig 增加 customWeights、contributionCustomWeights、bearRotation、bearPledge 字段。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StrategyType 增加 'BEAR_ROTATION' | 'BEAR_PLEDGE'。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5.3 simulationEngine.ts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估值计算循环改为遍历所有标的（QQQ、QLD + 自定义），动态求和。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Beta 计算：TQQQ 按 leverageMultiplier=3 计权，自定义标的以其 leverageMultiplier 为权重。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5.4 strategies.ts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新增 strategyBearRotation 和 strategyBearPledge 函数，签名与现有 StrategyFunction 一致。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getStrategyByType 增加两个新 case。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5.5 新增文件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services/maUtils.ts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导出 calculateSMA(data, period) 工具函数。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services/alertService.ts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封装微信/钉钉/邮件/Telegram 推送逻辑，导出 sendAlert(channels, message)。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services/signalDetector.ts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定时扫描，检测均线金叉、回撤买点等信号，调用 alertService。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components/CustomAssetManager.tsx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自定义标的列表与新增/删除 UI。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components/PriceComparisonChart.tsx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多标的归一化价格对比折线图。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components/AlertSettings.tsx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推送渠道配置面板（Webhook/SMTP/Token 输入）。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components/AlertHistory.tsx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推送历史记录展示（最近50条）。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UI/UX 设计规范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6.1 整体布局变更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顶部导航栏新增：「推送」全局开关（Toggle），激活时显示绿色指示灯。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ConfigPanel 新增「标的管理」标签页，与现有「配置」「策略」等并列。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MarketMonitor 面板底部新增股价对比图区域。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6.2 仓位滑块组件规格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使用 HTML range input 实现，避免引入重型 UI 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每个标的行：[彩色图例点] [Ticker 标签] [—— 滑块 ——] [数值输入框 %]。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最下方实时显示「总计：100%」，超出或不足时标红提示。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同时保留数字输入框，用户可直接键入精确数字，滑块联动。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6.3 策略选择扩展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ConfigPanel 策略下拉选项新增：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StrategyType 值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显示名（中文）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显示名（英文）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BEAR_ROTATION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熊市仓位转换型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 Market Rotation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BEAR_PLEDGE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熊市质押借款型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 Market Pledge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选中两种新策略时，配置面板下方显示对应策略专属配置区（B1 显示「杠杆基金选择」，B2 显示「买入标的」与「最大质押比例」）。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6.4 事件日志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ResultsDashboard 的「事件日志」面板支持展示新策略的交易事件，事件类型扩展：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 type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ROTATION_IN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转入3倍杠杆基金（B1）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ROTATION_OUT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转出3倍杠杆基金（B2）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PLEDGE_BORROW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质押借款买入（B2）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PLEDGE_REPAY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卖出还款（B2）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ALERT_SENT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信号推送已发送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测试要求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7.1 单元测试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services/__tests__/maUtils.test.ts：验证 SMA 计算正确性（数据不足时返回 null，边界值）。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services/__tests__/bearRotation.test.ts：覆盖 bearPhase 0→4 的仓位转换、recoveryPhase 0→4 的反转操作，以及边界（仓位不足、HWM 更新）。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services/__tests__/bearPledge.test.ts：覆盖质押借款额度上限、分批买入、分批还款、利息累计。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services/__tests__/signalDetector.test.ts：验证均线金叉检测逻辑（防止重复触发）。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7.2 E2E 测试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e2e/bear_strategies.spec.ts：验证两种新策略在 UI 中可被选中、参数可配置、运行后结果面板正常渲染。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e2e/custom_assets.spec.ts：验证新增/删除自定义标的、权重滑块联动、回测结果包含自定义标的估值。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e2e/alert_settings.spec.ts：验证推送开关、渠道配置保存/读取。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交付里程碑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800"/>
        <w:gridCol w:w="1960"/>
      </w:tblGrid>
      <w:tr>
        <w:trPr>
          <w:tblHeader/>
        </w:trP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核心交付物</w:t>
            </w:r>
          </w:p>
        </w:tc>
        <w:tc>
          <w:tcPr>
            <w:tcW w:type="dxa" w:w="1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参考工期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类型与引擎扩展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types.ts + simulationEngine.ts 重构；自定义标的数据模型落地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新策略核心逻辑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strategyBearRotation + strategyBearPledge 实现；单元测试覆盖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仓位滑块 + 均线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拖拽仓位组件；maUtils.ts；图表叠加均线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股价对比图 + 推送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PriceComparisonChart；alertService + 4渠道集成；推送开关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E2E测试 + 文档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全量 E2E 通过；README 更新；Demo 录屏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风险与注意事项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缓解方案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限制推送渠道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/ 邮件无法从浏览器直接调用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 Vercel Edge Function 模板 + Docker 代理示例。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自定义标的数据质量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历史数据缺口导致回测失真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前端校验 JSON 格式；缺失月份线性插值并标注警告。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PortfolioState.shares 泛化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现有5种策略需同步改造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抽象 getShareValue(shares, ticker, price) 工具函数，统一估值逻辑。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HWM/LWM 时序精度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月度数据下阈值触发可能有1个月滞后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文档注明回测为月度模拟，与实盘存在偏差，告知用户。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信号推送过于频繁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用户体验差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每档信号设置 cooldown（同档位至少1个月不重复推送）。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cccccc" w:sz="4"/>
        </w:pBd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CLEC Strategy Backtest · PRD v1.0 · 仅供 antigravity 开发团队内部使用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2026-05-02T11:39:28.865Z</dcterms:created>
  <dcterms:modified xsi:type="dcterms:W3CDTF">2026-05-02T11:39:28.865Z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