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0"/>
          <w:szCs w:val="40"/>
        </w:rPr>
        <w:t xml:space="preserve">HMM-Based Sequence Labeling System</w:t>
      </w:r>
    </w:p>
    <w:p>
      <w:pPr>
        <w:spacing w:after="200"/>
        <w:jc w:val="center"/>
      </w:pPr>
      <w:r>
        <w:rPr>
          <w:sz w:val="26"/>
          <w:szCs w:val="26"/>
        </w:rPr>
        <w:t xml:space="preserve">A Progressive N-gram to HMM Part-of-Speech Tagging Project (Weeks 2–3)</w:t>
      </w:r>
    </w:p>
    <w:p>
      <w:pPr>
        <w:spacing w:after="2000"/>
        <w:jc w:val="center"/>
      </w:pPr>
      <w:r>
        <w:rPr>
          <w:sz w:val="24"/>
          <w:szCs w:val="24"/>
        </w:rPr>
        <w:t xml:space="preserve">Raphael Kamau Kamunyu</w:t>
      </w:r>
    </w:p>
    <w:p>
      <w:pPr>
        <w:pageBreakBefore/>
      </w:pPr>
      <w:r>
        <w:br/>
        <w:t xml:space="preserve"/>
      </w:r>
    </w:p>
    <w:p>
      <w:pPr>
        <w:pStyle w:val="Heading1"/>
        <w:spacing w:after="160" w:before="360"/>
      </w:pPr>
      <w:r>
        <w:t xml:space="preserve">1. Introduction</w:t>
      </w:r>
    </w:p>
    <w:p>
      <w:pPr>
        <w:spacing w:after="160"/>
      </w:pPr>
      <w:r>
        <w:rPr>
          <w:sz w:val="22"/>
          <w:szCs w:val="22"/>
        </w:rPr>
        <w:t xml:space="preserve">Sequence labeling is the task of assigning a category — such as a part-of-speech (POS) tag — to every word in a sequence, taking the surrounding words into account rather than labelling each word in isolation. A Hidden Markov Model (HMM) treats the tag sequence as a hidden Markov chain: each tag depends only on the tag immediately before it (the transition probability), and each word is treated as having been generated by its own tag (the emission probability). Given a sentence, the Viterbi algorithm efficiently searches all possible tag sequences and returns the single most probable one, using dynamic programming instead of brute-force enumeration.</w:t>
      </w:r>
    </w:p>
    <w:p>
      <w:pPr>
        <w:spacing w:after="160"/>
      </w:pPr>
      <w:r>
        <w:rPr>
          <w:sz w:val="22"/>
          <w:szCs w:val="22"/>
        </w:rPr>
        <w:t xml:space="preserve">This project builds an HMM-based POS tagger from first principles — counting transitions and emissions directly from a labelled dataset rather than relying on a pre-built library tagger — to demonstrate the full pipeline from raw counts to a working prediction system, and to evaluate where a small, from-scratch model succeeds and fails.</w:t>
      </w:r>
    </w:p>
    <w:p>
      <w:pPr>
        <w:pStyle w:val="Heading1"/>
        <w:spacing w:after="160" w:before="360"/>
      </w:pPr>
      <w:r>
        <w:t xml:space="preserve">2. Dataset</w:t>
      </w:r>
    </w:p>
    <w:p>
      <w:pPr>
        <w:spacing w:after="160"/>
      </w:pPr>
      <w:r>
        <w:rPr>
          <w:sz w:val="22"/>
          <w:szCs w:val="22"/>
        </w:rPr>
        <w:t xml:space="preserve">The training set consists of 32 short, hand-written English sentences covering everyday academic/technical vocabulary (students, teachers, developers, code, systems, reports, etc.), each fully tagged at the word level with a simplified five-tag set:</w:t>
      </w:r>
    </w:p>
    <w:p>
      <w:pPr>
        <w:pStyle w:val="ListParagraph"/>
        <w:numPr>
          <w:ilvl w:val="0"/>
          <w:numId w:val="2"/>
        </w:numPr>
        <w:spacing w:after="80"/>
      </w:pPr>
      <w:r>
        <w:rPr>
          <w:sz w:val="22"/>
          <w:szCs w:val="22"/>
        </w:rPr>
        <w:t xml:space="preserve">DT — determiner (the, a, an)</w:t>
      </w:r>
    </w:p>
    <w:p>
      <w:pPr>
        <w:pStyle w:val="ListParagraph"/>
        <w:numPr>
          <w:ilvl w:val="0"/>
          <w:numId w:val="2"/>
        </w:numPr>
        <w:spacing w:after="80"/>
      </w:pPr>
      <w:r>
        <w:rPr>
          <w:sz w:val="22"/>
          <w:szCs w:val="22"/>
        </w:rPr>
        <w:t xml:space="preserve">NN — noun (student, code, database, ...)</w:t>
      </w:r>
    </w:p>
    <w:p>
      <w:pPr>
        <w:pStyle w:val="ListParagraph"/>
        <w:numPr>
          <w:ilvl w:val="0"/>
          <w:numId w:val="2"/>
        </w:numPr>
        <w:spacing w:after="80"/>
      </w:pPr>
      <w:r>
        <w:rPr>
          <w:sz w:val="22"/>
          <w:szCs w:val="22"/>
        </w:rPr>
        <w:t xml:space="preserve">VB — verb (reads, writes, develops, ...)</w:t>
      </w:r>
    </w:p>
    <w:p>
      <w:pPr>
        <w:pStyle w:val="ListParagraph"/>
        <w:numPr>
          <w:ilvl w:val="0"/>
          <w:numId w:val="2"/>
        </w:numPr>
        <w:spacing w:after="80"/>
      </w:pPr>
      <w:r>
        <w:rPr>
          <w:sz w:val="22"/>
          <w:szCs w:val="22"/>
        </w:rPr>
        <w:t xml:space="preserve">JJ — adjective (clean, new, difficult, ...)</w:t>
      </w:r>
    </w:p>
    <w:p>
      <w:pPr>
        <w:pStyle w:val="ListParagraph"/>
        <w:numPr>
          <w:ilvl w:val="0"/>
          <w:numId w:val="2"/>
        </w:numPr>
        <w:spacing w:after="80"/>
      </w:pPr>
      <w:r>
        <w:rPr>
          <w:sz w:val="22"/>
          <w:szCs w:val="22"/>
        </w:rPr>
        <w:t xml:space="preserve">IN — preposition (in, on, for, with, at)</w:t>
      </w:r>
    </w:p>
    <w:p>
      <w:pPr>
        <w:spacing w:after="160"/>
      </w:pPr>
      <w:r>
        <w:rPr>
          <w:sz w:val="22"/>
          <w:szCs w:val="22"/>
        </w:rPr>
        <w:t xml:space="preserve">Sentences were authored specifically for this project (not drawn from an external corpus) so that the tag set, vocabulary, and sentence patterns could be controlled and kept consistent with the lecture examples. A separate held-out set of 6 sentences (35 word-tag pairs total), also hand-labelled, was written for evaluation; none of these test sentences appear verbatim in the training set.</w:t>
      </w:r>
    </w:p>
    <w:p>
      <w:pPr>
        <w:pStyle w:val="Heading1"/>
        <w:spacing w:after="160" w:before="360"/>
      </w:pPr>
      <w:r>
        <w:t xml:space="preserve">3. Methodology</w:t>
      </w:r>
    </w:p>
    <w:p>
      <w:pPr>
        <w:spacing w:after="160"/>
      </w:pPr>
      <w:r>
        <w:rPr>
          <w:sz w:val="22"/>
          <w:szCs w:val="22"/>
        </w:rPr>
        <w:t xml:space="preserve">The system follows five stages:</w:t>
      </w:r>
    </w:p>
    <w:p>
      <w:pPr>
        <w:pStyle w:val="ListParagraph"/>
        <w:numPr>
          <w:ilvl w:val="0"/>
          <w:numId w:val="2"/>
        </w:numPr>
        <w:spacing w:after="80"/>
      </w:pPr>
      <w:r>
        <w:rPr>
          <w:sz w:val="22"/>
          <w:szCs w:val="22"/>
        </w:rPr>
        <w:t xml:space="preserve">Tokenisation — each training and test sentence is already provided as a list of (word, tag) pairs, so 'tokenisation' here is the extraction of the word list and the tag list from that structure.</w:t>
      </w:r>
    </w:p>
    <w:p>
      <w:pPr>
        <w:pStyle w:val="ListParagraph"/>
        <w:numPr>
          <w:ilvl w:val="0"/>
          <w:numId w:val="2"/>
        </w:numPr>
        <w:spacing w:after="80"/>
      </w:pPr>
      <w:r>
        <w:rPr>
          <w:sz w:val="22"/>
          <w:szCs w:val="22"/>
        </w:rPr>
        <w:t xml:space="preserve">Transition probabilities — for every pair of consecutive tags (including a sentence-start marker &lt;s&gt;), count how often tag B follows tag A, then normalise (with Laplace/add-one smoothing) into P(tag_i | tag_{i-1}).</w:t>
      </w:r>
    </w:p>
    <w:p>
      <w:pPr>
        <w:pStyle w:val="ListParagraph"/>
        <w:numPr>
          <w:ilvl w:val="0"/>
          <w:numId w:val="2"/>
        </w:numPr>
        <w:spacing w:after="80"/>
      </w:pPr>
      <w:r>
        <w:rPr>
          <w:sz w:val="22"/>
          <w:szCs w:val="22"/>
        </w:rPr>
        <w:t xml:space="preserve">Emission probabilities — for every (word, tag) pair, count how often that word occurs under that tag, then normalise (with Laplace smoothing over the vocabulary) into P(word | tag).</w:t>
      </w:r>
    </w:p>
    <w:p>
      <w:pPr>
        <w:pStyle w:val="ListParagraph"/>
        <w:numPr>
          <w:ilvl w:val="0"/>
          <w:numId w:val="2"/>
        </w:numPr>
        <w:spacing w:after="80"/>
      </w:pPr>
      <w:r>
        <w:rPr>
          <w:sz w:val="22"/>
          <w:szCs w:val="22"/>
        </w:rPr>
        <w:t xml:space="preserve">Prediction — the Viterbi algorithm combines transition and emission probabilities to find the highest-probability tag sequence for a new sentence, tracking back-pointers so a locally attractive but globally wrong choice can still be corrected.</w:t>
      </w:r>
    </w:p>
    <w:p>
      <w:pPr>
        <w:pStyle w:val="ListParagraph"/>
        <w:numPr>
          <w:ilvl w:val="0"/>
          <w:numId w:val="2"/>
        </w:numPr>
        <w:spacing w:after="80"/>
      </w:pPr>
      <w:r>
        <w:rPr>
          <w:sz w:val="22"/>
          <w:szCs w:val="22"/>
        </w:rPr>
        <w:t xml:space="preserve">Evaluation — predicted tags are compared word-by-word against the manually assigned gold tags on the held-out set, and overall accuracy is calculated as (correct tags / total tags) × 100.</w:t>
      </w:r>
    </w:p>
    <w:p>
      <w:pPr>
        <w:pStyle w:val="Heading1"/>
        <w:spacing w:after="160" w:before="360"/>
      </w:pPr>
      <w:r>
        <w:t xml:space="preserve">4. System Implementation</w:t>
      </w:r>
    </w:p>
    <w:p>
      <w:pPr>
        <w:spacing w:after="160"/>
      </w:pPr>
      <w:r>
        <w:rPr>
          <w:sz w:val="22"/>
          <w:szCs w:val="22"/>
        </w:rPr>
        <w:t xml:space="preserve">Core pieces of the implementation (Python):</w:t>
      </w:r>
    </w:p>
    <w:p>
      <w:pPr>
        <w:pBdr>
          <w:top w:val="single" w:color="CCCCCC" w:sz="4"/>
          <w:bottom w:val="single" w:color="CCCCCC" w:sz="4"/>
          <w:left w:val="single" w:color="CCCCCC" w:sz="4"/>
          <w:right w:val="single" w:color="CCCCCC" w:sz="4"/>
        </w:pBdr>
        <w:shd w:fill="F2F2F2" w:color="auto" w:val="clear"/>
        <w:spacing w:after="240" w:before="120"/>
      </w:pPr>
      <w:r>
        <w:rPr>
          <w:rFonts w:ascii="Consolas" w:cs="Consolas" w:eastAsia="Consolas" w:hAnsi="Consolas"/>
          <w:sz w:val="18"/>
          <w:szCs w:val="18"/>
        </w:rPr>
        <w:t xml:space="preserve">def build_transition_counts(label_sequences):</w:t>
      </w:r>
      <w:r>
        <w:rPr>
          <w:rFonts w:ascii="Consolas" w:cs="Consolas" w:eastAsia="Consolas" w:hAnsi="Consolas"/>
          <w:sz w:val="18"/>
          <w:szCs w:val="18"/>
        </w:rPr>
        <w:br/>
        <w:t xml:space="preserve">    counts = defaultdict(Counter)</w:t>
      </w:r>
      <w:r>
        <w:rPr>
          <w:rFonts w:ascii="Consolas" w:cs="Consolas" w:eastAsia="Consolas" w:hAnsi="Consolas"/>
          <w:sz w:val="18"/>
          <w:szCs w:val="18"/>
        </w:rPr>
        <w:br/>
        <w:t xml:space="preserve">    for labels in label_sequences:</w:t>
      </w:r>
      <w:r>
        <w:rPr>
          <w:rFonts w:ascii="Consolas" w:cs="Consolas" w:eastAsia="Consolas" w:hAnsi="Consolas"/>
          <w:sz w:val="18"/>
          <w:szCs w:val="18"/>
        </w:rPr>
        <w:br/>
        <w:t xml:space="preserve">        prev = START</w:t>
      </w:r>
      <w:r>
        <w:rPr>
          <w:rFonts w:ascii="Consolas" w:cs="Consolas" w:eastAsia="Consolas" w:hAnsi="Consolas"/>
          <w:sz w:val="18"/>
          <w:szCs w:val="18"/>
        </w:rPr>
        <w:br/>
        <w:t xml:space="preserve">        for tag in labels:</w:t>
      </w:r>
      <w:r>
        <w:rPr>
          <w:rFonts w:ascii="Consolas" w:cs="Consolas" w:eastAsia="Consolas" w:hAnsi="Consolas"/>
          <w:sz w:val="18"/>
          <w:szCs w:val="18"/>
        </w:rPr>
        <w:br/>
        <w:t xml:space="preserve">            counts[prev][tag] += 1</w:t>
      </w:r>
      <w:r>
        <w:rPr>
          <w:rFonts w:ascii="Consolas" w:cs="Consolas" w:eastAsia="Consolas" w:hAnsi="Consolas"/>
          <w:sz w:val="18"/>
          <w:szCs w:val="18"/>
        </w:rPr>
        <w:br/>
        <w:t xml:space="preserve">            prev = tag</w:t>
      </w:r>
      <w:r>
        <w:rPr>
          <w:rFonts w:ascii="Consolas" w:cs="Consolas" w:eastAsia="Consolas" w:hAnsi="Consolas"/>
          <w:sz w:val="18"/>
          <w:szCs w:val="18"/>
        </w:rPr>
        <w:br/>
        <w:t xml:space="preserve">        counts[prev][END] += 1</w:t>
      </w:r>
      <w:r>
        <w:rPr>
          <w:rFonts w:ascii="Consolas" w:cs="Consolas" w:eastAsia="Consolas" w:hAnsi="Consolas"/>
          <w:sz w:val="18"/>
          <w:szCs w:val="18"/>
        </w:rPr>
        <w:br/>
        <w:t xml:space="preserve">    return counts</w:t>
      </w:r>
    </w:p>
    <w:p>
      <w:pPr>
        <w:pBdr>
          <w:top w:val="single" w:color="CCCCCC" w:sz="4"/>
          <w:bottom w:val="single" w:color="CCCCCC" w:sz="4"/>
          <w:left w:val="single" w:color="CCCCCC" w:sz="4"/>
          <w:right w:val="single" w:color="CCCCCC" w:sz="4"/>
        </w:pBdr>
        <w:shd w:fill="F2F2F2" w:color="auto" w:val="clear"/>
        <w:spacing w:after="240" w:before="120"/>
      </w:pPr>
      <w:r>
        <w:rPr>
          <w:rFonts w:ascii="Consolas" w:cs="Consolas" w:eastAsia="Consolas" w:hAnsi="Consolas"/>
          <w:sz w:val="18"/>
          <w:szCs w:val="18"/>
        </w:rPr>
        <w:t xml:space="preserve">def transition_prob(self, prev_tag, tag):</w:t>
      </w:r>
      <w:r>
        <w:rPr>
          <w:rFonts w:ascii="Consolas" w:cs="Consolas" w:eastAsia="Consolas" w:hAnsi="Consolas"/>
          <w:sz w:val="18"/>
          <w:szCs w:val="18"/>
        </w:rPr>
        <w:br/>
        <w:t xml:space="preserve">    counts = self.transition_counts[prev_tag]</w:t>
      </w:r>
      <w:r>
        <w:rPr>
          <w:rFonts w:ascii="Consolas" w:cs="Consolas" w:eastAsia="Consolas" w:hAnsi="Consolas"/>
          <w:sz w:val="18"/>
          <w:szCs w:val="18"/>
        </w:rPr>
        <w:br/>
        <w:t xml:space="preserve">    total = sum(counts.values())</w:t>
      </w:r>
      <w:r>
        <w:rPr>
          <w:rFonts w:ascii="Consolas" w:cs="Consolas" w:eastAsia="Consolas" w:hAnsi="Consolas"/>
          <w:sz w:val="18"/>
          <w:szCs w:val="18"/>
        </w:rPr>
        <w:br/>
        <w:t xml:space="preserve">    return (counts[tag] + 1) / (total + len(self.tagset) + 1)</w:t>
      </w:r>
    </w:p>
    <w:p>
      <w:pPr>
        <w:pBdr>
          <w:top w:val="single" w:color="CCCCCC" w:sz="4"/>
          <w:bottom w:val="single" w:color="CCCCCC" w:sz="4"/>
          <w:left w:val="single" w:color="CCCCCC" w:sz="4"/>
          <w:right w:val="single" w:color="CCCCCC" w:sz="4"/>
        </w:pBdr>
        <w:shd w:fill="F2F2F2" w:color="auto" w:val="clear"/>
        <w:spacing w:after="240" w:before="120"/>
      </w:pPr>
      <w:r>
        <w:rPr>
          <w:rFonts w:ascii="Consolas" w:cs="Consolas" w:eastAsia="Consolas" w:hAnsi="Consolas"/>
          <w:sz w:val="18"/>
          <w:szCs w:val="18"/>
        </w:rPr>
        <w:t xml:space="preserve"># Viterbi core step</w:t>
      </w:r>
      <w:r>
        <w:rPr>
          <w:rFonts w:ascii="Consolas" w:cs="Consolas" w:eastAsia="Consolas" w:hAnsi="Consolas"/>
          <w:sz w:val="18"/>
          <w:szCs w:val="18"/>
        </w:rPr>
        <w:br/>
        <w:t xml:space="preserve">for tag in self.tagset:</w:t>
      </w:r>
      <w:r>
        <w:rPr>
          <w:rFonts w:ascii="Consolas" w:cs="Consolas" w:eastAsia="Consolas" w:hAnsi="Consolas"/>
          <w:sz w:val="18"/>
          <w:szCs w:val="18"/>
        </w:rPr>
        <w:br/>
        <w:t xml:space="preserve">    best_prob, best_prev = max(</w:t>
      </w:r>
      <w:r>
        <w:rPr>
          <w:rFonts w:ascii="Consolas" w:cs="Consolas" w:eastAsia="Consolas" w:hAnsi="Consolas"/>
          <w:sz w:val="18"/>
          <w:szCs w:val="18"/>
        </w:rPr>
        <w:br/>
        <w:t xml:space="preserve">        (viterbi[i-1][prev_tag] * self.transition_prob(prev_tag, tag)</w:t>
      </w:r>
      <w:r>
        <w:rPr>
          <w:rFonts w:ascii="Consolas" w:cs="Consolas" w:eastAsia="Consolas" w:hAnsi="Consolas"/>
          <w:sz w:val="18"/>
          <w:szCs w:val="18"/>
        </w:rPr>
        <w:br/>
        <w:t xml:space="preserve">         * self.emission_prob(tag, word), prev_tag)</w:t>
      </w:r>
      <w:r>
        <w:rPr>
          <w:rFonts w:ascii="Consolas" w:cs="Consolas" w:eastAsia="Consolas" w:hAnsi="Consolas"/>
          <w:sz w:val="18"/>
          <w:szCs w:val="18"/>
        </w:rPr>
        <w:br/>
        <w:t xml:space="preserve">        for prev_tag in self.tagset)</w:t>
      </w:r>
      <w:r>
        <w:rPr>
          <w:rFonts w:ascii="Consolas" w:cs="Consolas" w:eastAsia="Consolas" w:hAnsi="Consolas"/>
          <w:sz w:val="18"/>
          <w:szCs w:val="18"/>
        </w:rPr>
        <w:br/>
        <w:t xml:space="preserve">    viterbi[i][tag] = best_prob</w:t>
      </w:r>
      <w:r>
        <w:rPr>
          <w:rFonts w:ascii="Consolas" w:cs="Consolas" w:eastAsia="Consolas" w:hAnsi="Consolas"/>
          <w:sz w:val="18"/>
          <w:szCs w:val="18"/>
        </w:rPr>
        <w:br/>
        <w:t xml:space="preserve">    backpointer[i][tag] = best_prev</w:t>
      </w:r>
    </w:p>
    <w:p>
      <w:pPr>
        <w:spacing w:after="160"/>
      </w:pPr>
      <w:r>
        <w:rPr>
          <w:sz w:val="22"/>
          <w:szCs w:val="22"/>
        </w:rPr>
        <w:t xml:space="preserve">Console output from running the trained tagger on a new sentence:</w:t>
      </w:r>
    </w:p>
    <w:p>
      <w:pPr>
        <w:pBdr>
          <w:top w:val="single" w:color="CCCCCC" w:sz="4"/>
          <w:bottom w:val="single" w:color="CCCCCC" w:sz="4"/>
          <w:left w:val="single" w:color="CCCCCC" w:sz="4"/>
          <w:right w:val="single" w:color="CCCCCC" w:sz="4"/>
        </w:pBdr>
        <w:shd w:fill="F2F2F2" w:color="auto" w:val="clear"/>
        <w:spacing w:after="240" w:before="120"/>
      </w:pPr>
      <w:r>
        <w:rPr>
          <w:rFonts w:ascii="Consolas" w:cs="Consolas" w:eastAsia="Consolas" w:hAnsi="Consolas"/>
          <w:sz w:val="18"/>
          <w:szCs w:val="18"/>
        </w:rPr>
        <w:t xml:space="preserve">Sentence  : the student develops software</w:t>
      </w:r>
      <w:r>
        <w:rPr>
          <w:rFonts w:ascii="Consolas" w:cs="Consolas" w:eastAsia="Consolas" w:hAnsi="Consolas"/>
          <w:sz w:val="18"/>
          <w:szCs w:val="18"/>
        </w:rPr>
        <w:br/>
        <w:t xml:space="preserve">Predicted : DT NN VB DT</w:t>
      </w:r>
    </w:p>
    <w:p>
      <w:pPr>
        <w:spacing w:after="160"/>
      </w:pPr>
      <w:r>
        <w:rPr>
          <w:sz w:val="22"/>
          <w:szCs w:val="22"/>
        </w:rPr>
        <w:t xml:space="preserve">Note: for the full, executable implementation see hmm_sequence_labeling_project.ipynb — insert a screenshot of that notebook running in your own Jupyter/Colab environment here for your submission.</w:t>
      </w:r>
    </w:p>
    <w:p>
      <w:pPr>
        <w:pStyle w:val="Heading1"/>
        <w:spacing w:after="160" w:before="360"/>
      </w:pPr>
      <w:r>
        <w:t xml:space="preserve">5. Results</w:t>
      </w:r>
    </w:p>
    <w:p>
      <w:pPr>
        <w:spacing w:after="160"/>
      </w:pPr>
      <w:r>
        <w:rPr>
          <w:sz w:val="22"/>
          <w:szCs w:val="22"/>
        </w:rPr>
        <w:t xml:space="preserve">On the 6-sentence, 35-token held-out test set, the tagger achieved:</w:t>
      </w:r>
    </w:p>
    <w:p>
      <w:pPr>
        <w:spacing w:after="240" w:before="120"/>
        <w:jc w:val="center"/>
      </w:pPr>
      <w:r>
        <w:rPr>
          <w:b/>
          <w:bCs/>
          <w:sz w:val="26"/>
          <w:szCs w:val="26"/>
        </w:rPr>
        <w:t xml:space="preserve">Accuracy: 91.4% (32 / 35 tags correct)</w:t>
      </w:r>
    </w:p>
    <w:p>
      <w:pPr>
        <w:spacing w:after="160"/>
      </w:pPr>
      <w:r>
        <w:rPr>
          <w:sz w:val="22"/>
          <w:szCs w:val="22"/>
        </w:rPr>
        <w:t xml:space="preserve">32 of 35 word-level tags exactly matched the manually assigned gold labels. The 3 incorrect tags are listed below.</w:t>
      </w:r>
    </w:p>
    <w:p>
      <w:pPr>
        <w:pStyle w:val="Heading1"/>
        <w:spacing w:after="160" w:before="360"/>
      </w:pPr>
      <w:r>
        <w:t xml:space="preserve">6. Error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color="auto" w:val="clear"/>
          </w:tcPr>
          <w:p>
            <w:r>
              <w:rPr>
                <w:b/>
                <w:bCs/>
                <w:sz w:val="22"/>
                <w:szCs w:val="22"/>
              </w:rPr>
              <w:t xml:space="preserve">Word</w:t>
            </w:r>
          </w:p>
        </w:tc>
        <w:tc>
          <w:tcPr>
            <w:tcW w:type="dxa" w:w="3000"/>
            <w:shd w:fill="DDDDDD" w:color="auto" w:val="clear"/>
          </w:tcPr>
          <w:p>
            <w:r>
              <w:rPr>
                <w:b/>
                <w:bCs/>
                <w:sz w:val="22"/>
                <w:szCs w:val="22"/>
              </w:rPr>
              <w:t xml:space="preserve">Gold Tag</w:t>
            </w:r>
          </w:p>
        </w:tc>
        <w:tc>
          <w:tcPr>
            <w:tcW w:type="dxa" w:w="3000"/>
            <w:shd w:fill="DDDDDD" w:color="auto" w:val="clear"/>
          </w:tcPr>
          <w:p>
            <w:r>
              <w:rPr>
                <w:b/>
                <w:bCs/>
                <w:sz w:val="22"/>
                <w:szCs w:val="22"/>
              </w:rPr>
              <w:t xml:space="preserve">Predicted Tag</w:t>
            </w:r>
          </w:p>
        </w:tc>
      </w:tr>
      <w:tr>
        <w:tc>
          <w:tcPr>
            <w:tcW w:type="dxa" w:w="3000"/>
          </w:tcPr>
          <w:p>
            <w:r>
              <w:rPr>
                <w:sz w:val="22"/>
                <w:szCs w:val="22"/>
              </w:rPr>
              <w:t xml:space="preserve">software</w:t>
            </w:r>
          </w:p>
        </w:tc>
        <w:tc>
          <w:tcPr>
            <w:tcW w:type="dxa" w:w="3000"/>
          </w:tcPr>
          <w:p>
            <w:r>
              <w:rPr>
                <w:sz w:val="22"/>
                <w:szCs w:val="22"/>
              </w:rPr>
              <w:t xml:space="preserve">NN</w:t>
            </w:r>
          </w:p>
        </w:tc>
        <w:tc>
          <w:tcPr>
            <w:tcW w:type="dxa" w:w="3000"/>
          </w:tcPr>
          <w:p>
            <w:r>
              <w:rPr>
                <w:sz w:val="22"/>
                <w:szCs w:val="22"/>
              </w:rPr>
              <w:t xml:space="preserve">DT</w:t>
            </w:r>
          </w:p>
        </w:tc>
      </w:tr>
      <w:tr>
        <w:tc>
          <w:tcPr>
            <w:tcW w:type="dxa" w:w="3000"/>
          </w:tcPr>
          <w:p>
            <w:r>
              <w:rPr>
                <w:sz w:val="22"/>
                <w:szCs w:val="22"/>
              </w:rPr>
              <w:t xml:space="preserve">small</w:t>
            </w:r>
          </w:p>
        </w:tc>
        <w:tc>
          <w:tcPr>
            <w:tcW w:type="dxa" w:w="3000"/>
          </w:tcPr>
          <w:p>
            <w:r>
              <w:rPr>
                <w:sz w:val="22"/>
                <w:szCs w:val="22"/>
              </w:rPr>
              <w:t xml:space="preserve">JJ</w:t>
            </w:r>
          </w:p>
        </w:tc>
        <w:tc>
          <w:tcPr>
            <w:tcW w:type="dxa" w:w="3000"/>
          </w:tcPr>
          <w:p>
            <w:r>
              <w:rPr>
                <w:sz w:val="22"/>
                <w:szCs w:val="22"/>
              </w:rPr>
              <w:t xml:space="preserve">NN</w:t>
            </w:r>
          </w:p>
        </w:tc>
      </w:tr>
      <w:tr>
        <w:tc>
          <w:tcPr>
            <w:tcW w:type="dxa" w:w="3000"/>
          </w:tcPr>
          <w:p>
            <w:r>
              <w:rPr>
                <w:sz w:val="22"/>
                <w:szCs w:val="22"/>
              </w:rPr>
              <w:t xml:space="preserve">database</w:t>
            </w:r>
          </w:p>
        </w:tc>
        <w:tc>
          <w:tcPr>
            <w:tcW w:type="dxa" w:w="3000"/>
          </w:tcPr>
          <w:p>
            <w:r>
              <w:rPr>
                <w:sz w:val="22"/>
                <w:szCs w:val="22"/>
              </w:rPr>
              <w:t xml:space="preserve">NN</w:t>
            </w:r>
          </w:p>
        </w:tc>
        <w:tc>
          <w:tcPr>
            <w:tcW w:type="dxa" w:w="3000"/>
          </w:tcPr>
          <w:p>
            <w:r>
              <w:rPr>
                <w:sz w:val="22"/>
                <w:szCs w:val="22"/>
              </w:rPr>
              <w:t xml:space="preserve">VB</w:t>
            </w:r>
          </w:p>
        </w:tc>
      </w:tr>
    </w:tbl>
    <w:p>
      <w:pPr>
        <w:spacing w:after="200"/>
      </w:pPr>
    </w:p>
    <w:p>
      <w:pPr>
        <w:spacing w:after="160"/>
      </w:pPr>
      <w:r>
        <w:rPr>
          <w:sz w:val="22"/>
          <w:szCs w:val="22"/>
        </w:rPr>
        <w:t xml:space="preserve">All three errors involve a bare noun or adjective in a position the model expected to see a determiner or noun instead — i.e. every error is a tagging confusion among {DT, NN, JJ, VB} in a direct-object position, not a wildly implausible tag (e.g. nothing was tagged IN or DT where a verb was clearly required).</w:t>
      </w:r>
    </w:p>
    <w:p>
      <w:pPr>
        <w:pStyle w:val="Heading1"/>
        <w:spacing w:after="160" w:before="360"/>
      </w:pPr>
      <w:r>
        <w:t xml:space="preserve">7. Discussion</w:t>
      </w:r>
    </w:p>
    <w:p>
      <w:pPr>
        <w:spacing w:after="160"/>
      </w:pPr>
      <w:r>
        <w:rPr>
          <w:sz w:val="22"/>
          <w:szCs w:val="22"/>
        </w:rPr>
        <w:t xml:space="preserve">Most predictions (32/35) were correct because the sentence patterns in the test set — DT NN VB (DT) (JJ) NN, optionally followed by an IN phrase — closely mirror the patterns seen repeatedly in training, and the words themselves (the, a, student, teacher, reads, writes, report, class, for, ...) were all seen during training with a single, unambiguous tag.</w:t>
      </w:r>
    </w:p>
    <w:p>
      <w:pPr>
        <w:spacing w:after="160"/>
      </w:pPr>
      <w:r>
        <w:rPr>
          <w:sz w:val="22"/>
          <w:szCs w:val="22"/>
        </w:rPr>
        <w:t xml:space="preserve">The three errors share a root cause: the training data contains far more VB→DT→NN sequences ("writes a report") than VB→NN sequences with no article ("develops software"). This skews the learned transition probability P(NN | VB) below P(DT | VB), so even though the emission probability P(software | NN) is higher than P(software | DT), the combined (transition × emission) score for DT can still win. Because Viterbi commits to one global path, this single wrong tag after "tests a small" also disrupts the next word ("database" gets tagged VB instead of NN) — a clear example of error propagation in sequence models.</w:t>
      </w:r>
    </w:p>
    <w:p>
      <w:pPr>
        <w:pStyle w:val="Heading1"/>
        <w:spacing w:after="160" w:before="360"/>
      </w:pPr>
      <w:r>
        <w:t xml:space="preserve">8. Limitations</w:t>
      </w:r>
    </w:p>
    <w:p>
      <w:pPr>
        <w:pStyle w:val="ListParagraph"/>
        <w:numPr>
          <w:ilvl w:val="0"/>
          <w:numId w:val="2"/>
        </w:numPr>
        <w:spacing w:after="80"/>
      </w:pPr>
      <w:r>
        <w:rPr>
          <w:sz w:val="22"/>
          <w:szCs w:val="22"/>
        </w:rPr>
        <w:t xml:space="preserve">Small training dataset (32 sentences) — real POS taggers train on tens of thousands of labelled sentences, giving much more reliable transition and emission statistics.</w:t>
      </w:r>
    </w:p>
    <w:p>
      <w:pPr>
        <w:pStyle w:val="ListParagraph"/>
        <w:numPr>
          <w:ilvl w:val="0"/>
          <w:numId w:val="2"/>
        </w:numPr>
        <w:spacing w:after="80"/>
      </w:pPr>
      <w:r>
        <w:rPr>
          <w:sz w:val="22"/>
          <w:szCs w:val="22"/>
        </w:rPr>
        <w:t xml:space="preserve">Unseen words are handled only through Laplace smoothing across the whole vocabulary; there is no use of word-shape features (capitalisation, suffixes such as -s or -ed) that real taggers use as a backoff for unknown words.</w:t>
      </w:r>
    </w:p>
    <w:p>
      <w:pPr>
        <w:pStyle w:val="ListParagraph"/>
        <w:numPr>
          <w:ilvl w:val="0"/>
          <w:numId w:val="2"/>
        </w:numPr>
        <w:spacing w:after="80"/>
      </w:pPr>
      <w:r>
        <w:rPr>
          <w:sz w:val="22"/>
          <w:szCs w:val="22"/>
        </w:rPr>
        <w:t xml:space="preserve">Ambiguous words (the same surface word acting as more than one part of speech, e.g. "books" as noun vs. verb) are not represented in this dataset, so the tagger has never had to resolve genuine lexical ambiguity.</w:t>
      </w:r>
    </w:p>
    <w:p>
      <w:pPr>
        <w:pStyle w:val="ListParagraph"/>
        <w:numPr>
          <w:ilvl w:val="0"/>
          <w:numId w:val="2"/>
        </w:numPr>
        <w:spacing w:after="80"/>
      </w:pPr>
      <w:r>
        <w:rPr>
          <w:sz w:val="22"/>
          <w:szCs w:val="22"/>
        </w:rPr>
        <w:t xml:space="preserve">Limited context — this is a first-order HMM: each tag depends only on the single preceding tag, so it cannot look two or more tags back to resolve harder disambiguation cases.</w:t>
      </w:r>
    </w:p>
    <w:p>
      <w:pPr>
        <w:pStyle w:val="Heading1"/>
        <w:spacing w:after="160" w:before="360"/>
      </w:pPr>
      <w:r>
        <w:t xml:space="preserve">9. Conclusion</w:t>
      </w:r>
    </w:p>
    <w:p>
      <w:pPr>
        <w:spacing w:after="160"/>
      </w:pPr>
      <w:r>
        <w:rPr>
          <w:sz w:val="22"/>
          <w:szCs w:val="22"/>
        </w:rPr>
        <w:t xml:space="preserve">Building the tagger from raw counts rather than a ready-made library made the mechanics of an HMM concrete: transition probabilities capture grammatical structure, emission probabilities capture word choice, and Viterbi combines both while allowing corrections a purely greedy, left-to-right tagger could not make. At 91.4% accuracy on unseen sentences, the system generalises reasonably well from only 32 training examples, but its remaining errors trace directly back to gaps and imbalances in that small dataset — reinforcing that, for HMM taggers, the quality and coverage of the training data matters as much as the modelling technique itself.</w:t>
      </w:r>
    </w:p>
    <w:p>
      <w:pPr>
        <w:pStyle w:val="Heading1"/>
        <w:spacing w:after="160" w:before="360"/>
      </w:pPr>
      <w:r>
        <w:t xml:space="preserve">10. References</w:t>
      </w:r>
    </w:p>
    <w:p>
      <w:pPr>
        <w:spacing w:after="160"/>
      </w:pPr>
      <w:r>
        <w:rPr>
          <w:sz w:val="22"/>
          <w:szCs w:val="22"/>
        </w:rPr>
        <w:t xml:space="preserve">Jurafsky, D. and Martin, J.H. (2023) Speech and Language Processing, 3rd edition (draft). Stanford University.</w:t>
      </w:r>
    </w:p>
    <w:p>
      <w:pPr>
        <w:spacing w:after="160"/>
      </w:pPr>
      <w:r>
        <w:rPr>
          <w:sz w:val="22"/>
          <w:szCs w:val="22"/>
        </w:rPr>
        <w:t xml:space="preserve">Bird, S., Klein, E. and Loper, E. (2009) Natural Language Processing with Python. O'Reilly Media.</w:t>
      </w:r>
    </w:p>
    <w:p>
      <w:pPr>
        <w:spacing w:after="160"/>
      </w:pPr>
      <w:r>
        <w:rPr>
          <w:sz w:val="22"/>
          <w:szCs w:val="22"/>
        </w:rPr>
        <w:t xml:space="preserve">Rabiner, L.R. (1989) 'A tutorial on hidden Markov models and selected applications in speech recognition', Proceedings of the IEEE, 77(2), pp. 257–286.</w:t>
      </w:r>
    </w:p>
    <w:p>
      <w:pPr>
        <w:spacing w:after="160"/>
      </w:pPr>
      <w:r>
        <w:rPr>
          <w:sz w:val="22"/>
          <w:szCs w:val="22"/>
        </w:rPr>
        <w:t xml:space="preserve">Viterbi, A. (1967) 'Error bounds for convolutional codes and an asymptotically optimum decoding algorithm', IEEE Transactions on Information Theory, 13(2), pp. 260–269.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2026-09-28T06:12:18.852Z</dcterms:created>
  <dcterms:modified xsi:type="dcterms:W3CDTF">2026-09-28T06:12:18.862Z</dcterms:modified>
</cp:coreProperties>
</file>

<file path=docProps/custom.xml><?xml version="1.0" encoding="utf-8"?>
<Properties xmlns="http://schemas.openxmlformats.org/officeDocument/2006/custom-properties" xmlns:vt="http://schemas.openxmlformats.org/officeDocument/2006/docPropsVTypes"/>
</file>