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BÁO CÁO: SỬ DỤNG AI CÓ TRÁCH NHIỆM TRONG HỌC TẬP</w:t>
      </w:r>
    </w:p>
    <w:p>
      <w:pPr>
        <w:pStyle w:val="Subtitle"/>
        <w:pBdr>
          <w:bottom w:val="single" w:sz="10" w:space="8" w:color="2E74B5"/>
        </w:pBdr>
      </w:pPr>
      <w:r>
        <w:t>Đối tượng nghiên cứu: RMIT University Vietnam / RMIT Group | Người thực hiện: [Tên sinh viên] | Lớp: [Lớp]</w:t>
      </w:r>
    </w:p>
    <w:p>
      <w:pPr>
        <w:pStyle w:val="Heading1"/>
      </w:pPr>
      <w:r>
        <w:t>1. Tóm tắt định hướng</w:t>
      </w:r>
    </w:p>
    <w:p>
      <w:pPr>
        <w:spacing w:after="120" w:before="0" w:line="264" w:lineRule="auto"/>
      </w:pPr>
      <w:r>
        <w:rPr>
          <w:rFonts w:ascii="Calibri" w:hAnsi="Calibri" w:eastAsia="Calibri"/>
        </w:rPr>
        <w:t>Báo cáo này phân tích cách RMIT định hướng sinh viên sử dụng trí tuệ nhân tạo (AI) trong học tập và nghiên cứu. Trọng tâm không phải là cấm hay chạy theo AI, mà là dùng AI như một công cụ hỗ trợ học tập có kiểm soát: hiểu quy định từng môn, kiểm chứng đầu ra, giữ quyền tác giả đối với lập luận cuối cùng và minh bạch khi AI có đóng góp vào ý tưởng, văn bản hoặc hình ảnh.</w:t>
      </w:r>
    </w:p>
    <w:p>
      <w:pPr>
        <w:spacing w:after="120" w:before="0" w:line="264" w:lineRule="auto"/>
      </w:pPr>
      <w:r>
        <w:rPr>
          <w:rFonts w:ascii="Calibri" w:hAnsi="Calibri" w:eastAsia="Calibri"/>
          <w:b/>
          <w:color w:val="0D304C"/>
        </w:rPr>
        <w:t>Kết luận chính: AI có thể giúp người học hiểu nhanh khái niệm, lập kế hoạch, luyện phản biện và cải thiện diễn đạt. Tuy vậy, AI trở thành rủi ro học thuật khi bị dùng để thay thế tư duy của người học, tạo nội dung không được phép, che giấu nguồn hỗ trợ, bịa nguồn hoặc đưa dữ liệu riêng tư vào công cụ công khai.</w:t>
      </w:r>
    </w:p>
    <w:p>
      <w:pPr>
        <w:pStyle w:val="Heading1"/>
      </w:pPr>
      <w:r>
        <w:t>2. Chính sách và quan điểm của trường</w:t>
      </w:r>
    </w:p>
    <w:p>
      <w:pPr>
        <w:pStyle w:val="Heading2"/>
      </w:pPr>
      <w:r>
        <w:t>2.1. Liêm chính học thuật là nền tảng</w:t>
      </w:r>
    </w:p>
    <w:p>
      <w:pPr>
        <w:spacing w:after="120" w:before="0" w:line="264" w:lineRule="auto"/>
      </w:pPr>
      <w:r>
        <w:rPr>
          <w:rFonts w:ascii="Calibri" w:hAnsi="Calibri" w:eastAsia="Calibri"/>
        </w:rPr>
        <w:t>RMIT Academic Integrity Policy áp dụng cho toàn bộ RMIT Group, bao gồm hoạt động học tập, giảng dạy, đánh giá, học thuật và nghiên cứu. Chính sách đặt trọng tâm vào năm giá trị: trung thực, tin cậy, tôn trọng, công bằng và trách nhiệm. Với sinh viên, điều này được cụ thể hóa thành yêu cầu trình bày trung thực bài làm, chịu trách nhiệm về tác giả và tính nguyên bản, hợp tác khi nhà trường cần xác thực quá trình tạo ra bài nộp, và sử dụng công cụ hỗ trợ liêm chính học thuật khi cần. Trang RMIT Vietnam về academic integrity cũng nhấn mạnh các nguy cơ như đạo văn, thông đồng và dịch vụ làm bài thuê.</w:t>
      </w:r>
    </w:p>
    <w:p>
      <w:pPr>
        <w:pStyle w:val="Heading2"/>
      </w:pPr>
      <w:r>
        <w:t>2.2. AI được chấp nhận khi hỗ trợ học tập, không thay thế học tập</w:t>
      </w:r>
    </w:p>
    <w:p>
      <w:pPr>
        <w:spacing w:after="120" w:before="0" w:line="264" w:lineRule="auto"/>
      </w:pPr>
      <w:r>
        <w:rPr>
          <w:rFonts w:ascii="Calibri" w:hAnsi="Calibri" w:eastAsia="Calibri"/>
        </w:rPr>
        <w:t>Trang Artificial intelligence in learning của RMIT khuyến khích sinh viên phát triển năng lực AI cho môi trường làm việc tương lai, nhưng đi kèm hai nguyên tắc thực dụng: luôn xác minh thông tin từ AI và chỉ dùng nội dung mình hiểu, có thể giải thích bằng lời của mình; đồng thời xem công cụ AI công khai như một “loa phóng thanh”, vì thông tin nhập vào có thể tạo rủi ro về riêng tư, bảo mật và danh tiếng. RMIT cũng giới thiệu các cách dùng an toàn như giải thích khái niệm, tạo câu hỏi luyện tập, tóm tắt ghi chú của chính mình, gợi ý hướng tiếp cận bài tập, hỗ trợ ngôn ngữ và lập kế hoạch học tập.</w:t>
      </w:r>
    </w:p>
    <w:p>
      <w:pPr>
        <w:spacing w:after="120" w:before="0" w:line="264" w:lineRule="auto"/>
      </w:pPr>
      <w:r>
        <w:rPr>
          <w:rFonts w:ascii="Calibri" w:hAnsi="Calibri" w:eastAsia="Calibri"/>
        </w:rPr>
        <w:t>Đối với bài đánh giá, RMIT nêu rõ mức độ được dùng AI phụ thuộc vào hướng dẫn môn học và Course Coordinator. Sinh viên có thể dùng AI để hiểu đề, tìm hướng tiếp cận hoặc phát triển ý tưởng khi được phép, nhưng không nên dựa vào AI để làm thay nhiệm vụ đánh giá. Nếu AI đóng góp ý tưởng, văn bản, hình ảnh hoặc biểu đồ, người học cần ghi nhận công cụ tương tự như khi trích dẫn sách, bài báo hay website. Trong bài nhóm, cả nhóm chịu trách nhiệm chung nếu sản phẩm cuối cùng vi phạm liêm chính học thuật.</w:t>
      </w:r>
    </w:p>
    <w:p>
      <w:pPr>
        <w:pStyle w:val="Heading2"/>
      </w:pPr>
      <w:r>
        <w:t>2.3. Responsible AI và nghiên cứu</w:t>
      </w:r>
    </w:p>
    <w:p>
      <w:pPr>
        <w:spacing w:after="120" w:before="0" w:line="264" w:lineRule="auto"/>
      </w:pPr>
      <w:r>
        <w:rPr>
          <w:rFonts w:ascii="Calibri" w:hAnsi="Calibri" w:eastAsia="Calibri"/>
        </w:rPr>
        <w:t>Responsible Artificial Intelligence Procedure của RMIT bổ sung khung đạo đức ở cấp tổ chức: AI phải phục vụ phúc lợi con người, xã hội và môi trường; tôn trọng giá trị con người; bảo đảm công bằng; minh bạch; có trách nhiệm giải trình; cho phép phản biện quyết định có ảnh hưởng đáng kể; bảo vệ riêng tư và an ninh; đáng tin cậy; và đi kèm giáo dục về mục đích, vận hành, kết quả, rủi ro. Báo cáo RMIT Research Integrity and Generative AI cũng xem AI tạo sinh là vấn đề của toàn bộ hệ sinh thái nghiên cứu: bịa dữ liệu là vi phạm rõ ràng, còn các việc như chuyển đổi định dạng dữ liệu, hỗ trợ ngôn ngữ hoặc khám phá ý tưởng có thể hợp lý nếu được kiểm soát và công khai.</w:t>
      </w:r>
    </w:p>
    <w:p>
      <w:pPr>
        <w:spacing w:after="120" w:before="0" w:line="264" w:lineRule="auto"/>
      </w:pPr>
      <w:r>
        <w:rPr>
          <w:rFonts w:ascii="Calibri" w:hAnsi="Calibri" w:eastAsia="Calibri"/>
          <w:b/>
          <w:color w:val="006F74"/>
        </w:rPr>
        <w:t>Đánh giá chung: chính sách RMIT mạnh ở tính cân bằng - vừa chuẩn bị sinh viên dùng AI trong nghề nghiệp, vừa giữ tiêu chuẩn học thuật. Điểm cần lưu ý là quy định có thể thay đổi theo từng môn và từng bài, nên cách an toàn nhất là đọc đề, hỏi giảng viên khi chưa rõ, và lưu lại dấu vết quá trình làm bài.</w:t>
      </w:r>
    </w:p>
    <w:p>
      <w:pPr>
        <w:pStyle w:val="Heading1"/>
      </w:pPr>
      <w:r>
        <w:t>3. Nhiệm vụ học tập có sử dụng AI</w:t>
      </w:r>
    </w:p>
    <w:p>
      <w:pPr>
        <w:spacing w:after="120" w:before="0" w:line="264" w:lineRule="auto"/>
      </w:pPr>
      <w:r>
        <w:rPr>
          <w:rFonts w:ascii="Calibri" w:hAnsi="Calibri" w:eastAsia="Calibri"/>
        </w:rPr>
        <w:t>Nhiệm vụ được chọn: dùng AI hỗ trợ lập khung nghiên cứu và rà soát lập luận cho chính báo cáo này. AI không được dùng như nguồn trích dẫn cuối cùng; mọi khẳng định về chính sách được đối chiếu với trang chính thức của RMIT.</w:t>
      </w:r>
    </w:p>
    <w:tbl>
      <w:tblPr>
        <w:tblW w:type="dxa" w:w="9360"/>
        <w:jc w:val="center"/>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20"/>
        <w:gridCol w:w="2630"/>
        <w:gridCol w:w="3150"/>
        <w:gridCol w:w="3160"/>
      </w:tblGrid>
      <w:tr>
        <w:tc>
          <w:tcPr>
            <w:tcW w:type="dxa" w:w="420"/>
            <w:shd w:fill="E8EEF5"/>
            <w:tcMar>
              <w:top w:w="80" w:type="dxa"/>
              <w:start w:w="120" w:type="dxa"/>
              <w:bottom w:w="80" w:type="dxa"/>
              <w:end w:w="120" w:type="dxa"/>
            </w:tcMar>
            <w:vAlign w:val="center"/>
          </w:tcPr>
          <w:p>
            <w:pPr>
              <w:spacing w:after="0"/>
            </w:pPr>
            <w:r>
              <w:rPr>
                <w:rFonts w:ascii="Calibri" w:hAnsi="Calibri" w:eastAsia="Calibri"/>
                <w:b/>
                <w:color w:val="0D304C"/>
                <w:sz w:val="16"/>
              </w:rPr>
              <w:t>#</w:t>
            </w:r>
          </w:p>
        </w:tc>
        <w:tc>
          <w:tcPr>
            <w:tcW w:type="dxa" w:w="2630"/>
            <w:shd w:fill="E8EEF5"/>
            <w:tcMar>
              <w:top w:w="80" w:type="dxa"/>
              <w:start w:w="120" w:type="dxa"/>
              <w:bottom w:w="80" w:type="dxa"/>
              <w:end w:w="120" w:type="dxa"/>
            </w:tcMar>
            <w:vAlign w:val="center"/>
          </w:tcPr>
          <w:p>
            <w:pPr>
              <w:spacing w:after="0"/>
            </w:pPr>
            <w:r>
              <w:rPr>
                <w:rFonts w:ascii="Calibri" w:hAnsi="Calibri" w:eastAsia="Calibri"/>
                <w:b/>
                <w:color w:val="0D304C"/>
                <w:sz w:val="16"/>
              </w:rPr>
              <w:t>Prompt đã dùng</w:t>
            </w:r>
          </w:p>
        </w:tc>
        <w:tc>
          <w:tcPr>
            <w:tcW w:type="dxa" w:w="3150"/>
            <w:shd w:fill="E8EEF5"/>
            <w:tcMar>
              <w:top w:w="80" w:type="dxa"/>
              <w:start w:w="120" w:type="dxa"/>
              <w:bottom w:w="80" w:type="dxa"/>
              <w:end w:w="120" w:type="dxa"/>
            </w:tcMar>
            <w:vAlign w:val="center"/>
          </w:tcPr>
          <w:p>
            <w:pPr>
              <w:spacing w:after="0"/>
            </w:pPr>
            <w:r>
              <w:rPr>
                <w:rFonts w:ascii="Calibri" w:hAnsi="Calibri" w:eastAsia="Calibri"/>
                <w:b/>
                <w:color w:val="0D304C"/>
                <w:sz w:val="16"/>
              </w:rPr>
              <w:t>Đầu ra AI ghi nhận</w:t>
            </w:r>
          </w:p>
        </w:tc>
        <w:tc>
          <w:tcPr>
            <w:tcW w:type="dxa" w:w="3160"/>
            <w:shd w:fill="E8EEF5"/>
            <w:tcMar>
              <w:top w:w="80" w:type="dxa"/>
              <w:start w:w="120" w:type="dxa"/>
              <w:bottom w:w="80" w:type="dxa"/>
              <w:end w:w="120" w:type="dxa"/>
            </w:tcMar>
            <w:vAlign w:val="center"/>
          </w:tcPr>
          <w:p>
            <w:pPr>
              <w:spacing w:after="0"/>
            </w:pPr>
            <w:r>
              <w:rPr>
                <w:rFonts w:ascii="Calibri" w:hAnsi="Calibri" w:eastAsia="Calibri"/>
                <w:b/>
                <w:color w:val="0D304C"/>
                <w:sz w:val="16"/>
              </w:rPr>
              <w:t>Cách đánh giá, chỉnh sửa và tích hợp</w:t>
            </w:r>
          </w:p>
        </w:tc>
      </w:tr>
      <w:tr>
        <w:tc>
          <w:tcPr>
            <w:tcW w:type="dxa" w:w="420"/>
            <w:tcMar>
              <w:top w:w="80" w:type="dxa"/>
              <w:start w:w="120" w:type="dxa"/>
              <w:bottom w:w="80" w:type="dxa"/>
              <w:end w:w="120" w:type="dxa"/>
            </w:tcMar>
            <w:vAlign w:val="center"/>
          </w:tcPr>
          <w:p>
            <w:pPr>
              <w:spacing w:after="0" w:line="252" w:lineRule="auto"/>
            </w:pPr>
            <w:r>
              <w:rPr>
                <w:rFonts w:ascii="Calibri" w:hAnsi="Calibri" w:eastAsia="Calibri"/>
                <w:color w:val="1E293B"/>
                <w:sz w:val="16"/>
              </w:rPr>
              <w:t>1</w:t>
            </w:r>
          </w:p>
        </w:tc>
        <w:tc>
          <w:tcPr>
            <w:tcW w:type="dxa" w:w="2630"/>
            <w:tcMar>
              <w:top w:w="80" w:type="dxa"/>
              <w:start w:w="120" w:type="dxa"/>
              <w:bottom w:w="80" w:type="dxa"/>
              <w:end w:w="120" w:type="dxa"/>
            </w:tcMar>
            <w:vAlign w:val="center"/>
          </w:tcPr>
          <w:p>
            <w:pPr>
              <w:spacing w:after="0" w:line="252" w:lineRule="auto"/>
            </w:pPr>
            <w:r>
              <w:rPr>
                <w:rFonts w:ascii="Calibri" w:hAnsi="Calibri" w:eastAsia="Calibri"/>
                <w:color w:val="1E293B"/>
                <w:sz w:val="16"/>
              </w:rPr>
              <w:t>Tóm tắt chính sách RMIT về AI trong học tập, chỉ dùng nguồn chính thức.</w:t>
            </w:r>
          </w:p>
        </w:tc>
        <w:tc>
          <w:tcPr>
            <w:tcW w:type="dxa" w:w="3150"/>
            <w:tcMar>
              <w:top w:w="80" w:type="dxa"/>
              <w:start w:w="120" w:type="dxa"/>
              <w:bottom w:w="80" w:type="dxa"/>
              <w:end w:w="120" w:type="dxa"/>
            </w:tcMar>
            <w:vAlign w:val="center"/>
          </w:tcPr>
          <w:p>
            <w:pPr>
              <w:spacing w:after="0" w:line="252" w:lineRule="auto"/>
            </w:pPr>
            <w:r>
              <w:rPr>
                <w:rFonts w:ascii="Calibri" w:hAnsi="Calibri" w:eastAsia="Calibri"/>
                <w:color w:val="1E293B"/>
                <w:sz w:val="16"/>
              </w:rPr>
              <w:t>AI gợi ý bốn ý: kiểm tra hướng dẫn môn học; AI được dùng để học, lập kế hoạch, luyện tập; phải kiểm chứng và ghi nhận AI; tránh nhập dữ liệu nhạy cảm.</w:t>
            </w:r>
          </w:p>
        </w:tc>
        <w:tc>
          <w:tcPr>
            <w:tcW w:type="dxa" w:w="3160"/>
            <w:tcMar>
              <w:top w:w="80" w:type="dxa"/>
              <w:start w:w="120" w:type="dxa"/>
              <w:bottom w:w="80" w:type="dxa"/>
              <w:end w:w="120" w:type="dxa"/>
            </w:tcMar>
            <w:vAlign w:val="center"/>
          </w:tcPr>
          <w:p>
            <w:pPr>
              <w:spacing w:after="0" w:line="252" w:lineRule="auto"/>
            </w:pPr>
            <w:r>
              <w:rPr>
                <w:rFonts w:ascii="Calibri" w:hAnsi="Calibri" w:eastAsia="Calibri"/>
                <w:color w:val="1E293B"/>
                <w:sz w:val="16"/>
              </w:rPr>
              <w:t>Giữ ý chính, sau đó đối chiếu từng điểm với trang RMIT về AI in learning và Using AI responsibly in assessments.</w:t>
            </w:r>
          </w:p>
        </w:tc>
      </w:tr>
      <w:tr>
        <w:tc>
          <w:tcPr>
            <w:tcW w:type="dxa" w:w="420"/>
            <w:tcMar>
              <w:top w:w="80" w:type="dxa"/>
              <w:start w:w="120" w:type="dxa"/>
              <w:bottom w:w="80" w:type="dxa"/>
              <w:end w:w="120" w:type="dxa"/>
            </w:tcMar>
            <w:vAlign w:val="center"/>
          </w:tcPr>
          <w:p>
            <w:pPr>
              <w:spacing w:after="0" w:line="252" w:lineRule="auto"/>
            </w:pPr>
            <w:r>
              <w:rPr>
                <w:rFonts w:ascii="Calibri" w:hAnsi="Calibri" w:eastAsia="Calibri"/>
                <w:color w:val="1E293B"/>
                <w:sz w:val="16"/>
              </w:rPr>
              <w:t>2</w:t>
            </w:r>
          </w:p>
        </w:tc>
        <w:tc>
          <w:tcPr>
            <w:tcW w:type="dxa" w:w="2630"/>
            <w:tcMar>
              <w:top w:w="80" w:type="dxa"/>
              <w:start w:w="120" w:type="dxa"/>
              <w:bottom w:w="80" w:type="dxa"/>
              <w:end w:w="120" w:type="dxa"/>
            </w:tcMar>
            <w:vAlign w:val="center"/>
          </w:tcPr>
          <w:p>
            <w:pPr>
              <w:spacing w:after="0" w:line="252" w:lineRule="auto"/>
            </w:pPr>
            <w:r>
              <w:rPr>
                <w:rFonts w:ascii="Calibri" w:hAnsi="Calibri" w:eastAsia="Calibri"/>
                <w:color w:val="1E293B"/>
                <w:sz w:val="16"/>
              </w:rPr>
              <w:t>Phân tích ranh giới giữa hỗ trợ hợp lý và gian lận học thuật.</w:t>
            </w:r>
          </w:p>
        </w:tc>
        <w:tc>
          <w:tcPr>
            <w:tcW w:type="dxa" w:w="3150"/>
            <w:tcMar>
              <w:top w:w="80" w:type="dxa"/>
              <w:start w:w="120" w:type="dxa"/>
              <w:bottom w:w="80" w:type="dxa"/>
              <w:end w:w="120" w:type="dxa"/>
            </w:tcMar>
            <w:vAlign w:val="center"/>
          </w:tcPr>
          <w:p>
            <w:pPr>
              <w:spacing w:after="0" w:line="252" w:lineRule="auto"/>
            </w:pPr>
            <w:r>
              <w:rPr>
                <w:rFonts w:ascii="Calibri" w:hAnsi="Calibri" w:eastAsia="Calibri"/>
                <w:color w:val="1E293B"/>
                <w:sz w:val="16"/>
              </w:rPr>
              <w:t>AI nêu ranh giới dựa trên ba câu hỏi: công cụ có được phép không, người học có hiểu nội dung không, và có minh bạch không.</w:t>
            </w:r>
          </w:p>
        </w:tc>
        <w:tc>
          <w:tcPr>
            <w:tcW w:type="dxa" w:w="3160"/>
            <w:tcMar>
              <w:top w:w="80" w:type="dxa"/>
              <w:start w:w="120" w:type="dxa"/>
              <w:bottom w:w="80" w:type="dxa"/>
              <w:end w:w="120" w:type="dxa"/>
            </w:tcMar>
            <w:vAlign w:val="center"/>
          </w:tcPr>
          <w:p>
            <w:pPr>
              <w:spacing w:after="0" w:line="252" w:lineRule="auto"/>
            </w:pPr>
            <w:r>
              <w:rPr>
                <w:rFonts w:ascii="Calibri" w:hAnsi="Calibri" w:eastAsia="Calibri"/>
                <w:color w:val="1E293B"/>
                <w:sz w:val="16"/>
              </w:rPr>
              <w:t>Bổ sung ví dụ cụ thể: AI giải thích khái niệm là hỗ trợ; AI viết toàn bộ bài khi đề không cho phép là ghostwriting/gian lận.</w:t>
            </w:r>
          </w:p>
        </w:tc>
      </w:tr>
      <w:tr>
        <w:tc>
          <w:tcPr>
            <w:tcW w:type="dxa" w:w="420"/>
            <w:tcMar>
              <w:top w:w="80" w:type="dxa"/>
              <w:start w:w="120" w:type="dxa"/>
              <w:bottom w:w="80" w:type="dxa"/>
              <w:end w:w="120" w:type="dxa"/>
            </w:tcMar>
            <w:vAlign w:val="center"/>
          </w:tcPr>
          <w:p>
            <w:pPr>
              <w:spacing w:after="0" w:line="252" w:lineRule="auto"/>
            </w:pPr>
            <w:r>
              <w:rPr>
                <w:rFonts w:ascii="Calibri" w:hAnsi="Calibri" w:eastAsia="Calibri"/>
                <w:color w:val="1E293B"/>
                <w:sz w:val="16"/>
              </w:rPr>
              <w:t>3</w:t>
            </w:r>
          </w:p>
        </w:tc>
        <w:tc>
          <w:tcPr>
            <w:tcW w:type="dxa" w:w="2630"/>
            <w:tcMar>
              <w:top w:w="80" w:type="dxa"/>
              <w:start w:w="120" w:type="dxa"/>
              <w:bottom w:w="80" w:type="dxa"/>
              <w:end w:w="120" w:type="dxa"/>
            </w:tcMar>
            <w:vAlign w:val="center"/>
          </w:tcPr>
          <w:p>
            <w:pPr>
              <w:spacing w:after="0" w:line="252" w:lineRule="auto"/>
            </w:pPr>
            <w:r>
              <w:rPr>
                <w:rFonts w:ascii="Calibri" w:hAnsi="Calibri" w:eastAsia="Calibri"/>
                <w:color w:val="1E293B"/>
                <w:sz w:val="16"/>
              </w:rPr>
              <w:t>Đề xuất 5-7 nguyên tắc cá nhân về sử dụng AI có trách nhiệm.</w:t>
            </w:r>
          </w:p>
        </w:tc>
        <w:tc>
          <w:tcPr>
            <w:tcW w:type="dxa" w:w="3150"/>
            <w:tcMar>
              <w:top w:w="80" w:type="dxa"/>
              <w:start w:w="120" w:type="dxa"/>
              <w:bottom w:w="80" w:type="dxa"/>
              <w:end w:w="120" w:type="dxa"/>
            </w:tcMar>
            <w:vAlign w:val="center"/>
          </w:tcPr>
          <w:p>
            <w:pPr>
              <w:spacing w:after="0" w:line="252" w:lineRule="auto"/>
            </w:pPr>
            <w:r>
              <w:rPr>
                <w:rFonts w:ascii="Calibri" w:hAnsi="Calibri" w:eastAsia="Calibri"/>
                <w:color w:val="1E293B"/>
                <w:sz w:val="16"/>
              </w:rPr>
              <w:t>AI đề xuất các nhóm nguyên tắc: xin phép, kiểm chứng, trích dẫn, bảo vệ dữ liệu, giữ quyền tác giả, tự đánh giá.</w:t>
            </w:r>
          </w:p>
        </w:tc>
        <w:tc>
          <w:tcPr>
            <w:tcW w:type="dxa" w:w="3160"/>
            <w:tcMar>
              <w:top w:w="80" w:type="dxa"/>
              <w:start w:w="120" w:type="dxa"/>
              <w:bottom w:w="80" w:type="dxa"/>
              <w:end w:w="120" w:type="dxa"/>
            </w:tcMar>
            <w:vAlign w:val="center"/>
          </w:tcPr>
          <w:p>
            <w:pPr>
              <w:spacing w:after="0" w:line="252" w:lineRule="auto"/>
            </w:pPr>
            <w:r>
              <w:rPr>
                <w:rFonts w:ascii="Calibri" w:hAnsi="Calibri" w:eastAsia="Calibri"/>
                <w:color w:val="1E293B"/>
                <w:sz w:val="16"/>
              </w:rPr>
              <w:t>Chỉnh thành 7 nguyên tắc hành động ngắn gọn, liên kết trực tiếp với ba vấn đề đạo đức của báo cáo.</w:t>
            </w:r>
          </w:p>
        </w:tc>
      </w:tr>
      <w:tr>
        <w:tc>
          <w:tcPr>
            <w:tcW w:type="dxa" w:w="420"/>
            <w:tcMar>
              <w:top w:w="80" w:type="dxa"/>
              <w:start w:w="120" w:type="dxa"/>
              <w:bottom w:w="80" w:type="dxa"/>
              <w:end w:w="120" w:type="dxa"/>
            </w:tcMar>
            <w:vAlign w:val="center"/>
          </w:tcPr>
          <w:p>
            <w:pPr>
              <w:spacing w:after="0" w:line="252" w:lineRule="auto"/>
            </w:pPr>
            <w:r>
              <w:rPr>
                <w:rFonts w:ascii="Calibri" w:hAnsi="Calibri" w:eastAsia="Calibri"/>
                <w:color w:val="1E293B"/>
                <w:sz w:val="16"/>
              </w:rPr>
              <w:t>4</w:t>
            </w:r>
          </w:p>
        </w:tc>
        <w:tc>
          <w:tcPr>
            <w:tcW w:type="dxa" w:w="2630"/>
            <w:tcMar>
              <w:top w:w="80" w:type="dxa"/>
              <w:start w:w="120" w:type="dxa"/>
              <w:bottom w:w="80" w:type="dxa"/>
              <w:end w:w="120" w:type="dxa"/>
            </w:tcMar>
            <w:vAlign w:val="center"/>
          </w:tcPr>
          <w:p>
            <w:pPr>
              <w:spacing w:after="0" w:line="252" w:lineRule="auto"/>
            </w:pPr>
            <w:r>
              <w:rPr>
                <w:rFonts w:ascii="Calibri" w:hAnsi="Calibri" w:eastAsia="Calibri"/>
                <w:color w:val="1E293B"/>
                <w:sz w:val="16"/>
              </w:rPr>
              <w:t>Gợi ý nội dung infographic 'Sử dụng AI có trách nhiệm trong học thuật'.</w:t>
            </w:r>
          </w:p>
        </w:tc>
        <w:tc>
          <w:tcPr>
            <w:tcW w:type="dxa" w:w="3150"/>
            <w:tcMar>
              <w:top w:w="80" w:type="dxa"/>
              <w:start w:w="120" w:type="dxa"/>
              <w:bottom w:w="80" w:type="dxa"/>
              <w:end w:w="120" w:type="dxa"/>
            </w:tcMar>
            <w:vAlign w:val="center"/>
          </w:tcPr>
          <w:p>
            <w:pPr>
              <w:spacing w:after="0" w:line="252" w:lineRule="auto"/>
            </w:pPr>
            <w:r>
              <w:rPr>
                <w:rFonts w:ascii="Calibri" w:hAnsi="Calibri" w:eastAsia="Calibri"/>
                <w:color w:val="1E293B"/>
                <w:sz w:val="16"/>
              </w:rPr>
              <w:t>AI đề xuất quy trình từ kiểm tra quy định, dùng để học, xác minh nguồn, trích dẫn, bảo vệ dữ liệu đến tự phản tỉnh.</w:t>
            </w:r>
          </w:p>
        </w:tc>
        <w:tc>
          <w:tcPr>
            <w:tcW w:type="dxa" w:w="3160"/>
            <w:tcMar>
              <w:top w:w="80" w:type="dxa"/>
              <w:start w:w="120" w:type="dxa"/>
              <w:bottom w:w="80" w:type="dxa"/>
              <w:end w:w="120" w:type="dxa"/>
            </w:tcMar>
            <w:vAlign w:val="center"/>
          </w:tcPr>
          <w:p>
            <w:pPr>
              <w:spacing w:after="0" w:line="252" w:lineRule="auto"/>
            </w:pPr>
            <w:r>
              <w:rPr>
                <w:rFonts w:ascii="Calibri" w:hAnsi="Calibri" w:eastAsia="Calibri"/>
                <w:color w:val="1E293B"/>
                <w:sz w:val="16"/>
              </w:rPr>
              <w:t>Thiết kế lại thành infographic 7 bước và công thức 3K: Kiểm tra - Kể rõ - Khẳng định.</w:t>
            </w:r>
          </w:p>
        </w:tc>
      </w:tr>
    </w:tbl>
    <w:p>
      <w:pPr>
        <w:spacing w:after="120" w:before="0" w:line="264" w:lineRule="auto"/>
      </w:pPr>
    </w:p>
    <w:p>
      <w:pPr>
        <w:spacing w:after="120" w:before="0" w:line="264" w:lineRule="auto"/>
      </w:pPr>
      <w:r>
        <w:rPr>
          <w:rFonts w:ascii="Calibri" w:hAnsi="Calibri" w:eastAsia="Calibri"/>
          <w:b/>
          <w:color w:val="0D304C"/>
        </w:rPr>
        <w:t>Tuyên bố minh bạch: Báo cáo có sử dụng ChatGPT/Codex để hỗ trợ tìm nguồn chính thức, lập dàn ý, gợi ý phản biện và thiết kế infographic. Người viết chịu trách nhiệm cuối cùng về lựa chọn nguồn, cấu trúc lập luận, diễn đạt tiếng Việt, kiểm chứng thông tin và quyết định nội dung nộp.</w:t>
      </w:r>
    </w:p>
    <w:p>
      <w:pPr>
        <w:pStyle w:val="Heading1"/>
      </w:pPr>
      <w:r>
        <w:t>4. Phân tích đạo đức khi dùng AI trong học thuật</w:t>
      </w:r>
    </w:p>
    <w:p>
      <w:pPr>
        <w:pStyle w:val="Heading2"/>
      </w:pPr>
      <w:r>
        <w:t>4.1. Ranh giới giữa hỗ trợ hợp lý và gian lận học thuật</w:t>
      </w:r>
    </w:p>
    <w:p>
      <w:pPr>
        <w:spacing w:after="120" w:before="0" w:line="264" w:lineRule="auto"/>
      </w:pPr>
      <w:r>
        <w:rPr>
          <w:rFonts w:ascii="Calibri" w:hAnsi="Calibri" w:eastAsia="Calibri"/>
        </w:rPr>
        <w:t>Hỗ trợ hợp lý xảy ra khi AI giúp người học hiểu vấn đề, tạo câu hỏi tự luyện, gợi ý cấu trúc hoặc phản hồi bản nháp, còn người học vẫn tự ra quyết định và tự chịu trách nhiệm. Gian lận xảy ra khi AI tạo phần đánh giá cốt lõi mà đề bài không cho phép, khi người học không hiểu nội dung mình nộp, hoặc khi cố tình che giấu đóng góp của AI. Ranh giới này không cố định vì mỗi môn có mục tiêu khác nhau: một môn về kỹ năng AI có thể yêu cầu dùng công cụ, trong khi một bài kiểm tra năng lực viết có thể hạn chế hoàn toàn. Vì vậy, nguyên tắc đầu tiên là kiểm tra quy định cụ thể trước khi dùng.</w:t>
      </w:r>
    </w:p>
    <w:p>
      <w:pPr>
        <w:pStyle w:val="Heading2"/>
      </w:pPr>
      <w:r>
        <w:t>4.2. Quyền sở hữu trí tuệ, trích dẫn và nguồn tin</w:t>
      </w:r>
    </w:p>
    <w:p>
      <w:pPr>
        <w:spacing w:after="120" w:before="0" w:line="264" w:lineRule="auto"/>
      </w:pPr>
      <w:r>
        <w:rPr>
          <w:rFonts w:ascii="Calibri" w:hAnsi="Calibri" w:eastAsia="Calibri"/>
        </w:rPr>
        <w:t>AI tạo sinh có thể tổng hợp câu chữ giống văn phong học thuật nhưng không phải là nguồn học thuật đáng tin. Nó có thể bịa tên bài báo, sai số liệu, hoặc tạo lập luận thiếu ngữ cảnh. Do đó, người học không nên trích AI thay cho nguồn gốc. Khi AI giúp phát triển ý tưởng hoặc chỉnh sửa câu chữ, cần ghi nhận AI trong phần tuyên bố sử dụng công cụ; khi dùng dữ kiện, lý thuyết hoặc chính sách, cần trích nguồn có thể kiểm chứng. Về sở hữu trí tuệ, sinh viên cũng không nên đưa tài liệu bản quyền, đề thi chưa công bố, dữ liệu cá nhân hoặc dữ liệu nhóm vào công cụ AI công khai nếu chưa được phép.</w:t>
      </w:r>
    </w:p>
    <w:p>
      <w:pPr>
        <w:pStyle w:val="Heading2"/>
      </w:pPr>
      <w:r>
        <w:t>4.3. Tác động đến quá trình học tập và phát triển kỹ năng</w:t>
      </w:r>
    </w:p>
    <w:p>
      <w:pPr>
        <w:spacing w:after="120" w:before="0" w:line="264" w:lineRule="auto"/>
      </w:pPr>
      <w:r>
        <w:rPr>
          <w:rFonts w:ascii="Calibri" w:hAnsi="Calibri" w:eastAsia="Calibri"/>
        </w:rPr>
        <w:t>AI có thể làm tăng tốc độ học, nhưng cũng có thể làm mỏng quá trình tư duy nếu sinh viên chỉ nhận đáp án. Rủi ro lớn nhất là ảo tưởng năng lực: bài nộp trông trôi chảy nhưng người học không thực sự nắm khái niệm, không giải thích được quyết định của mình và không phát triển kỹ năng viết, đọc nguồn, phản biện. Cách dùng có lợi hơn là biến AI thành người đối thoại: yêu cầu AI đặt câu hỏi, chỉ ra điểm yếu trong lập luận, đề xuất nguồn cần kiểm chứng, hoặc tạo bài tự kiểm tra. Khi người học phải sửa, bác bỏ hoặc bảo vệ ý trước AI, quá trình học vẫn thuộc về người học.</w:t>
      </w:r>
    </w:p>
    <w:p>
      <w:pPr>
        <w:pStyle w:val="Heading1"/>
      </w:pPr>
      <w:r>
        <w:t>5. Bộ nguyên tắc cá nhân</w:t>
      </w:r>
    </w:p>
    <w:p>
      <w:pPr>
        <w:pStyle w:val="ListNumber"/>
        <w:spacing w:after="80" w:line="276" w:lineRule="auto"/>
      </w:pPr>
      <w:r>
        <w:rPr>
          <w:rFonts w:ascii="Calibri" w:hAnsi="Calibri" w:eastAsia="Calibri"/>
          <w:sz w:val="21"/>
        </w:rPr>
        <w:t>Hỏi quy định trước: chỉ dùng AI trong phạm vi đề bài, môn học và giảng viên cho phép.</w:t>
      </w:r>
    </w:p>
    <w:p>
      <w:pPr>
        <w:pStyle w:val="ListNumber"/>
        <w:spacing w:after="80" w:line="276" w:lineRule="auto"/>
      </w:pPr>
      <w:r>
        <w:rPr>
          <w:rFonts w:ascii="Calibri" w:hAnsi="Calibri" w:eastAsia="Calibri"/>
          <w:sz w:val="21"/>
        </w:rPr>
        <w:t>Học trước, tự động hóa sau: dùng AI để hiểu và luyện tập, không dùng để thay thế phần năng lực cần được đánh giá.</w:t>
      </w:r>
    </w:p>
    <w:p>
      <w:pPr>
        <w:pStyle w:val="ListNumber"/>
        <w:spacing w:after="80" w:line="276" w:lineRule="auto"/>
      </w:pPr>
      <w:r>
        <w:rPr>
          <w:rFonts w:ascii="Calibri" w:hAnsi="Calibri" w:eastAsia="Calibri"/>
          <w:sz w:val="21"/>
        </w:rPr>
        <w:t>Kiểm chứng từng dữ kiện: mọi số liệu, chính sách, khái niệm và trích dẫn phải đối chiếu với nguồn tin cậy.</w:t>
      </w:r>
    </w:p>
    <w:p>
      <w:pPr>
        <w:pStyle w:val="ListNumber"/>
        <w:spacing w:after="80" w:line="276" w:lineRule="auto"/>
      </w:pPr>
      <w:r>
        <w:rPr>
          <w:rFonts w:ascii="Calibri" w:hAnsi="Calibri" w:eastAsia="Calibri"/>
          <w:sz w:val="21"/>
        </w:rPr>
        <w:t>Minh bạch về đóng góp của AI: ghi công cụ, prompt chính, loại đầu ra đã dùng và cách mình chỉnh sửa.</w:t>
      </w:r>
    </w:p>
    <w:p>
      <w:pPr>
        <w:pStyle w:val="ListNumber"/>
        <w:spacing w:after="80" w:line="276" w:lineRule="auto"/>
      </w:pPr>
      <w:r>
        <w:rPr>
          <w:rFonts w:ascii="Calibri" w:hAnsi="Calibri" w:eastAsia="Calibri"/>
          <w:sz w:val="21"/>
        </w:rPr>
        <w:t>Bảo vệ dữ liệu: không đưa thông tin cá nhân, dữ liệu nhạy cảm, dữ liệu nhóm hoặc tài liệu chưa được phép vào AI công khai.</w:t>
      </w:r>
    </w:p>
    <w:p>
      <w:pPr>
        <w:pStyle w:val="ListNumber"/>
        <w:spacing w:after="80" w:line="276" w:lineRule="auto"/>
      </w:pPr>
      <w:r>
        <w:rPr>
          <w:rFonts w:ascii="Calibri" w:hAnsi="Calibri" w:eastAsia="Calibri"/>
          <w:sz w:val="21"/>
        </w:rPr>
        <w:t>Giữ quyền tác giả học thuật: bản nộp cuối cùng phải là lập luận mình hiểu, diễn đạt và có thể giải thích.</w:t>
      </w:r>
    </w:p>
    <w:p>
      <w:pPr>
        <w:pStyle w:val="ListNumber"/>
        <w:spacing w:after="80" w:line="276" w:lineRule="auto"/>
      </w:pPr>
      <w:r>
        <w:rPr>
          <w:rFonts w:ascii="Calibri" w:hAnsi="Calibri" w:eastAsia="Calibri"/>
          <w:sz w:val="21"/>
        </w:rPr>
        <w:t>Dùng AI để phản tỉnh: yêu cầu AI phản biện bản nháp, nhưng quyết định cuối cùng dựa trên tiêu chí môn học và phán đoán của bản thân.</w:t>
      </w:r>
    </w:p>
    <w:p>
      <w:pPr>
        <w:pStyle w:val="Heading1"/>
      </w:pPr>
      <w:r>
        <w:t>6. Tự kiểm theo rubric</w:t>
      </w:r>
    </w:p>
    <w:tbl>
      <w:tblPr>
        <w:tblW w:type="dxa" w:w="9360"/>
        <w:jc w:val="center"/>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50"/>
        <w:gridCol w:w="6910"/>
      </w:tblGrid>
      <w:tr>
        <w:tc>
          <w:tcPr>
            <w:tcW w:type="dxa" w:w="2450"/>
            <w:shd w:fill="E8EEF5"/>
            <w:tcMar>
              <w:top w:w="80" w:type="dxa"/>
              <w:start w:w="120" w:type="dxa"/>
              <w:bottom w:w="80" w:type="dxa"/>
              <w:end w:w="120" w:type="dxa"/>
            </w:tcMar>
            <w:vAlign w:val="center"/>
          </w:tcPr>
          <w:p>
            <w:pPr>
              <w:spacing w:after="0"/>
            </w:pPr>
            <w:r>
              <w:rPr>
                <w:rFonts w:ascii="Calibri" w:hAnsi="Calibri" w:eastAsia="Calibri"/>
                <w:b/>
                <w:color w:val="0D304C"/>
                <w:sz w:val="17"/>
              </w:rPr>
              <w:t>Yêu cầu</w:t>
            </w:r>
          </w:p>
        </w:tc>
        <w:tc>
          <w:tcPr>
            <w:tcW w:type="dxa" w:w="6910"/>
            <w:shd w:fill="E8EEF5"/>
            <w:tcMar>
              <w:top w:w="80" w:type="dxa"/>
              <w:start w:w="120" w:type="dxa"/>
              <w:bottom w:w="80" w:type="dxa"/>
              <w:end w:w="120" w:type="dxa"/>
            </w:tcMar>
            <w:vAlign w:val="center"/>
          </w:tcPr>
          <w:p>
            <w:pPr>
              <w:spacing w:after="0"/>
            </w:pPr>
            <w:r>
              <w:rPr>
                <w:rFonts w:ascii="Calibri" w:hAnsi="Calibri" w:eastAsia="Calibri"/>
                <w:b/>
                <w:color w:val="0D304C"/>
                <w:sz w:val="17"/>
              </w:rPr>
              <w:t>Minh chứng trong bài</w:t>
            </w:r>
          </w:p>
        </w:tc>
      </w:tr>
      <w:t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1E293B"/>
                <w:sz w:val="17"/>
              </w:rPr>
              <w:t>Chính sách của trường</w:t>
            </w:r>
          </w:p>
        </w:tc>
        <w:tc>
          <w:tcPr>
            <w:tcW w:type="dxa" w:w="6910"/>
            <w:tcMar>
              <w:top w:w="80" w:type="dxa"/>
              <w:start w:w="120" w:type="dxa"/>
              <w:bottom w:w="80" w:type="dxa"/>
              <w:end w:w="120" w:type="dxa"/>
            </w:tcMar>
            <w:vAlign w:val="center"/>
          </w:tcPr>
          <w:p>
            <w:pPr>
              <w:spacing w:after="0" w:line="252" w:lineRule="auto"/>
            </w:pPr>
            <w:r>
              <w:rPr>
                <w:rFonts w:ascii="Calibri" w:hAnsi="Calibri" w:eastAsia="Calibri"/>
                <w:color w:val="1E293B"/>
                <w:sz w:val="17"/>
              </w:rPr>
              <w:t>Phần 2 tổng hợp chính sách RMIT, quy định đánh giá, Responsible AI và nghiên cứu.</w:t>
            </w:r>
          </w:p>
        </w:tc>
      </w:tr>
      <w:t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1E293B"/>
                <w:sz w:val="17"/>
              </w:rPr>
              <w:t>Quá trình dùng AI</w:t>
            </w:r>
          </w:p>
        </w:tc>
        <w:tc>
          <w:tcPr>
            <w:tcW w:type="dxa" w:w="6910"/>
            <w:tcMar>
              <w:top w:w="80" w:type="dxa"/>
              <w:start w:w="120" w:type="dxa"/>
              <w:bottom w:w="80" w:type="dxa"/>
              <w:end w:w="120" w:type="dxa"/>
            </w:tcMar>
            <w:vAlign w:val="center"/>
          </w:tcPr>
          <w:p>
            <w:pPr>
              <w:spacing w:after="0" w:line="252" w:lineRule="auto"/>
            </w:pPr>
            <w:r>
              <w:rPr>
                <w:rFonts w:ascii="Calibri" w:hAnsi="Calibri" w:eastAsia="Calibri"/>
                <w:color w:val="1E293B"/>
                <w:sz w:val="17"/>
              </w:rPr>
              <w:t>Phần 3 ghi prompt, đầu ra AI và cách kiểm chứng/chỉnh sửa.</w:t>
            </w:r>
          </w:p>
        </w:tc>
      </w:tr>
      <w:t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1E293B"/>
                <w:sz w:val="17"/>
              </w:rPr>
              <w:t>Đạo đức học thuật</w:t>
            </w:r>
          </w:p>
        </w:tc>
        <w:tc>
          <w:tcPr>
            <w:tcW w:type="dxa" w:w="6910"/>
            <w:tcMar>
              <w:top w:w="80" w:type="dxa"/>
              <w:start w:w="120" w:type="dxa"/>
              <w:bottom w:w="80" w:type="dxa"/>
              <w:end w:w="120" w:type="dxa"/>
            </w:tcMar>
            <w:vAlign w:val="center"/>
          </w:tcPr>
          <w:p>
            <w:pPr>
              <w:spacing w:after="0" w:line="252" w:lineRule="auto"/>
            </w:pPr>
            <w:r>
              <w:rPr>
                <w:rFonts w:ascii="Calibri" w:hAnsi="Calibri" w:eastAsia="Calibri"/>
                <w:color w:val="1E293B"/>
                <w:sz w:val="17"/>
              </w:rPr>
              <w:t>Phần 4 phân tích ranh giới hỗ trợ - gian lận, sở hữu trí tuệ/trích dẫn và tác động học tập.</w:t>
            </w:r>
          </w:p>
        </w:tc>
      </w:tr>
      <w:t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1E293B"/>
                <w:sz w:val="17"/>
              </w:rPr>
              <w:t>Nguyên tắc cá nhân</w:t>
            </w:r>
          </w:p>
        </w:tc>
        <w:tc>
          <w:tcPr>
            <w:tcW w:type="dxa" w:w="6910"/>
            <w:tcMar>
              <w:top w:w="80" w:type="dxa"/>
              <w:start w:w="120" w:type="dxa"/>
              <w:bottom w:w="80" w:type="dxa"/>
              <w:end w:w="120" w:type="dxa"/>
            </w:tcMar>
            <w:vAlign w:val="center"/>
          </w:tcPr>
          <w:p>
            <w:pPr>
              <w:spacing w:after="0" w:line="252" w:lineRule="auto"/>
            </w:pPr>
            <w:r>
              <w:rPr>
                <w:rFonts w:ascii="Calibri" w:hAnsi="Calibri" w:eastAsia="Calibri"/>
                <w:color w:val="1E293B"/>
                <w:sz w:val="17"/>
              </w:rPr>
              <w:t>Phần 5 gồm 7 nguyên tắc hành động có thể áp dụng.</w:t>
            </w:r>
          </w:p>
        </w:tc>
      </w:tr>
      <w:tr>
        <w:tc>
          <w:tcPr>
            <w:tcW w:type="dxa" w:w="2450"/>
            <w:tcMar>
              <w:top w:w="80" w:type="dxa"/>
              <w:start w:w="120" w:type="dxa"/>
              <w:bottom w:w="80" w:type="dxa"/>
              <w:end w:w="120" w:type="dxa"/>
            </w:tcMar>
            <w:vAlign w:val="center"/>
          </w:tcPr>
          <w:p>
            <w:pPr>
              <w:spacing w:after="0" w:line="252" w:lineRule="auto"/>
            </w:pPr>
            <w:r>
              <w:rPr>
                <w:rFonts w:ascii="Calibri" w:hAnsi="Calibri" w:eastAsia="Calibri"/>
                <w:color w:val="1E293B"/>
                <w:sz w:val="17"/>
              </w:rPr>
              <w:t>Infographic</w:t>
            </w:r>
          </w:p>
        </w:tc>
        <w:tc>
          <w:tcPr>
            <w:tcW w:type="dxa" w:w="6910"/>
            <w:tcMar>
              <w:top w:w="80" w:type="dxa"/>
              <w:start w:w="120" w:type="dxa"/>
              <w:bottom w:w="80" w:type="dxa"/>
              <w:end w:w="120" w:type="dxa"/>
            </w:tcMar>
            <w:vAlign w:val="center"/>
          </w:tcPr>
          <w:p>
            <w:pPr>
              <w:spacing w:after="0" w:line="252" w:lineRule="auto"/>
            </w:pPr>
            <w:r>
              <w:rPr>
                <w:rFonts w:ascii="Calibri" w:hAnsi="Calibri" w:eastAsia="Calibri"/>
                <w:color w:val="1E293B"/>
                <w:sz w:val="17"/>
              </w:rPr>
              <w:t>Trang cuối minh họa quy trình 7 bước và công thức 3K.</w:t>
            </w:r>
          </w:p>
        </w:tc>
      </w:tr>
    </w:tbl>
    <w:p>
      <w:pPr>
        <w:pStyle w:val="Heading1"/>
      </w:pPr>
      <w:r>
        <w:t>Tài liệu tham khảo</w:t>
      </w:r>
    </w:p>
    <w:p>
      <w:pPr>
        <w:spacing w:after="60"/>
      </w:pPr>
      <w:r>
        <w:rPr>
          <w:rFonts w:ascii="Calibri" w:hAnsi="Calibri" w:eastAsia="Calibri"/>
          <w:sz w:val="17"/>
        </w:rPr>
        <w:t xml:space="preserve">1. RMIT Academic Integrity Policy. </w:t>
      </w:r>
      <w:hyperlink r:id="rId11">
        <w:r>
          <w:rPr>
            <w:color w:val="0563C1"/>
            <w:u w:val="single"/>
          </w:rPr>
          <w:t>https://policies.rmit.edu.au/document/view.php?id=168</w:t>
        </w:r>
      </w:hyperlink>
      <w:r>
        <w:rPr>
          <w:rFonts w:ascii="Calibri" w:hAnsi="Calibri" w:eastAsia="Calibri"/>
          <w:sz w:val="17"/>
        </w:rPr>
        <w:t xml:space="preserve"> (truy cập 17/05/2026).</w:t>
      </w:r>
    </w:p>
    <w:p>
      <w:pPr>
        <w:spacing w:after="60"/>
      </w:pPr>
      <w:r>
        <w:rPr>
          <w:rFonts w:ascii="Calibri" w:hAnsi="Calibri" w:eastAsia="Calibri"/>
          <w:sz w:val="17"/>
        </w:rPr>
        <w:t xml:space="preserve">2. RMIT Vietnam - Academic integrity. </w:t>
      </w:r>
      <w:hyperlink r:id="rId12">
        <w:r>
          <w:rPr>
            <w:color w:val="0563C1"/>
            <w:u w:val="single"/>
          </w:rPr>
          <w:t>https://www.rmit.edu.vn/students/my-studies/assessment-and-results/academic-integrity</w:t>
        </w:r>
      </w:hyperlink>
      <w:r>
        <w:rPr>
          <w:rFonts w:ascii="Calibri" w:hAnsi="Calibri" w:eastAsia="Calibri"/>
          <w:sz w:val="17"/>
        </w:rPr>
        <w:t xml:space="preserve"> (truy cập 17/05/2026).</w:t>
      </w:r>
    </w:p>
    <w:p>
      <w:pPr>
        <w:spacing w:after="60"/>
      </w:pPr>
      <w:r>
        <w:rPr>
          <w:rFonts w:ascii="Calibri" w:hAnsi="Calibri" w:eastAsia="Calibri"/>
          <w:sz w:val="17"/>
        </w:rPr>
        <w:t xml:space="preserve">3. RMIT - Artificial intelligence in learning. </w:t>
      </w:r>
      <w:hyperlink r:id="rId13">
        <w:r>
          <w:rPr>
            <w:color w:val="0563C1"/>
            <w:u w:val="single"/>
          </w:rPr>
          <w:t>https://www.rmit.edu.au/students/my-course/ai-in-learning</w:t>
        </w:r>
      </w:hyperlink>
      <w:r>
        <w:rPr>
          <w:rFonts w:ascii="Calibri" w:hAnsi="Calibri" w:eastAsia="Calibri"/>
          <w:sz w:val="17"/>
        </w:rPr>
        <w:t xml:space="preserve"> (truy cập 17/05/2026).</w:t>
      </w:r>
    </w:p>
    <w:p>
      <w:pPr>
        <w:spacing w:after="60"/>
      </w:pPr>
      <w:r>
        <w:rPr>
          <w:rFonts w:ascii="Calibri" w:hAnsi="Calibri" w:eastAsia="Calibri"/>
          <w:sz w:val="17"/>
        </w:rPr>
        <w:t xml:space="preserve">4. RMIT - Using AI responsibly in assessments. </w:t>
      </w:r>
      <w:hyperlink r:id="rId14">
        <w:r>
          <w:rPr>
            <w:color w:val="0563C1"/>
            <w:u w:val="single"/>
          </w:rPr>
          <w:t>https://www.rmit.edu.au/students/my-course/ai-in-learning/using-ai-assessments</w:t>
        </w:r>
      </w:hyperlink>
      <w:r>
        <w:rPr>
          <w:rFonts w:ascii="Calibri" w:hAnsi="Calibri" w:eastAsia="Calibri"/>
          <w:sz w:val="17"/>
        </w:rPr>
        <w:t xml:space="preserve"> (truy cập 17/05/2026).</w:t>
      </w:r>
    </w:p>
    <w:p>
      <w:pPr>
        <w:spacing w:after="60"/>
      </w:pPr>
      <w:r>
        <w:rPr>
          <w:rFonts w:ascii="Calibri" w:hAnsi="Calibri" w:eastAsia="Calibri"/>
          <w:sz w:val="17"/>
        </w:rPr>
        <w:t xml:space="preserve">5. RMIT Responsible Artificial Intelligence Procedure. </w:t>
      </w:r>
      <w:hyperlink r:id="rId15">
        <w:r>
          <w:rPr>
            <w:color w:val="0563C1"/>
            <w:u w:val="single"/>
          </w:rPr>
          <w:t>https://policies.rmit.edu.au/download.php?id=305&amp;version=1</w:t>
        </w:r>
      </w:hyperlink>
      <w:r>
        <w:rPr>
          <w:rFonts w:ascii="Calibri" w:hAnsi="Calibri" w:eastAsia="Calibri"/>
          <w:sz w:val="17"/>
        </w:rPr>
        <w:t xml:space="preserve"> (truy cập 17/05/2026).</w:t>
      </w:r>
    </w:p>
    <w:p>
      <w:pPr>
        <w:spacing w:after="60"/>
      </w:pPr>
      <w:r>
        <w:rPr>
          <w:rFonts w:ascii="Calibri" w:hAnsi="Calibri" w:eastAsia="Calibri"/>
          <w:sz w:val="17"/>
        </w:rPr>
        <w:t xml:space="preserve">6. RMIT Vietnam News - higher education in the AI era. </w:t>
      </w:r>
      <w:hyperlink r:id="rId16">
        <w:r>
          <w:rPr>
            <w:color w:val="0563C1"/>
            <w:u w:val="single"/>
          </w:rPr>
          <w:t>https://www.rmit.edu.vn/news/all-news/2024/jan/rmit-spearheads-higher-educations-pragmatic-evolution-for-the-ai-era</w:t>
        </w:r>
      </w:hyperlink>
      <w:r>
        <w:rPr>
          <w:rFonts w:ascii="Calibri" w:hAnsi="Calibri" w:eastAsia="Calibri"/>
          <w:sz w:val="17"/>
        </w:rPr>
        <w:t xml:space="preserve"> (truy cập 17/05/2026).</w:t>
      </w:r>
    </w:p>
    <w:p>
      <w:pPr>
        <w:spacing w:after="60"/>
      </w:pPr>
      <w:r>
        <w:rPr>
          <w:rFonts w:ascii="Calibri" w:hAnsi="Calibri" w:eastAsia="Calibri"/>
          <w:sz w:val="17"/>
        </w:rPr>
        <w:t xml:space="preserve">7. RMIT Research Integrity and Generative AI report. </w:t>
      </w:r>
      <w:hyperlink r:id="rId17">
        <w:r>
          <w:rPr>
            <w:color w:val="0563C1"/>
            <w:u w:val="single"/>
          </w:rPr>
          <w:t>https://www.rmit.edu.au/content/dam/rmit/au/en/students/documents/services-support/study-support/rigai-report.pdf</w:t>
        </w:r>
      </w:hyperlink>
      <w:r>
        <w:rPr>
          <w:rFonts w:ascii="Calibri" w:hAnsi="Calibri" w:eastAsia="Calibri"/>
          <w:sz w:val="17"/>
        </w:rPr>
        <w:t xml:space="preserve"> (truy cập 17/05/2026).</w:t>
      </w:r>
    </w:p>
    <w:p>
      <w:r>
        <w:br w:type="page"/>
      </w:r>
    </w:p>
    <w:p>
      <w:pPr>
        <w:spacing w:after="160"/>
        <w:jc w:val="center"/>
      </w:pPr>
      <w:r>
        <w:rPr>
          <w:rFonts w:ascii="Calibri" w:hAnsi="Calibri" w:eastAsia="Calibri"/>
          <w:b/>
          <w:color w:val="0D304C"/>
          <w:sz w:val="30"/>
        </w:rPr>
        <w:t>Infographic minh họa</w:t>
      </w:r>
    </w:p>
    <w:p>
      <w:pPr>
        <w:jc w:val="center"/>
      </w:pPr>
      <w:r>
        <w:drawing>
          <wp:inline xmlns:a="http://schemas.openxmlformats.org/drawingml/2006/main" xmlns:pic="http://schemas.openxmlformats.org/drawingml/2006/picture">
            <wp:extent cx="5806440" cy="7620952"/>
            <wp:docPr id="1" name="Picture 1"/>
            <wp:cNvGraphicFramePr>
              <a:graphicFrameLocks noChangeAspect="1"/>
            </wp:cNvGraphicFramePr>
            <a:graphic>
              <a:graphicData uri="http://schemas.openxmlformats.org/drawingml/2006/picture">
                <pic:pic>
                  <pic:nvPicPr>
                    <pic:cNvPr id="0" name="Infographic_su_dung_AI_co_trach_nhiem.png"/>
                    <pic:cNvPicPr/>
                  </pic:nvPicPr>
                  <pic:blipFill>
                    <a:blip r:embed="rId18"/>
                    <a:stretch>
                      <a:fillRect/>
                    </a:stretch>
                  </pic:blipFill>
                  <pic:spPr>
                    <a:xfrm>
                      <a:off x="0" y="0"/>
                      <a:ext cx="5806440" cy="7620952"/>
                    </a:xfrm>
                    <a:prstGeom prst="rect"/>
                  </pic:spPr>
                </pic:pic>
              </a:graphicData>
            </a:graphic>
          </wp:inline>
        </w:drawing>
      </w:r>
    </w:p>
    <w:sectPr w:rsidR="00FC693F" w:rsidRPr="0006063C" w:rsidSect="00034616">
      <w:headerReference w:type="default" r:id="rId9"/>
      <w:footerReference w:type="default" r:id="rId10"/>
      <w:pgSz w:w="12240" w:h="15840"/>
      <w:pgMar w:top="1123"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5C6570"/>
        <w:sz w:val="17"/>
      </w:rPr>
      <w:t xml:space="preserve">Trang </w:t>
    </w:r>
    <w:r>
      <w:fldChar w:fldCharType="begin"/>
      <w:instrText xml:space="preserve">PAGE</w:instrText>
      <w:fldChar w:fldCharType="separate"/>
      <w:t>1</w:t>
      <w:fldChar w:fldCharType="end"/>
    </w:r>
    <w:r>
      <w:rPr>
        <w:rFonts w:ascii="Calibri" w:hAnsi="Calibri" w:eastAsia="Calibri"/>
        <w:color w:val="5C6570"/>
        <w:sz w:val="17"/>
      </w:rPr>
      <w:t xml:space="preserve"> | Truy cập nguồn: 17/05/2026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Calibri"/>
        <w:color w:val="5C6570"/>
        <w:sz w:val="17"/>
      </w:rPr>
      <w:t>Báo cáo học thuật | Sử dụng AI có trách nhiệm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eastAsia="Calibri"/>
      <w:color w:val="0D304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i/>
      <w:iCs/>
      <w:color w:val="5C657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olicies.rmit.edu.au/document/view.php?id=168" TargetMode="External"/><Relationship Id="rId12" Type="http://schemas.openxmlformats.org/officeDocument/2006/relationships/hyperlink" Target="https://www.rmit.edu.vn/students/my-studies/assessment-and-results/academic-integrity" TargetMode="External"/><Relationship Id="rId13" Type="http://schemas.openxmlformats.org/officeDocument/2006/relationships/hyperlink" Target="https://www.rmit.edu.au/students/my-course/ai-in-learning" TargetMode="External"/><Relationship Id="rId14" Type="http://schemas.openxmlformats.org/officeDocument/2006/relationships/hyperlink" Target="https://www.rmit.edu.au/students/my-course/ai-in-learning/using-ai-assessments" TargetMode="External"/><Relationship Id="rId15" Type="http://schemas.openxmlformats.org/officeDocument/2006/relationships/hyperlink" Target="https://policies.rmit.edu.au/download.php?id=305&amp;version=1" TargetMode="External"/><Relationship Id="rId16" Type="http://schemas.openxmlformats.org/officeDocument/2006/relationships/hyperlink" Target="https://www.rmit.edu.vn/news/all-news/2024/jan/rmit-spearheads-higher-educations-pragmatic-evolution-for-the-ai-era" TargetMode="External"/><Relationship Id="rId17" Type="http://schemas.openxmlformats.org/officeDocument/2006/relationships/hyperlink" Target="https://www.rmit.edu.au/content/dam/rmit/au/en/students/documents/services-support/study-support/rigai-report.pdf" TargetMode="External"/><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