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3864"/>
          <w:sz w:val="56"/>
          <w:szCs w:val="56"/>
        </w:rPr>
        <w:t xml:space="preserve">BNPL Financial Model</w:t>
      </w:r>
    </w:p>
    <w:p>
      <w:pPr>
        <w:spacing w:after="0" w:before="60"/>
      </w:pPr>
      <w:r>
        <w:rPr>
          <w:color w:val="2E5496"/>
          <w:sz w:val="30"/>
          <w:szCs w:val="30"/>
        </w:rPr>
        <w:t xml:space="preserve">A Business &amp; Finance Guide</w:t>
      </w:r>
    </w:p>
    <w:p>
      <w:pPr>
        <w:pBdr>
          <w:bottom w:val="single" w:color="2E5496" w:sz="8" w:space="6"/>
        </w:pBdr>
        <w:spacing w:after="240" w:before="200"/>
      </w:pPr>
      <w:r>
        <w:rPr>
          <w:i/>
          <w:iCs/>
          <w:color w:val="555555"/>
          <w:sz w:val="24"/>
          <w:szCs w:val="24"/>
        </w:rPr>
        <w:t xml:space="preserve">How the model works, what it measures, and how economic conditions flow through to profit, cash, and capital.</w:t>
      </w:r>
    </w:p>
    <w:p>
      <w:pPr>
        <w:spacing w:after="140" w:line="276"/>
      </w:pPr>
      <w:r>
        <w:rPr>
          <w:sz w:val="23"/>
          <w:szCs w:val="23"/>
        </w:rPr>
        <w:t xml:space="preserve">This is a plain-language companion to the BNPL financial-modeling application — a tool that builds a complete set of financial statements for a Buy-Now-Pay-Later lender and lets you test how different business and economic conditions change the outcome.</w:t>
      </w:r>
    </w:p>
    <w:p>
      <w:pPr>
        <w:spacing w:after="140" w:line="276"/>
      </w:pPr>
      <w:r>
        <w:rPr>
          <w:b/>
          <w:bCs/>
          <w:sz w:val="23"/>
          <w:szCs w:val="23"/>
        </w:rPr>
        <w:t xml:space="preserve">Every figure in this report is produced by the model itself</w:t>
      </w:r>
      <w:r>
        <w:rPr>
          <w:sz w:val="23"/>
          <w:szCs w:val="23"/>
        </w:rPr>
        <w:t xml:space="preserve">, using its default illustrative business over a 36-month projection. The numbers are realistic but illustrative — they describe a representative lender, not any specific company.</w:t>
      </w:r>
    </w:p>
    <w:p>
      <w:r>
        <w:br w:type="page"/>
      </w:r>
    </w:p>
    <w:p>
      <w:pPr>
        <w:spacing w:after="16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80"/>
      </w:pPr>
      <w:r>
        <w:rPr>
          <w:i/>
          <w:iCs/>
          <w:color w:val="777777"/>
          <w:sz w:val="20"/>
          <w:szCs w:val="20"/>
        </w:rPr>
        <w:t xml:space="preserve">To populate page numbers, right-click the contents above in Word and choose </w:t>
      </w:r>
      <w:r>
        <w:rPr>
          <w:b/>
          <w:bCs/>
          <w:i/>
          <w:iCs/>
          <w:color w:val="777777"/>
          <w:sz w:val="20"/>
          <w:szCs w:val="20"/>
        </w:rPr>
        <w:t xml:space="preserve">Update Field</w:t>
      </w:r>
      <w:r>
        <w:rPr>
          <w:i/>
          <w:iCs/>
          <w:color w:val="777777"/>
          <w:sz w:val="20"/>
          <w:szCs w:val="20"/>
        </w:rPr>
        <w:t xml:space="preserve">.</w:t>
      </w:r>
    </w:p>
    <w:p>
      <w:r>
        <w:br w:type="page"/>
      </w:r>
    </w:p>
    <w:p>
      <w:pPr>
        <w:pStyle w:val="Heading1"/>
      </w:pPr>
      <w:r>
        <w:t xml:space="preserve">1. Executive summary</w:t>
      </w:r>
    </w:p>
    <w:p>
      <w:pPr>
        <w:spacing w:after="140" w:line="276"/>
      </w:pPr>
      <w:r>
        <w:t xml:space="preserve">The application is a complete financial model of a Buy-Now-Pay-Later (BNPL) lender. From a handful of business assumptions, it builds the three core financial statements — the income statement, the cash-flow statement, and the balance sheet — month by month, and tracks the health of the loan book using IFRS 9, the global accounting standard that banks and regulated lenders use to recognise loan losses.</w:t>
      </w:r>
    </w:p>
    <w:p>
      <w:pPr>
        <w:spacing w:after="140" w:line="276"/>
      </w:pPr>
      <w:r>
        <w:t xml:space="preserve">What makes it more than a spreadsheet:</w:t>
      </w:r>
    </w:p>
    <w:p>
      <w:pPr>
        <w:pStyle w:val="ListParagraph"/>
        <w:numPr>
          <w:ilvl w:val="0"/>
          <w:numId w:val="2"/>
        </w:numPr>
        <w:spacing w:after="80" w:line="270"/>
      </w:pPr>
      <w:r>
        <w:rPr>
          <w:b/>
          <w:bCs/>
        </w:rPr>
        <w:t xml:space="preserve">It connects credit risk to the financials. </w:t>
      </w:r>
      <w:r>
        <w:t xml:space="preserve">When loans go bad, the model automatically books the loss reserves, the write-offs, and the recoveries, and flows them through profit, cash, and capital.</w:t>
      </w:r>
    </w:p>
    <w:p>
      <w:pPr>
        <w:pStyle w:val="ListParagraph"/>
        <w:numPr>
          <w:ilvl w:val="0"/>
          <w:numId w:val="2"/>
        </w:numPr>
        <w:spacing w:after="80" w:line="270"/>
      </w:pPr>
      <w:r>
        <w:rPr>
          <w:b/>
          <w:bCs/>
        </w:rPr>
        <w:t xml:space="preserve">It is forward-looking. </w:t>
      </w:r>
      <w:r>
        <w:t xml:space="preserve">It lets you express a view on the economy — a benign base case, an optimistic upside, a recessionary downside — and weighs them together, exactly as the accounting standard requires.</w:t>
      </w:r>
    </w:p>
    <w:p>
      <w:pPr>
        <w:pStyle w:val="ListParagraph"/>
        <w:numPr>
          <w:ilvl w:val="0"/>
          <w:numId w:val="2"/>
        </w:numPr>
        <w:spacing w:after="80" w:line="270"/>
      </w:pPr>
      <w:r>
        <w:rPr>
          <w:b/>
          <w:bCs/>
        </w:rPr>
        <w:t xml:space="preserve">It is a what-if machine. </w:t>
      </w:r>
      <w:r>
        <w:t xml:space="preserve">Every assumption — fees, growth, default rates, funding costs, the economic outlook — is a dial. Change a dial and the entire set of statements recomputes instantly, so you can see the consequences before they happen.</w:t>
      </w:r>
    </w:p>
    <w:p>
      <w:pPr>
        <w:spacing w:after="140" w:line="276"/>
      </w:pPr>
      <w:r>
        <w:t xml:space="preserve">This report explains those capabilities in business language, with particular focus on how macro-economic variables work and the effects they produce (Section 6).</w:t>
      </w:r>
    </w:p>
    <w:p>
      <w:pPr>
        <w:pStyle w:val="Heading1"/>
      </w:pPr>
      <w:r>
        <w:t xml:space="preserve">2. What the model represents</w:t>
      </w:r>
    </w:p>
    <w:p>
      <w:pPr>
        <w:spacing w:after="140" w:line="276"/>
      </w:pPr>
      <w:r>
        <w:t xml:space="preserve">A BNPL lender sits between a shopper and a merchant. When a customer buys, say, a $220 item and chooses “pay in 4,” the lender pays the merchant immediately (less a fee) and lets the customer repay in four installments. The lender’s business is therefore three things at once:</w:t>
      </w:r>
    </w:p>
    <w:p>
      <w:pPr>
        <w:pStyle w:val="ListParagraph"/>
        <w:numPr>
          <w:ilvl w:val="0"/>
          <w:numId w:val="2"/>
        </w:numPr>
        <w:spacing w:after="80" w:line="270"/>
      </w:pPr>
      <w:r>
        <w:rPr>
          <w:b/>
          <w:bCs/>
        </w:rPr>
        <w:t xml:space="preserve">A payments business </w:t>
      </w:r>
      <w:r>
        <w:t xml:space="preserve">— it earns a fee from the merchant on every sale.</w:t>
      </w:r>
    </w:p>
    <w:p>
      <w:pPr>
        <w:pStyle w:val="ListParagraph"/>
        <w:numPr>
          <w:ilvl w:val="0"/>
          <w:numId w:val="2"/>
        </w:numPr>
        <w:spacing w:after="80" w:line="270"/>
      </w:pPr>
      <w:r>
        <w:rPr>
          <w:b/>
          <w:bCs/>
        </w:rPr>
        <w:t xml:space="preserve">A lending business </w:t>
      </w:r>
      <w:r>
        <w:t xml:space="preserve">— it carries the unpaid installments as a short loan and bears the risk the customer doesn’t pay.</w:t>
      </w:r>
    </w:p>
    <w:p>
      <w:pPr>
        <w:pStyle w:val="ListParagraph"/>
        <w:numPr>
          <w:ilvl w:val="0"/>
          <w:numId w:val="2"/>
        </w:numPr>
        <w:spacing w:after="80" w:line="270"/>
      </w:pPr>
      <w:r>
        <w:rPr>
          <w:b/>
          <w:bCs/>
        </w:rPr>
        <w:t xml:space="preserve">An operations business </w:t>
      </w:r>
      <w:r>
        <w:t xml:space="preserve">— it costs money to acquire customers, service accounts, and chase late payers.</w:t>
      </w:r>
    </w:p>
    <w:p>
      <w:pPr>
        <w:spacing w:after="140" w:line="276"/>
      </w:pPr>
      <w:r>
        <w:t xml:space="preserve">The model captures all three and rolls them into a single financial picture, updated every month over the projection horizon (36 months by default).</w:t>
      </w:r>
    </w:p>
    <w:p>
      <w:pPr>
        <w:pStyle w:val="Heading1"/>
      </w:pPr>
      <w:r>
        <w:t xml:space="preserve">3. How a BNPL lender makes money</w:t>
      </w:r>
    </w:p>
    <w:p>
      <w:pPr>
        <w:spacing w:after="140" w:line="276"/>
      </w:pPr>
      <w:r>
        <w:t xml:space="preserve">Follow a single $220 “pay-in-4” purchase:</w:t>
      </w:r>
    </w:p>
    <w:p>
      <w:pPr>
        <w:pStyle w:val="ListParagraph"/>
        <w:numPr>
          <w:ilvl w:val="0"/>
          <w:numId w:val="2"/>
        </w:numPr>
        <w:spacing w:after="80" w:line="270"/>
      </w:pPr>
      <w:r>
        <w:t xml:space="preserve">At checkout, the lender collects the </w:t>
      </w:r>
      <w:r>
        <w:rPr>
          <w:b/>
          <w:bCs/>
        </w:rPr>
        <w:t xml:space="preserve">first installment</w:t>
      </w:r>
      <w:r>
        <w:t xml:space="preserve"> from the customer and pays the merchant the purchase price less a </w:t>
      </w:r>
      <w:r>
        <w:rPr>
          <w:b/>
          <w:bCs/>
        </w:rPr>
        <w:t xml:space="preserve">merchant fee</w:t>
      </w:r>
      <w:r>
        <w:t xml:space="preserve"> (the model’s default is 5%, or $11 on a $220 order). That merchant fee is the lender’s primary revenue.</w:t>
      </w:r>
    </w:p>
    <w:p>
      <w:pPr>
        <w:pStyle w:val="ListParagraph"/>
        <w:numPr>
          <w:ilvl w:val="0"/>
          <w:numId w:val="2"/>
        </w:numPr>
        <w:spacing w:after="80" w:line="270"/>
      </w:pPr>
      <w:r>
        <w:t xml:space="preserve">The remaining three installments become a small, short-dated loan. If the customer pays on schedule, the lender simply collects; if not, the loan ages into delinquency and may ultimately be written off.</w:t>
      </w:r>
    </w:p>
    <w:p>
      <w:pPr>
        <w:pStyle w:val="ListParagraph"/>
        <w:numPr>
          <w:ilvl w:val="0"/>
          <w:numId w:val="2"/>
        </w:numPr>
        <w:spacing w:after="80" w:line="270"/>
      </w:pPr>
      <w:r>
        <w:t xml:space="preserve">Extra revenue can come from a small </w:t>
      </w:r>
      <w:r>
        <w:rPr>
          <w:b/>
          <w:bCs/>
        </w:rPr>
        <w:t xml:space="preserve">consumer fee</w:t>
      </w:r>
      <w:r>
        <w:t xml:space="preserve"> and from </w:t>
      </w:r>
      <w:r>
        <w:rPr>
          <w:b/>
          <w:bCs/>
        </w:rPr>
        <w:t xml:space="preserve">late fees</w:t>
      </w:r>
      <w:r>
        <w:t xml:space="preserve"> on missed installments; an interest rate can be switched on, though classic pay-in-4 is interest-free.</w:t>
      </w:r>
    </w:p>
    <w:p>
      <w:pPr>
        <w:spacing w:after="140" w:line="276"/>
      </w:pPr>
      <w:r>
        <w:t xml:space="preserve">Against that revenue, the lender pays the cost of funding the outstanding loans, the expected credit losses, and operating costs. What remains is profit. Because the merchant fee is earned on every sale while many costs are fixed, profitability depends heavily on scale — a theme the model makes vivid (Sections 6 and 7).</w:t>
      </w:r>
    </w:p>
    <w:p>
      <w:pPr>
        <w:pStyle w:val="Heading1"/>
      </w:pPr>
      <w:r>
        <w:t xml:space="preserve">4. The three financial statements, in plain English</w:t>
      </w:r>
    </w:p>
    <w:p>
      <w:pPr>
        <w:spacing w:after="160" w:line="276"/>
      </w:pPr>
      <w:r>
        <w:rPr>
          <w:i/>
          <w:iCs/>
          <w:color w:val="444444"/>
        </w:rPr>
        <w:t xml:space="preserve">Together these answer three different questions: Did we make a profit? Did we generate cash? And what do we own and owe? A well-built model keeps them perfectly consistent — and this one does, to a fraction of a cent.</w:t>
      </w:r>
    </w:p>
    <w:p>
      <w:pPr>
        <w:pStyle w:val="Heading2"/>
      </w:pPr>
      <w:r>
        <w:t xml:space="preserve">4.1 The income statement (profit &amp; loss)</w:t>
      </w:r>
    </w:p>
    <w:p>
      <w:pPr>
        <w:spacing w:after="140" w:line="276"/>
      </w:pPr>
      <w:r>
        <w:t xml:space="preserve">Lists revenue (merchant fees, consumer fees, late fees, any interest), then subtracts the cost of funding, the provision for credit losses, operating expenses, and tax. What remains is net income. The standout line for a lender is the </w:t>
      </w:r>
    </w:p>
    <w:p>
      <w:pPr>
        <w:pBdr>
          <w:left w:val="single" w:color="2E5496" w:sz="18" w:space="10"/>
        </w:pBdr>
        <w:shd w:fill="EEF2F9" w:val="clear"/>
        <w:spacing w:after="160" w:before="80" w:line="276"/>
      </w:pPr>
      <w:r>
        <w:rPr>
          <w:b/>
          <w:bCs/>
        </w:rPr>
        <w:t xml:space="preserve">Provision for credit losses </w:t>
      </w:r>
      <w:r>
        <w:t xml:space="preserve">— the amount set aside for loans expected to go bad. It is an expense even though no cash has yet left the building, which is why a lender can look </w:t>
      </w:r>
      <w:r>
        <w:rPr>
          <w:i/>
          <w:iCs/>
        </w:rPr>
        <w:t xml:space="preserve">less</w:t>
      </w:r>
      <w:r>
        <w:t xml:space="preserve"> profitable precisely when it is growing fastest and reserving against a larger book.</w:t>
      </w:r>
    </w:p>
    <w:p>
      <w:pPr>
        <w:pStyle w:val="Heading2"/>
      </w:pPr>
      <w:r>
        <w:t xml:space="preserve">4.2 The cash-flow statement (profit ≠ cash)</w:t>
      </w:r>
    </w:p>
    <w:p>
      <w:pPr>
        <w:spacing w:after="140" w:line="276"/>
      </w:pPr>
      <w:r>
        <w:t xml:space="preserve">Shows the actual movement of cash. The crucial insight for any lender is that profit and cash are not the same thing. A growing BNPL book consumes cash: the lender pays merchants today but collects from customers over the following weeks. So a fast-growing, profitable lender can still be cash-hungry, funding the gap with equity or a credit line. The model computes cash directly and proves it ties exactly to the cash balance on the balance sheet.</w:t>
      </w:r>
    </w:p>
    <w:p>
      <w:pPr>
        <w:pStyle w:val="Heading2"/>
      </w:pPr>
      <w:r>
        <w:t xml:space="preserve">4.3 The balance sheet (what we own and owe)</w:t>
      </w:r>
    </w:p>
    <w:p>
      <w:pPr>
        <w:spacing w:after="140" w:line="276"/>
      </w:pPr>
      <w:r>
        <w:t xml:space="preserve">A snapshot of the business. On the asset side: cash and the loans outstanding (gross receivables), reduced by the loss allowance — the running reserve against expected defaults — to give net receivables. On the other side: the funding debt and the shareholders’ equity (capital invested, plus accumulated profits). The balance sheet must balance every month; in this model it does, to within a rounding error of a fraction of a cent.</w:t>
      </w:r>
    </w:p>
    <w:p>
      <w:pPr>
        <w:pStyle w:val="Heading1"/>
      </w:pPr>
      <w:r>
        <w:t xml:space="preserve">5. Credit risk and IFRS 9: setting money aside for losses</w:t>
      </w:r>
    </w:p>
    <w:p>
      <w:pPr>
        <w:spacing w:after="140" w:line="276"/>
      </w:pPr>
      <w:r>
        <w:t xml:space="preserve">Lending makes money only if losses stay under control, so the model puts credit risk at its centre, using IFRS 9 — the global standard for how lenders recognise loan losses.</w:t>
      </w:r>
    </w:p>
    <w:p>
      <w:pPr>
        <w:pStyle w:val="Heading2"/>
      </w:pPr>
      <w:r>
        <w:t xml:space="preserve">5.1 Delinquency, “DPD,” and loan stages</w:t>
      </w:r>
    </w:p>
    <w:p>
      <w:pPr>
        <w:spacing w:after="140" w:line="276"/>
      </w:pPr>
      <w:r>
        <w:rPr>
          <w:b/>
          <w:bCs/>
        </w:rPr>
        <w:t xml:space="preserve">DPD</w:t>
      </w:r>
      <w:r>
        <w:t xml:space="preserve"> means </w:t>
      </w:r>
      <w:r>
        <w:rPr>
          <w:b/>
          <w:bCs/>
        </w:rPr>
        <w:t xml:space="preserve">days past due</w:t>
      </w:r>
      <w:r>
        <w:t xml:space="preserve"> — how late a payment is. IFRS 9 sorts every loan into one of three stages by risk:</w:t>
      </w:r>
    </w:p>
    <w:p>
      <w:pPr>
        <w:pStyle w:val="ListParagraph"/>
        <w:numPr>
          <w:ilvl w:val="0"/>
          <w:numId w:val="2"/>
        </w:numPr>
        <w:spacing w:after="80" w:line="270"/>
      </w:pPr>
      <w:r>
        <w:rPr>
          <w:b/>
          <w:bCs/>
        </w:rPr>
        <w:t xml:space="preserve">Stage 1 — performing: </w:t>
      </w:r>
      <w:r>
        <w:t xml:space="preserve">paying on time (or barely late). A small reserve is held.</w:t>
      </w:r>
    </w:p>
    <w:p>
      <w:pPr>
        <w:pStyle w:val="ListParagraph"/>
        <w:numPr>
          <w:ilvl w:val="0"/>
          <w:numId w:val="2"/>
        </w:numPr>
        <w:spacing w:after="80" w:line="270"/>
      </w:pPr>
      <w:r>
        <w:rPr>
          <w:b/>
          <w:bCs/>
        </w:rPr>
        <w:t xml:space="preserve">Stage 2 — under-performing: </w:t>
      </w:r>
      <w:r>
        <w:t xml:space="preserve">a significant increase in risk (for short-dated BNPL, even a few days late). A larger, lifetime reserve is held.</w:t>
      </w:r>
    </w:p>
    <w:p>
      <w:pPr>
        <w:pStyle w:val="ListParagraph"/>
        <w:numPr>
          <w:ilvl w:val="0"/>
          <w:numId w:val="2"/>
        </w:numPr>
        <w:spacing w:after="80" w:line="270"/>
      </w:pPr>
      <w:r>
        <w:rPr>
          <w:b/>
          <w:bCs/>
        </w:rPr>
        <w:t xml:space="preserve">Stage 3 — non-performing (an NPL): </w:t>
      </w:r>
      <w:r>
        <w:t xml:space="preserve">seriously past due (90+ days) and treated as in default. The heaviest reserve is held.</w:t>
      </w:r>
    </w:p>
    <w:p>
      <w:pPr>
        <w:spacing w:after="140" w:line="276"/>
      </w:pPr>
      <w:r>
        <w:t xml:space="preserve">The </w:t>
      </w:r>
      <w:r>
        <w:rPr>
          <w:b/>
          <w:bCs/>
        </w:rPr>
        <w:t xml:space="preserve">NPL ratio</w:t>
      </w:r>
      <w:r>
        <w:t xml:space="preserve"> — the share of the book in Stage 3 — is the headline measure of book quality.</w:t>
      </w:r>
    </w:p>
    <w:p>
      <w:pPr>
        <w:pStyle w:val="Heading2"/>
      </w:pPr>
      <w:r>
        <w:t xml:space="preserve">5.2 Expected Credit Loss: PD × LGD × EAD</w:t>
      </w:r>
    </w:p>
    <w:p>
      <w:pPr>
        <w:spacing w:after="140" w:line="276"/>
      </w:pPr>
      <w:r>
        <w:t xml:space="preserve">For every slice of the book, the model estimates the Expected Credit Loss — the amount it expects to lose — as the product of three intuitive factors:</w:t>
      </w:r>
    </w:p>
    <w:p>
      <w:pPr>
        <w:pStyle w:val="ListParagraph"/>
        <w:numPr>
          <w:ilvl w:val="0"/>
          <w:numId w:val="2"/>
        </w:numPr>
        <w:spacing w:after="80" w:line="270"/>
      </w:pPr>
      <w:r>
        <w:rPr>
          <w:b/>
          <w:bCs/>
        </w:rPr>
        <w:t xml:space="preserve">PD — probability of default: </w:t>
      </w:r>
      <w:r>
        <w:t xml:space="preserve">how likely the borrower is to default.</w:t>
      </w:r>
    </w:p>
    <w:p>
      <w:pPr>
        <w:pStyle w:val="ListParagraph"/>
        <w:numPr>
          <w:ilvl w:val="0"/>
          <w:numId w:val="2"/>
        </w:numPr>
        <w:spacing w:after="80" w:line="270"/>
      </w:pPr>
      <w:r>
        <w:rPr>
          <w:b/>
          <w:bCs/>
        </w:rPr>
        <w:t xml:space="preserve">LGD — loss given default: </w:t>
      </w:r>
      <w:r>
        <w:t xml:space="preserve">of the money owed, how much is actually lost after any recovery.</w:t>
      </w:r>
    </w:p>
    <w:p>
      <w:pPr>
        <w:pStyle w:val="ListParagraph"/>
        <w:numPr>
          <w:ilvl w:val="0"/>
          <w:numId w:val="2"/>
        </w:numPr>
        <w:spacing w:after="80" w:line="270"/>
      </w:pPr>
      <w:r>
        <w:rPr>
          <w:b/>
          <w:bCs/>
        </w:rPr>
        <w:t xml:space="preserve">EAD — exposure at default: </w:t>
      </w:r>
      <w:r>
        <w:t xml:space="preserve">how much is owed when default happens.</w:t>
      </w:r>
    </w:p>
    <w:p>
      <w:pPr>
        <w:spacing w:after="140" w:line="276"/>
      </w:pPr>
      <w:r>
        <w:t xml:space="preserve">Multiply them and you get the expected loss in dollars. Riskier stages carry higher PD and LGD, so they generate larger reserves.</w:t>
      </w:r>
    </w:p>
    <w:p>
      <w:pPr>
        <w:pStyle w:val="Heading2"/>
      </w:pPr>
      <w:r>
        <w:t xml:space="preserve">5.3 Provisions, charge-offs, and recoveries</w:t>
      </w:r>
    </w:p>
    <w:p>
      <w:pPr>
        <w:pStyle w:val="ListParagraph"/>
        <w:numPr>
          <w:ilvl w:val="0"/>
          <w:numId w:val="2"/>
        </w:numPr>
        <w:spacing w:after="80" w:line="270"/>
      </w:pPr>
      <w:r>
        <w:rPr>
          <w:b/>
          <w:bCs/>
        </w:rPr>
        <w:t xml:space="preserve">The provision </w:t>
      </w:r>
      <w:r>
        <w:t xml:space="preserve">is the expense that tops up the loss reserve (the allowance) each month.</w:t>
      </w:r>
    </w:p>
    <w:p>
      <w:pPr>
        <w:pStyle w:val="ListParagraph"/>
        <w:numPr>
          <w:ilvl w:val="0"/>
          <w:numId w:val="2"/>
        </w:numPr>
        <w:spacing w:after="80" w:line="270"/>
      </w:pPr>
      <w:r>
        <w:rPr>
          <w:b/>
          <w:bCs/>
        </w:rPr>
        <w:t xml:space="preserve">A charge-off (write-off) </w:t>
      </w:r>
      <w:r>
        <w:t xml:space="preserve">happens when a loan is finally deemed uncollectible; it removes the loan and draws down the reserve already set aside — so a fully-provisioned write-off doesn’t hit profit a second time.</w:t>
      </w:r>
    </w:p>
    <w:p>
      <w:pPr>
        <w:pStyle w:val="ListParagraph"/>
        <w:numPr>
          <w:ilvl w:val="0"/>
          <w:numId w:val="2"/>
        </w:numPr>
        <w:spacing w:after="80" w:line="270"/>
      </w:pPr>
      <w:r>
        <w:rPr>
          <w:b/>
          <w:bCs/>
        </w:rPr>
        <w:t xml:space="preserve">A recovery </w:t>
      </w:r>
      <w:r>
        <w:t xml:space="preserve">is cash clawed back after a write-off.</w:t>
      </w:r>
    </w:p>
    <w:p>
      <w:pPr>
        <w:spacing w:after="140" w:line="276"/>
      </w:pPr>
      <w:r>
        <w:t xml:space="preserve">The model keeps the reserve, the write-offs, and the recoveries internally consistent: the reserve always equals the total expected loss, by construction.</w:t>
      </w:r>
    </w:p>
    <w:p>
      <w:r>
        <w:br w:type="page"/>
      </w:r>
    </w:p>
    <w:p>
      <w:pPr>
        <w:pStyle w:val="Heading1"/>
      </w:pPr>
      <w:r>
        <w:t xml:space="preserve">6. Macro variables and their effects</w:t>
      </w:r>
    </w:p>
    <w:p>
      <w:pPr>
        <w:spacing w:after="160" w:line="276"/>
      </w:pPr>
      <w:r>
        <w:rPr>
          <w:i/>
          <w:iCs/>
          <w:color w:val="444444"/>
        </w:rPr>
        <w:t xml:space="preserve">IFRS 9 does not let a lender reserve only for losses that have already happened. It must be forward-looking — reserves must reflect a reasonable view of where the economy is heading. The model implements this through a “macro overlay,” and understanding it is the key to understanding how economic conditions move the financials.</w:t>
      </w:r>
    </w:p>
    <w:p>
      <w:pPr>
        <w:pStyle w:val="Heading2"/>
      </w:pPr>
      <w:r>
        <w:t xml:space="preserve">6.1 What a macro overlay is, and why it’s required</w:t>
      </w:r>
    </w:p>
    <w:p>
      <w:pPr>
        <w:spacing w:after="140" w:line="276"/>
      </w:pPr>
      <w:r>
        <w:t xml:space="preserve">The expected-loss figure is not computed from a single guess about the future. Instead the model runs three economic scenarios and blends them. This matters because reserves are meant to anticipate trouble: if a downturn is expected, a prudent lender sets aside more now, before defaults actually climb.</w:t>
      </w:r>
    </w:p>
    <w:p>
      <w:pPr>
        <w:pStyle w:val="Heading2"/>
      </w:pPr>
      <w:r>
        <w:t xml:space="preserve">6.2 The three scenarios and probability weighting</w:t>
      </w:r>
    </w:p>
    <w:p>
      <w:pPr>
        <w:pStyle w:val="ListParagraph"/>
        <w:numPr>
          <w:ilvl w:val="0"/>
          <w:numId w:val="2"/>
        </w:numPr>
        <w:spacing w:after="80" w:line="270"/>
      </w:pPr>
      <w:r>
        <w:rPr>
          <w:b/>
          <w:bCs/>
        </w:rPr>
        <w:t xml:space="preserve">Base case </w:t>
      </w:r>
      <w:r>
        <w:t xml:space="preserve">— the most likely path.</w:t>
      </w:r>
    </w:p>
    <w:p>
      <w:pPr>
        <w:pStyle w:val="ListParagraph"/>
        <w:numPr>
          <w:ilvl w:val="0"/>
          <w:numId w:val="2"/>
        </w:numPr>
        <w:spacing w:after="80" w:line="270"/>
      </w:pPr>
      <w:r>
        <w:rPr>
          <w:b/>
          <w:bCs/>
        </w:rPr>
        <w:t xml:space="preserve">Upside </w:t>
      </w:r>
      <w:r>
        <w:t xml:space="preserve">— a benign economy where defaults run lower.</w:t>
      </w:r>
    </w:p>
    <w:p>
      <w:pPr>
        <w:pStyle w:val="ListParagraph"/>
        <w:numPr>
          <w:ilvl w:val="0"/>
          <w:numId w:val="2"/>
        </w:numPr>
        <w:spacing w:after="80" w:line="270"/>
      </w:pPr>
      <w:r>
        <w:rPr>
          <w:b/>
          <w:bCs/>
        </w:rPr>
        <w:t xml:space="preserve">Downside </w:t>
      </w:r>
      <w:r>
        <w:t xml:space="preserve">— a recession where defaults run higher.</w:t>
      </w:r>
    </w:p>
    <w:p>
      <w:pPr>
        <w:spacing w:after="140" w:line="276"/>
      </w:pPr>
      <w:r>
        <w:t xml:space="preserve">You assign each a probability (the defaults are 50% / 20% / 30%). The model computes the expected loss under each scenario, then takes the probability-weighted average. Shift weight toward the downside and the blended reserve rises — even if nothing has actually gone wrong yet.</w:t>
      </w:r>
    </w:p>
    <w:p>
      <w:pPr>
        <w:pStyle w:val="Heading2"/>
      </w:pPr>
      <w:r>
        <w:t xml:space="preserve">6.3 The recession dials: PD and LGD multipliers</w:t>
      </w:r>
    </w:p>
    <w:p>
      <w:pPr>
        <w:spacing w:after="140" w:line="276"/>
      </w:pPr>
      <w:r>
        <w:t xml:space="preserve">Each scenario scales the two risk ingredients:</w:t>
      </w:r>
    </w:p>
    <w:p>
      <w:pPr>
        <w:pStyle w:val="ListParagraph"/>
        <w:numPr>
          <w:ilvl w:val="0"/>
          <w:numId w:val="2"/>
        </w:numPr>
        <w:spacing w:after="80" w:line="270"/>
      </w:pPr>
      <w:r>
        <w:t xml:space="preserve">A </w:t>
      </w:r>
      <w:r>
        <w:rPr>
          <w:b/>
          <w:bCs/>
        </w:rPr>
        <w:t xml:space="preserve">PD multiplier</w:t>
      </w:r>
      <w:r>
        <w:t xml:space="preserve"> — in a downturn, more borrowers default (the downside multiplies default probability by 1.4× by default, and can be pushed higher).</w:t>
      </w:r>
    </w:p>
    <w:p>
      <w:pPr>
        <w:pStyle w:val="ListParagraph"/>
        <w:numPr>
          <w:ilvl w:val="0"/>
          <w:numId w:val="2"/>
        </w:numPr>
        <w:spacing w:after="80" w:line="270"/>
      </w:pPr>
      <w:r>
        <w:t xml:space="preserve">An </w:t>
      </w:r>
      <w:r>
        <w:rPr>
          <w:b/>
          <w:bCs/>
        </w:rPr>
        <w:t xml:space="preserve">LGD multiplier</w:t>
      </w:r>
      <w:r>
        <w:t xml:space="preserve"> — in a downturn, recoveries are weaker, so each default costs more.</w:t>
      </w:r>
    </w:p>
    <w:p>
      <w:pPr>
        <w:spacing w:after="140" w:line="276"/>
      </w:pPr>
      <w:r>
        <w:t xml:space="preserve">These two dials are how a macro view becomes a number: a worse outlook raises PD and LGD, which raises the expected loss, which raises the reserve.</w:t>
      </w:r>
    </w:p>
    <w:p>
      <w:pPr>
        <w:pStyle w:val="Heading2"/>
      </w:pPr>
      <w:r>
        <w:t xml:space="preserve">6.4 Worked example: a worse outlook, the same defaults</w:t>
      </w:r>
    </w:p>
    <w:p>
      <w:pPr>
        <w:spacing w:after="140" w:line="276"/>
      </w:pPr>
      <w:r>
        <w:t xml:space="preserve">This is the single most important idea in the section, so the model makes it concrete. Take the default business and change nothing about how customers actually behave — same payment rates, same realised defaults. Darken only the economic outlook: make the downside more likely (its weight raised to 60%) and more severe (its PD multiplier raised to 1.8×). Here is 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left"/>
            </w:pPr>
            <w:r>
              <w:rPr>
                <w:b/>
                <w:bCs/>
                <w:color w:val="FFFFFF"/>
                <w:sz w:val="21"/>
                <w:szCs w:val="21"/>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right"/>
            </w:pPr>
            <w:r>
              <w:rPr>
                <w:b/>
                <w:bCs/>
                <w:color w:val="FFFFFF"/>
                <w:sz w:val="21"/>
                <w:szCs w:val="21"/>
              </w:rPr>
              <w:t xml:space="preserve">Base outlook</w:t>
            </w:r>
          </w:p>
        </w:tc>
        <w:tc>
          <w:tcPr>
            <w:tcW w:type="dxa" w:w="25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right"/>
            </w:pPr>
            <w:r>
              <w:rPr>
                <w:b/>
                <w:bCs/>
                <w:color w:val="FFFFFF"/>
                <w:sz w:val="21"/>
                <w:szCs w:val="21"/>
              </w:rPr>
              <w:t xml:space="preserve">Downside outlook (forecast only)</w:t>
            </w:r>
          </w:p>
        </w:tc>
      </w:tr>
      <w:tr>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Realised losses (cumulative charge-offs)</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$199K</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$199K  (unchanged)</w:t>
            </w:r>
          </w:p>
        </w:tc>
      </w:tr>
      <w:tr>
        <w:tc>
          <w:tcPr>
            <w:tcW w:type="dxa" w:w="43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NPL ratio (end of projection)</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1.60%</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1.60%  (unchanged)</w:t>
            </w:r>
          </w:p>
        </w:tc>
      </w:tr>
      <w:tr>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ECL coverage (reserves ÷ loans)</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4.07%</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5.34%</w:t>
            </w:r>
          </w:p>
        </w:tc>
      </w:tr>
      <w:tr>
        <w:tc>
          <w:tcPr>
            <w:tcW w:type="dxa" w:w="43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Loss allowance held (end)</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$52.8K</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$69.4K</w:t>
            </w:r>
          </w:p>
        </w:tc>
      </w:tr>
      <w:tr>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Cumulative provision expense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$251.9K</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$268.4K</w:t>
            </w:r>
          </w:p>
        </w:tc>
      </w:tr>
      <w:tr>
        <w:tc>
          <w:tcPr>
            <w:tcW w:type="dxa" w:w="43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Cumulative profit</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$593.9K</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$581.6K</w:t>
            </w:r>
          </w:p>
        </w:tc>
      </w:tr>
    </w:tbl>
    <w:p>
      <w:pPr>
        <w:spacing w:after="200" w:before="40"/>
      </w:pPr>
      <w:r>
        <w:rPr>
          <w:i/>
          <w:iCs/>
          <w:color w:val="666666"/>
          <w:sz w:val="19"/>
          <w:szCs w:val="19"/>
        </w:rPr>
        <w:t xml:space="preserve">Same business, same customer behaviour — only the economic forecast is darker.</w:t>
      </w:r>
    </w:p>
    <w:p>
      <w:pPr>
        <w:spacing w:after="140" w:line="276"/>
      </w:pPr>
      <w:r>
        <w:t xml:space="preserve">Read across the table: the loans </w:t>
      </w:r>
      <w:r>
        <w:rPr>
          <w:b/>
          <w:bCs/>
        </w:rPr>
        <w:t xml:space="preserve">actually</w:t>
      </w:r>
      <w:r>
        <w:t xml:space="preserve"> going bad are identical — realised write-offs ($199K) and the NPL ratio (1.60%) don’t move at all. Yet the lender now holds noticeably more in reserve (allowance up from $52.8K to $69.4K; coverage up from 4.07% to 5.34%) and books a higher provision expense, trimming cumulative profit by about $12K. In one line: </w:t>
      </w:r>
    </w:p>
    <w:p>
      <w:pPr>
        <w:pBdr>
          <w:left w:val="single" w:color="2E5496" w:sz="18" w:space="10"/>
        </w:pBdr>
        <w:shd w:fill="EEF2F9" w:val="clear"/>
        <w:spacing w:after="160" w:before="80" w:line="276"/>
      </w:pPr>
      <w:r>
        <w:rPr>
          <w:b/>
          <w:bCs/>
        </w:rPr>
        <w:t xml:space="preserve">A gloomier forecast costs profit and ties up capital today, purely as a precaution — before any extra loan has actually defaulted. </w:t>
      </w:r>
      <w:r>
        <w:t xml:space="preserve">That is exactly what IFRS 9 intends, and it is why bank earnings often fall at the first sign of an economic turn.</w:t>
      </w:r>
    </w:p>
    <w:p>
      <w:pPr>
        <w:pStyle w:val="Heading2"/>
      </w:pPr>
      <w:r>
        <w:t xml:space="preserve">6.5 The chain of effects</w:t>
      </w:r>
    </w:p>
    <w:p>
      <w:pPr>
        <w:spacing w:after="140" w:line="276"/>
      </w:pPr>
      <w:r>
        <w:t xml:space="preserve">When you darken the macro outlook, the impact travels through the model in a fixed order:</w:t>
      </w:r>
    </w:p>
    <w:p>
      <w:pPr>
        <w:pStyle w:val="ListParagraph"/>
        <w:numPr>
          <w:ilvl w:val="0"/>
          <w:numId w:val="3"/>
        </w:numPr>
        <w:spacing w:after="80" w:line="270"/>
      </w:pPr>
      <w:r>
        <w:t xml:space="preserve">The PD and LGD multipliers rise.</w:t>
      </w:r>
    </w:p>
    <w:p>
      <w:pPr>
        <w:pStyle w:val="ListParagraph"/>
        <w:numPr>
          <w:ilvl w:val="0"/>
          <w:numId w:val="3"/>
        </w:numPr>
        <w:spacing w:after="80" w:line="270"/>
      </w:pPr>
      <w:r>
        <w:t xml:space="preserve">The Expected Credit Loss rises for every risky slice of the book.</w:t>
      </w:r>
    </w:p>
    <w:p>
      <w:pPr>
        <w:pStyle w:val="ListParagraph"/>
        <w:numPr>
          <w:ilvl w:val="0"/>
          <w:numId w:val="3"/>
        </w:numPr>
        <w:spacing w:after="80" w:line="270"/>
      </w:pPr>
      <w:r>
        <w:t xml:space="preserve">The required loss reserve (allowance) rises to match.</w:t>
      </w:r>
    </w:p>
    <w:p>
      <w:pPr>
        <w:pStyle w:val="ListParagraph"/>
        <w:numPr>
          <w:ilvl w:val="0"/>
          <w:numId w:val="3"/>
        </w:numPr>
        <w:spacing w:after="80" w:line="270"/>
      </w:pPr>
      <w:r>
        <w:t xml:space="preserve">To top up the reserve, the provision expense on the income statement rises — lowering net income.</w:t>
      </w:r>
    </w:p>
    <w:p>
      <w:pPr>
        <w:pStyle w:val="ListParagraph"/>
        <w:numPr>
          <w:ilvl w:val="0"/>
          <w:numId w:val="3"/>
        </w:numPr>
        <w:spacing w:after="80" w:line="270"/>
      </w:pPr>
      <w:r>
        <w:t xml:space="preserve">Lower net income lowers retained earnings, so shareholders’ equity (capital) falls.</w:t>
      </w:r>
    </w:p>
    <w:p>
      <w:pPr>
        <w:spacing w:after="140" w:line="276"/>
      </w:pPr>
      <w:r>
        <w:t xml:space="preserve">Note what does </w:t>
      </w:r>
      <w:r>
        <w:rPr>
          <w:b/>
          <w:bCs/>
        </w:rPr>
        <w:t xml:space="preserve">not</w:t>
      </w:r>
      <w:r>
        <w:t xml:space="preserve"> change much: </w:t>
      </w:r>
      <w:r>
        <w:rPr>
          <w:b/>
          <w:bCs/>
        </w:rPr>
        <w:t xml:space="preserve">cash</w:t>
      </w:r>
      <w:r>
        <w:t xml:space="preserve">. The provision is a non-cash, precautionary entry — no money leaves the company when you merely become more cautious. The hit is to profit and capital, not to the bank balance. (This is why the cash line barely moves in the worked example.)</w:t>
      </w:r>
    </w:p>
    <w:p>
      <w:pPr>
        <w:pStyle w:val="Heading2"/>
      </w:pPr>
      <w:r>
        <w:t xml:space="preserve">6.6 Expected vs realised: when a downturn actually arrives</w:t>
      </w:r>
    </w:p>
    <w:p>
      <w:pPr>
        <w:spacing w:after="140" w:line="276"/>
      </w:pPr>
      <w:r>
        <w:t xml:space="preserve">The overlay above models a worse expectation. A real recession is worse still, because customers actually default more, growth slows, and funding gets more expensive all at once. The model lets you combine these. A recession scenario — higher actual miss rates, a downside-weighted outlook, near-stalled origination growth, and a jump in funding cost — produces a very different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left"/>
            </w:pPr>
            <w:r>
              <w:rPr>
                <w:b/>
                <w:bCs/>
                <w:color w:val="FFFFFF"/>
                <w:sz w:val="21"/>
                <w:szCs w:val="21"/>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right"/>
            </w:pPr>
            <w:r>
              <w:rPr>
                <w:b/>
                <w:bCs/>
                <w:color w:val="FFFFFF"/>
                <w:sz w:val="21"/>
                <w:szCs w:val="21"/>
              </w:rPr>
              <w:t xml:space="preserve">Base</w:t>
            </w:r>
          </w:p>
        </w:tc>
        <w:tc>
          <w:tcPr>
            <w:tcW w:type="dxa" w:w="25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right"/>
            </w:pPr>
            <w:r>
              <w:rPr>
                <w:b/>
                <w:bCs/>
                <w:color w:val="FFFFFF"/>
                <w:sz w:val="21"/>
                <w:szCs w:val="21"/>
              </w:rPr>
              <w:t xml:space="preserve">Recession</w:t>
            </w:r>
          </w:p>
        </w:tc>
      </w:tr>
      <w:tr>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NPL ratio (end)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1.60%</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3.42%</w:t>
            </w:r>
          </w:p>
        </w:tc>
      </w:tr>
      <w:tr>
        <w:tc>
          <w:tcPr>
            <w:tcW w:type="dxa" w:w="43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ECL coverage</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4.07%</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7.25%</w:t>
            </w:r>
          </w:p>
        </w:tc>
      </w:tr>
      <w:tr>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Cumulative profit</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+$593.9K</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−$1.04M</w:t>
            </w:r>
          </w:p>
        </w:tc>
      </w:tr>
      <w:tr>
        <w:tc>
          <w:tcPr>
            <w:tcW w:type="dxa" w:w="43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Breakeven</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Month 15</w:t>
            </w:r>
          </w:p>
        </w:tc>
        <w:tc>
          <w:tcPr>
            <w:tcW w:type="dxa" w:w="25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Never (within 36 months)</w:t>
            </w:r>
          </w:p>
        </w:tc>
      </w:tr>
    </w:tbl>
    <w:p>
      <w:pPr>
        <w:spacing w:after="200" w:before="40"/>
      </w:pPr>
      <w:r>
        <w:rPr>
          <w:i/>
          <w:iCs/>
          <w:color w:val="666666"/>
          <w:sz w:val="19"/>
          <w:szCs w:val="19"/>
        </w:rPr>
        <w:t xml:space="preserve">A real downturn: customers default more, growth stalls, and funding costs rise — together.</w:t>
      </w:r>
    </w:p>
    <w:p>
      <w:pPr>
        <w:spacing w:after="140" w:line="276"/>
      </w:pPr>
      <w:r>
        <w:t xml:space="preserve">Now the damage is real: the NPL ratio more than doubles to 3.42%, coverage climbs to 7.25%, and the business swings from a cumulative profit of about $0.6M to a cumulative loss of roughly $1.0M, never reaching breakeven in the window. The contrast between the two tables is the lesson: the overlay shows the precautionary cost of fearing a downturn; the recession shows the realised cost of living through one.</w:t>
      </w:r>
    </w:p>
    <w:p>
      <w:pPr>
        <w:pStyle w:val="Heading2"/>
      </w:pPr>
      <w:r>
        <w:t xml:space="preserve">6.7 Management overlay</w:t>
      </w:r>
    </w:p>
    <w:p>
      <w:pPr>
        <w:spacing w:after="140" w:line="276"/>
      </w:pPr>
      <w:r>
        <w:t xml:space="preserve">Sometimes managers judge that the models miss something — a new fraud pattern, a policy change. The model includes a management overlay: a manual top-up (or release) on the reserve, in percentage or dollar terms, so expert judgment can be layered on transparently, exactly as audit committees expect.</w:t>
      </w:r>
    </w:p>
    <w:p>
      <w:r>
        <w:br w:type="page"/>
      </w:r>
    </w:p>
    <w:p>
      <w:pPr>
        <w:pStyle w:val="Heading1"/>
      </w:pPr>
      <w:r>
        <w:t xml:space="preserve">7. Other key levers and their effects</w:t>
      </w:r>
    </w:p>
    <w:p>
      <w:pPr>
        <w:pStyle w:val="Heading2"/>
      </w:pPr>
      <w:r>
        <w:t xml:space="preserve">7.1 The merchant fee — the profit engine</w:t>
      </w:r>
    </w:p>
    <w:p>
      <w:pPr>
        <w:spacing w:after="140" w:line="276"/>
      </w:pPr>
      <w:r>
        <w:t xml:space="preserve">Because the merchant fee is earned on every sale while most other costs are fixed, it has outsized leverage on profit. Raising it by a single point (from 5.0% to 6.0%) nearly doubles cumulative profit and pulls breakeven forward by three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left"/>
            </w:pPr>
            <w:r>
              <w:rPr>
                <w:b/>
                <w:bCs/>
                <w:color w:val="FFFFFF"/>
                <w:sz w:val="21"/>
                <w:szCs w:val="21"/>
              </w:rPr>
              <w:t xml:space="preserve">Merchant fee</w:t>
            </w:r>
          </w:p>
        </w:tc>
        <w:tc>
          <w:tcPr>
            <w:tcW w:type="dxa" w:w="312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right"/>
            </w:pPr>
            <w:r>
              <w:rPr>
                <w:b/>
                <w:bCs/>
                <w:color w:val="FFFFFF"/>
                <w:sz w:val="21"/>
                <w:szCs w:val="21"/>
              </w:rPr>
              <w:t xml:space="preserve">Cumulative profit</w:t>
            </w:r>
          </w:p>
        </w:tc>
        <w:tc>
          <w:tcPr>
            <w:tcW w:type="dxa" w:w="312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right"/>
            </w:pPr>
            <w:r>
              <w:rPr>
                <w:b/>
                <w:bCs/>
                <w:color w:val="FFFFFF"/>
                <w:sz w:val="21"/>
                <w:szCs w:val="21"/>
              </w:rPr>
              <w:t xml:space="preserve">Breakeven</w:t>
            </w:r>
          </w:p>
        </w:tc>
      </w:tr>
      <w:t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5.0% (base)</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$593.9K</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Month 15</w:t>
            </w:r>
          </w:p>
        </w:tc>
      </w:tr>
      <w:tr>
        <w:tc>
          <w:tcPr>
            <w:tcW w:type="dxa" w:w="312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6.0% (+1 point)</w:t>
            </w:r>
          </w:p>
        </w:tc>
        <w:tc>
          <w:tcPr>
            <w:tcW w:type="dxa" w:w="312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$1.09M</w:t>
            </w:r>
          </w:p>
        </w:tc>
        <w:tc>
          <w:tcPr>
            <w:tcW w:type="dxa" w:w="312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Month 12</w:t>
            </w:r>
          </w:p>
        </w:tc>
      </w:tr>
    </w:tbl>
    <w:p>
      <w:pPr>
        <w:spacing w:after="200" w:before="40"/>
      </w:pPr>
      <w:r>
        <w:rPr>
          <w:i/>
          <w:iCs/>
          <w:color w:val="666666"/>
          <w:sz w:val="19"/>
          <w:szCs w:val="19"/>
        </w:rPr>
        <w:t xml:space="preserve">Operating leverage: a small change in the take rate compounds across millions of transactions.</w:t>
      </w:r>
    </w:p>
    <w:p>
      <w:pPr>
        <w:pStyle w:val="Heading2"/>
      </w:pPr>
      <w:r>
        <w:t xml:space="preserve">7.2 Growth and scale</w:t>
      </w:r>
    </w:p>
    <w:p>
      <w:pPr>
        <w:spacing w:after="140" w:line="276"/>
      </w:pPr>
      <w:r>
        <w:t xml:space="preserve">Faster origination growth builds revenue, but it also consumes cash (more merchants to pay today) and books more provisions (a larger book to reserve against). The model shows the tension directly: a lender can be unprofitable while sub-scale and comfortably profitable once volume covers its fixed costs. In the default business, that crossover — breakeven — arrives around month 15.</w:t>
      </w:r>
    </w:p>
    <w:p>
      <w:pPr>
        <w:pStyle w:val="Heading2"/>
      </w:pPr>
      <w:r>
        <w:t xml:space="preserve">7.3 Funding cost and interest rates</w:t>
      </w:r>
    </w:p>
    <w:p>
      <w:pPr>
        <w:spacing w:after="140" w:line="276"/>
      </w:pPr>
      <w:r>
        <w:t xml:space="preserve">The cost of borrowing only matters if the lender actually borrows. In the well-capitalised default business, the loan book is funded entirely by equity, so the funding rate has no effect on profit at all. But take a thinly-capitalised version that must draw on a credit line, and the interest-rate environment bites: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left"/>
            </w:pPr>
            <w:r>
              <w:rPr>
                <w:b/>
                <w:bCs/>
                <w:color w:val="FFFFFF"/>
                <w:sz w:val="21"/>
                <w:szCs w:val="21"/>
              </w:rPr>
              <w:t xml:space="preserve">Cost of funds</w:t>
            </w:r>
          </w:p>
        </w:tc>
        <w:tc>
          <w:tcPr>
            <w:tcW w:type="dxa" w:w="312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right"/>
            </w:pPr>
            <w:r>
              <w:rPr>
                <w:b/>
                <w:bCs/>
                <w:color w:val="FFFFFF"/>
                <w:sz w:val="21"/>
                <w:szCs w:val="21"/>
              </w:rPr>
              <w:t xml:space="preserve">Cumulative funding cost</w:t>
            </w:r>
          </w:p>
        </w:tc>
        <w:tc>
          <w:tcPr>
            <w:tcW w:type="dxa" w:w="312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right"/>
            </w:pPr>
            <w:r>
              <w:rPr>
                <w:b/>
                <w:bCs/>
                <w:color w:val="FFFFFF"/>
                <w:sz w:val="21"/>
                <w:szCs w:val="21"/>
              </w:rPr>
              <w:t xml:space="preserve">Cumulative profit</w:t>
            </w:r>
          </w:p>
        </w:tc>
      </w:tr>
      <w:t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9%</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$58.0K</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right"/>
            </w:pPr>
            <w:r>
              <w:rPr>
                <w:b w:val="false"/>
                <w:bCs w:val="false"/>
                <w:sz w:val="21"/>
                <w:szCs w:val="21"/>
              </w:rPr>
              <w:t xml:space="preserve">$555.2K</w:t>
            </w:r>
          </w:p>
        </w:tc>
      </w:tr>
      <w:tr>
        <w:tc>
          <w:tcPr>
            <w:tcW w:type="dxa" w:w="312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16%</w:t>
            </w:r>
          </w:p>
        </w:tc>
        <w:tc>
          <w:tcPr>
            <w:tcW w:type="dxa" w:w="312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$106.4K</w:t>
            </w:r>
          </w:p>
        </w:tc>
        <w:tc>
          <w:tcPr>
            <w:tcW w:type="dxa" w:w="312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right"/>
            </w:pPr>
            <w:r>
              <w:rPr>
                <w:b w:val="false"/>
                <w:bCs w:val="false"/>
                <w:sz w:val="21"/>
                <w:szCs w:val="21"/>
              </w:rPr>
              <w:t xml:space="preserve">$518.8K</w:t>
            </w:r>
          </w:p>
        </w:tc>
      </w:tr>
    </w:tbl>
    <w:p>
      <w:pPr>
        <w:spacing w:after="200" w:before="40"/>
      </w:pPr>
      <w:r>
        <w:rPr>
          <w:i/>
          <w:iCs/>
          <w:color w:val="666666"/>
          <w:sz w:val="19"/>
          <w:szCs w:val="19"/>
        </w:rPr>
        <w:t xml:space="preserve">A thinly-capitalised lender that must borrow: higher rates nearly double the interest bill.</w:t>
      </w:r>
    </w:p>
    <w:p>
      <w:pPr>
        <w:spacing w:after="140" w:line="276"/>
      </w:pPr>
      <w:r>
        <w:t xml:space="preserve">Raising the cost of funds from 9% to 16% nearly doubles the cumulative interest bill and shaves tens of thousands off profit. The lesson: interest-rate risk is really a function of how levered the business is.</w:t>
      </w:r>
    </w:p>
    <w:p>
      <w:pPr>
        <w:pStyle w:val="Heading2"/>
      </w:pPr>
      <w:r>
        <w:t xml:space="preserve">7.4 Credit and recovery assumptions</w:t>
      </w:r>
    </w:p>
    <w:p>
      <w:pPr>
        <w:spacing w:after="140" w:line="276"/>
      </w:pPr>
      <w:r>
        <w:t xml:space="preserve">The model also exposes the raw credit dials — the first-payment default rate, the ongoing miss rate, the point at which a loan is written off, and how much is eventually recovered. These drive the realised losses (as opposed to the precautionary reserves), and they are the levers to stress when asking “how bad could the actual loan performance get?”</w:t>
      </w:r>
    </w:p>
    <w:p>
      <w:pPr>
        <w:pStyle w:val="Heading1"/>
      </w:pPr>
      <w:r>
        <w:t xml:space="preserve">8. Stress testing and scenario simulation</w:t>
      </w:r>
    </w:p>
    <w:p>
      <w:pPr>
        <w:spacing w:after="140" w:line="276"/>
      </w:pPr>
      <w:r>
        <w:t xml:space="preserve">The application is built for what-if analysis. A typical workflow:</w:t>
      </w:r>
    </w:p>
    <w:p>
      <w:pPr>
        <w:pStyle w:val="ListParagraph"/>
        <w:numPr>
          <w:ilvl w:val="0"/>
          <w:numId w:val="4"/>
        </w:numPr>
        <w:spacing w:after="80" w:line="270"/>
      </w:pPr>
      <w:r>
        <w:t xml:space="preserve">Start from the base business and confirm it is healthy and self-consistent.</w:t>
      </w:r>
    </w:p>
    <w:p>
      <w:pPr>
        <w:pStyle w:val="ListParagraph"/>
        <w:numPr>
          <w:ilvl w:val="0"/>
          <w:numId w:val="4"/>
        </w:numPr>
        <w:spacing w:after="80" w:line="270"/>
      </w:pPr>
      <w:r>
        <w:t xml:space="preserve">Change one dial at a time to build intuition (e.g., the merchant fee, or the downside weight).</w:t>
      </w:r>
    </w:p>
    <w:p>
      <w:pPr>
        <w:pStyle w:val="ListParagraph"/>
        <w:numPr>
          <w:ilvl w:val="0"/>
          <w:numId w:val="4"/>
        </w:numPr>
        <w:spacing w:after="80" w:line="270"/>
      </w:pPr>
      <w:r>
        <w:t xml:space="preserve">Combine dials into named scenarios — “mild recession,” “aggressive growth,” “fee compression,” “rate shock” — and save them.</w:t>
      </w:r>
    </w:p>
    <w:p>
      <w:pPr>
        <w:pStyle w:val="ListParagraph"/>
        <w:numPr>
          <w:ilvl w:val="0"/>
          <w:numId w:val="4"/>
        </w:numPr>
        <w:spacing w:after="80" w:line="270"/>
      </w:pPr>
      <w:r>
        <w:t xml:space="preserve">Compare scenarios side by side to see which assumptions matter most and where the business is fragile.</w:t>
      </w:r>
    </w:p>
    <w:p>
      <w:pPr>
        <w:spacing w:after="140" w:line="276"/>
      </w:pPr>
      <w:r>
        <w:t xml:space="preserve">Because every change recomputes all three statements instantly and keeps them perfectly consistent, the model is a safe place to be wrong on paper before committing real capital.</w:t>
      </w:r>
    </w:p>
    <w:p>
      <w:pPr>
        <w:pStyle w:val="Heading1"/>
      </w:pPr>
      <w:r>
        <w:t xml:space="preserve">9. Capital adequacy and the feasibility flag</w:t>
      </w:r>
    </w:p>
    <w:p>
      <w:pPr>
        <w:spacing w:after="140" w:line="276"/>
      </w:pPr>
      <w:r>
        <w:t xml:space="preserve">A model can be perfectly correct and still describe a business that runs out of money. The application distinguishes these two things. Its internal checks come in two kinds:</w:t>
      </w:r>
    </w:p>
    <w:p>
      <w:pPr>
        <w:pStyle w:val="ListParagraph"/>
        <w:numPr>
          <w:ilvl w:val="0"/>
          <w:numId w:val="2"/>
        </w:numPr>
        <w:spacing w:after="80" w:line="270"/>
      </w:pPr>
      <w:r>
        <w:rPr>
          <w:b/>
          <w:bCs/>
        </w:rPr>
        <w:t xml:space="preserve">Accounting checks </w:t>
      </w:r>
      <w:r>
        <w:t xml:space="preserve">confirm the statements articulate — the balance sheet balances, cash ties out, reserves reconcile. These always hold.</w:t>
      </w:r>
    </w:p>
    <w:p>
      <w:pPr>
        <w:pStyle w:val="ListParagraph"/>
        <w:numPr>
          <w:ilvl w:val="0"/>
          <w:numId w:val="2"/>
        </w:numPr>
        <w:spacing w:after="80" w:line="270"/>
      </w:pPr>
      <w:r>
        <w:rPr>
          <w:b/>
          <w:bCs/>
        </w:rPr>
        <w:t xml:space="preserve">A feasibility flag </w:t>
      </w:r>
      <w:r>
        <w:t xml:space="preserve">is a business warning: it lights up when the plan isn’t self-funding — when growth and losses outrun the available equity and credit line, and cash would go negative.</w:t>
      </w:r>
    </w:p>
    <w:p>
      <w:pPr>
        <w:spacing w:after="140" w:line="276"/>
      </w:pPr>
      <w:r>
        <w:t xml:space="preserve">That flag isn’t a model error; it’s the model telling you the plan needs more capital, a bigger funding line, or slower growth. Surfacing that distinction is itself a feature: you can tell the difference between “the numbers are wrong” and “the strategy is under-capitalised.”</w:t>
      </w:r>
    </w:p>
    <w:p>
      <w:pPr>
        <w:pStyle w:val="Heading1"/>
      </w:pPr>
      <w:r>
        <w:t xml:space="preserve">10. Key metrics,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left"/>
            </w:pPr>
            <w:r>
              <w:rPr>
                <w:b/>
                <w:bCs/>
                <w:color w:val="FFFFFF"/>
                <w:sz w:val="21"/>
                <w:szCs w:val="21"/>
              </w:rPr>
              <w:t xml:space="preserve">Metric</w:t>
            </w:r>
          </w:p>
        </w:tc>
        <w:tc>
          <w:tcPr>
            <w:tcW w:type="dxa" w:w="66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left"/>
            </w:pPr>
            <w:r>
              <w:rPr>
                <w:b/>
                <w:bCs/>
                <w:color w:val="FFFFFF"/>
                <w:sz w:val="21"/>
                <w:szCs w:val="21"/>
              </w:rPr>
              <w:t xml:space="preserve">What it tells you</w:t>
            </w:r>
          </w:p>
        </w:tc>
      </w:tr>
      <w:tr>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NPL ratio</w:t>
            </w:r>
          </w:p>
        </w:tc>
        <w:tc>
          <w:tcPr>
            <w:tcW w:type="dxa" w:w="66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Share of the loan book seriously past due (Stage 3) — the headline measure of book quality.</w:t>
            </w:r>
          </w:p>
        </w:tc>
      </w:tr>
      <w:tr>
        <w:tc>
          <w:tcPr>
            <w:tcW w:type="dxa" w:w="27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ECL coverage</w:t>
            </w:r>
          </w:p>
        </w:tc>
        <w:tc>
          <w:tcPr>
            <w:tcW w:type="dxa" w:w="66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Reserves held as a percentage of loans — how well-cushioned the book is against expected losses.</w:t>
            </w:r>
          </w:p>
        </w:tc>
      </w:tr>
      <w:tr>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Charge-off rate</w:t>
            </w:r>
          </w:p>
        </w:tc>
        <w:tc>
          <w:tcPr>
            <w:tcW w:type="dxa" w:w="66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The pace at which loans are actually written off.</w:t>
            </w:r>
          </w:p>
        </w:tc>
      </w:tr>
      <w:tr>
        <w:tc>
          <w:tcPr>
            <w:tcW w:type="dxa" w:w="27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Cost of risk</w:t>
            </w:r>
          </w:p>
        </w:tc>
        <w:tc>
          <w:tcPr>
            <w:tcW w:type="dxa" w:w="66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The provision expense relative to the book — what credit risk costs the income statement.</w:t>
            </w:r>
          </w:p>
        </w:tc>
      </w:tr>
      <w:tr>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Take rate</w:t>
            </w:r>
          </w:p>
        </w:tc>
        <w:tc>
          <w:tcPr>
            <w:tcW w:type="dxa" w:w="66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Total fees earned as a percentage of sales volume — the lender’s margin on each transaction.</w:t>
            </w:r>
          </w:p>
        </w:tc>
      </w:tr>
      <w:tr>
        <w:tc>
          <w:tcPr>
            <w:tcW w:type="dxa" w:w="27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Portfolio yield / NIM</w:t>
            </w:r>
          </w:p>
        </w:tc>
        <w:tc>
          <w:tcPr>
            <w:tcW w:type="dxa" w:w="66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Income earned on the loan book relative to its size.</w:t>
            </w:r>
          </w:p>
        </w:tc>
      </w:tr>
      <w:tr>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Breakeven month</w:t>
            </w:r>
          </w:p>
        </w:tc>
        <w:tc>
          <w:tcPr>
            <w:tcW w:type="dxa" w:w="66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When the business first turns a monthly profit — how quickly scale pays off.</w:t>
            </w:r>
          </w:p>
        </w:tc>
      </w:tr>
      <w:tr>
        <w:tc>
          <w:tcPr>
            <w:tcW w:type="dxa" w:w="27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Return on equity (ROE)</w:t>
            </w:r>
          </w:p>
        </w:tc>
        <w:tc>
          <w:tcPr>
            <w:tcW w:type="dxa" w:w="66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Profit relative to the capital invested — whether the business creates value for shareholders.</w:t>
            </w:r>
          </w:p>
        </w:tc>
      </w:tr>
    </w:tbl>
    <w:p>
      <w:pPr>
        <w:pStyle w:val="Heading1"/>
      </w:pPr>
      <w:r>
        <w:t xml:space="preserve">11.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left"/>
            </w:pPr>
            <w:r>
              <w:rPr>
                <w:b/>
                <w:bCs/>
                <w:color w:val="FFFFFF"/>
                <w:sz w:val="21"/>
                <w:szCs w:val="21"/>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vAlign w:val="center"/>
          </w:tcPr>
          <w:p>
            <w:pPr>
              <w:jc w:val="left"/>
            </w:pPr>
            <w:r>
              <w:rPr>
                <w:b/>
                <w:bCs/>
                <w:color w:val="FFFFFF"/>
                <w:sz w:val="21"/>
                <w:szCs w:val="21"/>
              </w:rPr>
              <w:t xml:space="preserve">Meaning</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BNPL</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Buy Now, Pay Later — a short-term instalment loan offered at checkout.</w:t>
            </w:r>
          </w:p>
        </w:tc>
      </w:tr>
      <w:tr>
        <w:tc>
          <w:tcPr>
            <w:tcW w:type="dxa" w:w="24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DPD</w:t>
            </w:r>
          </w:p>
        </w:tc>
        <w:tc>
          <w:tcPr>
            <w:tcW w:type="dxa" w:w="69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Days past due — how late a payment is.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IFRS 9</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The global accounting standard for recognising loan losses (used by banks and regulated lenders).</w:t>
            </w:r>
          </w:p>
        </w:tc>
      </w:tr>
      <w:tr>
        <w:tc>
          <w:tcPr>
            <w:tcW w:type="dxa" w:w="24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Stage 1 / 2 / 3</w:t>
            </w:r>
          </w:p>
        </w:tc>
        <w:tc>
          <w:tcPr>
            <w:tcW w:type="dxa" w:w="69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Risk buckets under IFRS 9: performing / under-performing / non-performing.</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NPL</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Non-performing loan — seriously past due (90+ days); a Stage 3 loan.</w:t>
            </w:r>
          </w:p>
        </w:tc>
      </w:tr>
      <w:tr>
        <w:tc>
          <w:tcPr>
            <w:tcW w:type="dxa" w:w="24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ECL</w:t>
            </w:r>
          </w:p>
        </w:tc>
        <w:tc>
          <w:tcPr>
            <w:tcW w:type="dxa" w:w="69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Expected Credit Loss — the dollars a lender expects to lose, set aside in advance.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PD / LGD / EAD</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Probability of default / loss given default / exposure at default — the three ingredients of ECL.</w:t>
            </w:r>
          </w:p>
        </w:tc>
      </w:tr>
      <w:tr>
        <w:tc>
          <w:tcPr>
            <w:tcW w:type="dxa" w:w="24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Provision</w:t>
            </w:r>
          </w:p>
        </w:tc>
        <w:tc>
          <w:tcPr>
            <w:tcW w:type="dxa" w:w="69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The income-statement expense that tops up the loss reserve.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Allowance</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The running loss reserve on the balance sheet (a deduction from gross loans).</w:t>
            </w:r>
          </w:p>
        </w:tc>
      </w:tr>
      <w:tr>
        <w:tc>
          <w:tcPr>
            <w:tcW w:type="dxa" w:w="24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Charge-off</w:t>
            </w:r>
          </w:p>
        </w:tc>
        <w:tc>
          <w:tcPr>
            <w:tcW w:type="dxa" w:w="69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Writing a loan off as uncollectible; it draws down the reserve already held.</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Recovery</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Cash recovered after a loan has been charged off.</w:t>
            </w:r>
          </w:p>
        </w:tc>
      </w:tr>
      <w:tr>
        <w:tc>
          <w:tcPr>
            <w:tcW w:type="dxa" w:w="24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Gross / net receivables</w:t>
            </w:r>
          </w:p>
        </w:tc>
        <w:tc>
          <w:tcPr>
            <w:tcW w:type="dxa" w:w="69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Loans outstanding before / after subtracting the loss reserve.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bCs/>
                <w:sz w:val="21"/>
                <w:szCs w:val="21"/>
              </w:rPr>
              <w:t xml:space="preserve">Macro overlay</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jc w:val="left"/>
            </w:pPr>
            <w:r>
              <w:rPr>
                <w:b w:val="false"/>
                <w:bCs w:val="false"/>
                <w:sz w:val="21"/>
                <w:szCs w:val="21"/>
              </w:rPr>
              <w:t xml:space="preserve">The forward-looking economic view (base / upside / downside) blended into the reserve.</w:t>
            </w:r>
          </w:p>
        </w:tc>
      </w:tr>
      <w:tr>
        <w:tc>
          <w:tcPr>
            <w:tcW w:type="dxa" w:w="240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bCs/>
                <w:sz w:val="21"/>
                <w:szCs w:val="21"/>
              </w:rPr>
              <w:t xml:space="preserve">Take rate</w:t>
            </w:r>
          </w:p>
        </w:tc>
        <w:tc>
          <w:tcPr>
            <w:tcW w:type="dxa" w:w="6960"/>
            <w:tcBorders>
              <w:top w:val="single" w:color="CCCCCC" w:sz="1"/>
              <w:left w:val="single" w:color="CCCCCC" w:sz="1"/>
              <w:bottom w:val="single" w:color="CCCCCC" w:sz="1"/>
              <w:right w:val="single" w:color="CCCCCC" w:sz="1"/>
            </w:tcBorders>
            <w:shd w:fill="F6F8FC" w:val="clear"/>
            <w:tcMar>
              <w:top w:type="dxa" w:w="70"/>
              <w:left w:type="dxa" w:w="120"/>
              <w:bottom w:type="dxa" w:w="70"/>
              <w:right w:type="dxa" w:w="120"/>
            </w:tcMar>
            <w:vAlign w:val="center"/>
          </w:tcPr>
          <w:p>
            <w:pPr>
              <w:jc w:val="left"/>
            </w:pPr>
            <w:r>
              <w:rPr>
                <w:b w:val="false"/>
                <w:bCs w:val="false"/>
                <w:sz w:val="21"/>
                <w:szCs w:val="21"/>
              </w:rPr>
              <w:t xml:space="preserve">Fees earned as a percentage of sales volume.</w:t>
            </w:r>
          </w:p>
        </w:tc>
      </w:tr>
    </w:tbl>
    <w:p>
      <w:pPr>
        <w:pStyle w:val="Heading1"/>
      </w:pPr>
      <w:r>
        <w:t xml:space="preserve">12. A note on trust: why the numbers tie out</w:t>
      </w:r>
    </w:p>
    <w:p>
      <w:pPr>
        <w:spacing w:after="140" w:line="276"/>
      </w:pPr>
      <w:r>
        <w:t xml:space="preserve">A financial model is only useful if you can trust its arithmetic. This one is checked automatically every time it runs: the balance sheet balances, the cash on the cash-flow statement equals the cash on the balance sheet, the loss reserve reconciles to the expected-loss calculation, and the loan stages add up to the whole book — all to within a fraction of a cent. Those checks run across a wide range of scenarios, so the figures in this report — and any you generate yourself — rest on statements that genuinely articulate.</w:t>
      </w:r>
    </w:p>
    <w:p>
      <w:pPr>
        <w:pBdr>
          <w:top w:val="single" w:color="CCCCCC" w:sz="4" w:space="8"/>
        </w:pBdr>
        <w:spacing w:before="200"/>
      </w:pPr>
      <w:r>
        <w:rPr>
          <w:i/>
          <w:iCs/>
          <w:color w:val="777777"/>
          <w:sz w:val="19"/>
          <w:szCs w:val="19"/>
        </w:rPr>
        <w:t xml:space="preserve">All figures are produced by the model’s default illustrative business over a 36-month projection. Default credit assumptions are illustrative industry benchmarks, not those of any specific company.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C" w:sz="4" w:space="6"/>
      </w:pBdr>
      <w:tabs>
        <w:tab w:val="right" w:pos="9360"/>
      </w:tabs>
    </w:pPr>
    <w:r>
      <w:rPr>
        <w:color w:val="999999"/>
        <w:sz w:val="16"/>
        <w:szCs w:val="16"/>
      </w:rPr>
      <w:t xml:space="preserve">BNPL Financial Model — A Business &amp; Finance Guide</w:t>
    </w:r>
    <w:r>
      <w:rPr>
        <w:color w:val="999999"/>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DEEC"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BNPL Financial Model — A Business &amp; Finance Guide</dc:title>
  <dc:creator>BNPL Financial Model</dc:creator>
  <cp:lastModifiedBy>Un-named</cp:lastModifiedBy>
  <cp:revision>1</cp:revision>
  <dcterms:created xsi:type="dcterms:W3CDTF">2026-06-10T20:04:54.350Z</dcterms:created>
  <dcterms:modified xsi:type="dcterms:W3CDTF">2026-06-10T20:04:54.350Z</dcterms:modified>
</cp:coreProperties>
</file>

<file path=docProps/custom.xml><?xml version="1.0" encoding="utf-8"?>
<Properties xmlns="http://schemas.openxmlformats.org/officeDocument/2006/custom-properties" xmlns:vt="http://schemas.openxmlformats.org/officeDocument/2006/docPropsVTypes"/>
</file>