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pothem" w:hAnsi="Apothem" w:cs="Apothem"/>
          <w:b/>
          <w:bCs/>
          <w:i w:val="0"/>
          <w:iCs w:val="0"/>
          <w:lang w:val="en-US"/>
        </w:rPr>
      </w:pPr>
      <w:r>
        <w:rPr>
          <w:rFonts w:hint="default" w:ascii="Apothem" w:hAnsi="Apothem" w:cs="Apothem"/>
          <w:b/>
          <w:bCs/>
          <w:i w:val="0"/>
          <w:iCs w:val="0"/>
          <w:lang w:val="en-US"/>
        </w:rPr>
        <w:t>SOIL ANALYSIS REPORT</w:t>
      </w:r>
    </w:p>
    <w:p>
      <w:pPr>
        <w:jc w:val="center"/>
        <w:rPr>
          <w:rFonts w:hint="default" w:ascii="Apothem" w:hAnsi="Apothem" w:cs="Apothem"/>
          <w:b w:val="0"/>
          <w:bCs w:val="0"/>
          <w:i w:val="0"/>
          <w:iCs w:val="0"/>
          <w:lang w:val="en-US"/>
        </w:rPr>
      </w:pPr>
      <w:r>
        <w:rPr>
          <w:rFonts w:hint="default" w:ascii="Apothem" w:hAnsi="Apothem" w:cs="Apothem"/>
          <w:b w:val="0"/>
          <w:bCs w:val="0"/>
          <w:i w:val="0"/>
          <w:iCs w:val="0"/>
          <w:lang w:val="en-US"/>
        </w:rPr>
        <w:t>Eskaen Biosciences</w:t>
      </w:r>
    </w:p>
    <w:p>
      <w:pPr>
        <w:jc w:val="center"/>
        <w:rPr>
          <w:rFonts w:hint="default" w:ascii="Apothem" w:hAnsi="Apothem" w:cs="Apothem"/>
          <w:b/>
          <w:bCs/>
          <w:i w:val="0"/>
          <w:iCs w:val="0"/>
          <w:lang w:val="en-US"/>
        </w:rPr>
      </w:pPr>
      <w:r>
        <w:rPr>
          <w:rFonts w:hint="default" w:ascii="Apothem" w:hAnsi="Apothem" w:cs="Apothem"/>
          <w:b/>
          <w:bCs/>
          <w:i w:val="0"/>
          <w:iCs w:val="0"/>
          <w:lang w:val="en-US"/>
        </w:rPr>
        <w:t>Report Prepared By</w:t>
      </w:r>
    </w:p>
    <w:p>
      <w:pPr>
        <w:jc w:val="center"/>
        <w:rPr>
          <w:rFonts w:hint="default" w:ascii="Apothem" w:hAnsi="Apothem" w:cs="Apothem"/>
          <w:b w:val="0"/>
          <w:bCs w:val="0"/>
          <w:i w:val="0"/>
          <w:iCs w:val="0"/>
          <w:lang w:val="en-US"/>
        </w:rPr>
      </w:pPr>
      <w:r>
        <w:rPr>
          <w:rFonts w:hint="default" w:ascii="Apothem" w:hAnsi="Apothem" w:cs="Apothem"/>
          <w:b w:val="0"/>
          <w:bCs w:val="0"/>
          <w:i w:val="0"/>
          <w:iCs w:val="0"/>
          <w:lang w:val="en-US"/>
        </w:rPr>
        <w:t>Kamya Samuel</w:t>
      </w:r>
    </w:p>
    <w:p>
      <w:pPr>
        <w:jc w:val="center"/>
        <w:rPr>
          <w:rFonts w:hint="default" w:cs="Apothem" w:asciiTheme="minorAscii" w:hAnsiTheme="minorAscii"/>
          <w:b w:val="0"/>
          <w:bCs w:val="0"/>
          <w:i w:val="0"/>
          <w:iCs w:val="0"/>
          <w:lang w:val="en-US"/>
        </w:rPr>
      </w:pPr>
      <w:r>
        <w:rPr>
          <w:rFonts w:hint="default" w:cs="Apothem" w:asciiTheme="minorAscii" w:hAnsiTheme="minorAscii"/>
          <w:b w:val="0"/>
          <w:bCs w:val="0"/>
          <w:i w:val="0"/>
          <w:iCs w:val="0"/>
          <w:lang w:val="en-US"/>
        </w:rPr>
        <w:t>04/09/2024</w:t>
      </w:r>
    </w:p>
    <w:p>
      <w:pPr>
        <w:rPr>
          <w:rFonts w:hint="default" w:ascii="Apothem" w:hAnsi="Apothem" w:cs="Apothem"/>
          <w:lang w:val="en-US"/>
        </w:rPr>
      </w:pPr>
    </w:p>
    <w:p>
      <w:pPr>
        <w:pStyle w:val="5"/>
        <w:bidi w:val="0"/>
        <w:rPr>
          <w:rFonts w:hint="default" w:asciiTheme="majorAscii" w:hAnsiTheme="majorAscii" w:eastAsiaTheme="majorEastAsia" w:cstheme="majorEastAsia"/>
          <w:lang w:val="en-US"/>
        </w:rPr>
      </w:pPr>
      <w:r>
        <w:rPr>
          <w:rFonts w:hint="default" w:asciiTheme="majorAscii" w:hAnsiTheme="majorAscii" w:eastAsiaTheme="majorEastAsia" w:cstheme="majorEastAsia"/>
          <w:lang w:val="en-US"/>
        </w:rPr>
        <w:t>Soil Nutrient Profile: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spacing w:line="480" w:lineRule="auto"/>
              <w:jc w:val="both"/>
              <w:rPr>
                <w:rFonts w:hint="default" w:cs="Apothem" w:asciiTheme="majorAscii" w:hAnsiTheme="majorAscii"/>
                <w:color w:val="FFFFFF"/>
                <w:vertAlign w:val="baseline"/>
                <w:lang w:val="en-US"/>
              </w:rPr>
            </w:pPr>
            <w:r>
              <w:rPr>
                <w:rFonts w:hint="default" w:cs="Apothem" w:asciiTheme="majorAscii" w:hAnsiTheme="majorAscii"/>
                <w:color w:val="FFFFFF"/>
                <w:vertAlign w:val="baseline"/>
                <w:lang w:val="en-US"/>
              </w:rPr>
              <w:t>Nutrient</w:t>
            </w:r>
          </w:p>
        </w:tc>
        <w:tc>
          <w:tcPr>
            <w:tcW w:w="2841"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spacing w:line="480" w:lineRule="auto"/>
              <w:jc w:val="both"/>
              <w:rPr>
                <w:rFonts w:hint="default" w:cs="Apothem" w:asciiTheme="majorAscii" w:hAnsiTheme="majorAscii"/>
                <w:color w:val="FFFFFF"/>
                <w:vertAlign w:val="baseline"/>
                <w:lang w:val="en-US"/>
              </w:rPr>
            </w:pPr>
            <w:r>
              <w:rPr>
                <w:rFonts w:hint="default" w:cs="Apothem" w:asciiTheme="majorAscii" w:hAnsiTheme="majorAscii"/>
                <w:color w:val="FFFFFF"/>
                <w:vertAlign w:val="baseline"/>
                <w:lang w:val="en-US"/>
              </w:rPr>
              <w:t>Score</w:t>
            </w:r>
          </w:p>
        </w:tc>
        <w:tc>
          <w:tcPr>
            <w:tcW w:w="2841"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spacing w:line="480" w:lineRule="auto"/>
              <w:jc w:val="both"/>
              <w:rPr>
                <w:rFonts w:hint="default" w:cs="Apothem" w:asciiTheme="majorAscii" w:hAnsiTheme="majorAscii"/>
                <w:color w:val="FFFFFF"/>
                <w:vertAlign w:val="baseline"/>
                <w:lang w:val="en-US"/>
              </w:rPr>
            </w:pPr>
            <w:r>
              <w:rPr>
                <w:rFonts w:hint="default" w:cs="Apothem" w:asciiTheme="majorAscii" w:hAnsiTheme="majorAscii"/>
                <w:color w:val="FFFFFF"/>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Nitrogen</w:t>
            </w:r>
          </w:p>
        </w:tc>
        <w:tc>
          <w:tcPr>
            <w:tcW w:w="2841"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Variable. Not severe.</w:t>
            </w:r>
          </w:p>
        </w:tc>
        <w:tc>
          <w:tcPr>
            <w:tcW w:w="2841"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Deficiency was due to previous corn cultivation in parts of the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Phosphorus</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36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appreciable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Detected in the most sensitive coach-grass and not herbs.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Potassium</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noticeable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Both herbs and grasses showed no signs of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Magnessium</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noticeable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Both herbs and grasses showed no signs of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Iron</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noticeable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Both herbs and grasses showed no signs of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Clacium</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noticeable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Both herbs and grasses showed no signs of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Other</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48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No noticeable soil deficiency</w:t>
            </w:r>
          </w:p>
        </w:tc>
        <w:tc>
          <w:tcPr>
            <w:tcW w:w="2841" w:type="dxa"/>
            <w:tcBorders>
              <w:top w:val="single" w:color="9BBB59" w:sz="8" w:space="0"/>
              <w:left w:val="single" w:color="9BBB59" w:sz="8" w:space="0"/>
              <w:bottom w:val="single" w:color="9BBB59" w:sz="8" w:space="0"/>
              <w:right w:val="single" w:color="9BBB59" w:sz="8" w:space="0"/>
            </w:tcBorders>
            <w:shd w:val="clear" w:color="auto" w:fill="FFFFFF"/>
          </w:tcPr>
          <w:p>
            <w:pPr>
              <w:widowControl w:val="0"/>
              <w:spacing w:line="240" w:lineRule="auto"/>
              <w:jc w:val="both"/>
              <w:rPr>
                <w:rFonts w:hint="default" w:asciiTheme="minorAscii" w:hAnsiTheme="minorAscii" w:eastAsiaTheme="minorEastAsia" w:cstheme="minorEastAsia"/>
                <w:color w:val="000000"/>
                <w:sz w:val="18"/>
                <w:szCs w:val="18"/>
                <w:vertAlign w:val="baseline"/>
                <w:lang w:val="en-US"/>
              </w:rPr>
            </w:pPr>
            <w:r>
              <w:rPr>
                <w:rFonts w:hint="default" w:asciiTheme="minorAscii" w:hAnsiTheme="minorAscii" w:eastAsiaTheme="minorEastAsia" w:cstheme="minorEastAsia"/>
                <w:color w:val="000000"/>
                <w:sz w:val="18"/>
                <w:szCs w:val="18"/>
                <w:vertAlign w:val="baseline"/>
                <w:lang w:val="en-US"/>
              </w:rPr>
              <w:t>Both herbs and grasses showed no signs of deficiency</w:t>
            </w:r>
          </w:p>
        </w:tc>
      </w:tr>
    </w:tbl>
    <w:p>
      <w:pPr>
        <w:pStyle w:val="5"/>
        <w:bidi w:val="0"/>
        <w:rPr>
          <w:rFonts w:hint="default"/>
          <w:lang w:val="en-US"/>
        </w:rPr>
      </w:pPr>
      <w:r>
        <w:rPr>
          <w:rFonts w:hint="default"/>
          <w:lang w:val="en-US"/>
        </w:rPr>
        <w:t>Soil pH:</w:t>
      </w:r>
    </w:p>
    <w:p>
      <w:pPr>
        <w:rPr>
          <w:rFonts w:hint="default"/>
          <w:lang w:val="en-US"/>
        </w:rPr>
      </w:pPr>
      <w:r>
        <w:rPr>
          <w:rFonts w:hint="default"/>
          <w:lang w:val="en-US"/>
        </w:rPr>
        <w:t>Soil pH range of 6.5 - 7.0. Tending towards neutral. Explains availability of other important nutrients. Supplementation is recommended however.</w:t>
      </w:r>
    </w:p>
    <w:p>
      <w:pPr>
        <w:pStyle w:val="5"/>
        <w:bidi w:val="0"/>
        <w:rPr>
          <w:rFonts w:hint="default"/>
          <w:lang w:val="en-US"/>
        </w:rPr>
      </w:pPr>
      <w:r>
        <w:rPr>
          <w:rFonts w:hint="default"/>
          <w:lang w:val="en-US"/>
        </w:rPr>
        <w:t>Soil Structure &amp; Profile:</w:t>
      </w:r>
    </w:p>
    <w:p>
      <w:pPr>
        <w:rPr>
          <w:rFonts w:hint="default"/>
          <w:lang w:val="en-US"/>
        </w:rPr>
      </w:pPr>
      <w:r>
        <w:rPr>
          <w:rFonts w:hint="default"/>
          <w:lang w:val="en-US"/>
        </w:rPr>
        <w:t>Loamy sandy and loose soils. Easily crumbles. Has great water retention with excellent organics. The soil’s microbial profile is normal. The soild is well aerated and should not impede root growth.</w:t>
      </w:r>
    </w:p>
    <w:p>
      <w:pPr>
        <w:pStyle w:val="5"/>
        <w:bidi w:val="0"/>
        <w:rPr>
          <w:rFonts w:hint="default"/>
          <w:lang w:val="en-US"/>
        </w:rPr>
      </w:pPr>
      <w:r>
        <w:rPr>
          <w:rFonts w:hint="default"/>
          <w:lang w:val="en-US"/>
        </w:rPr>
        <w:t>Pest Occurrance:</w:t>
      </w:r>
    </w:p>
    <w:p>
      <w:pPr>
        <w:rPr>
          <w:rFonts w:hint="default"/>
          <w:lang w:val="en-US"/>
        </w:rPr>
      </w:pPr>
      <w:r>
        <w:rPr>
          <w:rFonts w:hint="default"/>
          <w:lang w:val="en-US"/>
        </w:rPr>
        <w:t>Pests specific to horticultural crops like pepper or onions or tomatoes were not observed.</w:t>
      </w:r>
    </w:p>
    <w:p>
      <w:pPr>
        <w:pStyle w:val="5"/>
        <w:bidi w:val="0"/>
        <w:rPr>
          <w:rFonts w:hint="default"/>
          <w:lang w:val="en-US"/>
        </w:rPr>
      </w:pPr>
      <w:r>
        <w:rPr>
          <w:rFonts w:hint="default"/>
          <w:lang w:val="en-US"/>
        </w:rPr>
        <w:t>Disease Occurrance:</w:t>
      </w:r>
    </w:p>
    <w:p>
      <w:pPr>
        <w:rPr>
          <w:rFonts w:hint="default"/>
          <w:lang w:val="en-US"/>
        </w:rPr>
      </w:pPr>
      <w:r>
        <w:rPr>
          <w:rFonts w:hint="default"/>
          <w:lang w:val="en-US"/>
        </w:rPr>
        <w:t>Incindences of either fusarium, bortyritis, and midldew were not observed in the weeds. This suggests an extremely low microbial load to pose danger to proposed crops to be grown.</w:t>
      </w:r>
    </w:p>
    <w:p>
      <w:pPr>
        <w:pStyle w:val="5"/>
        <w:bidi w:val="0"/>
        <w:rPr>
          <w:rFonts w:hint="default"/>
          <w:lang w:val="en-US"/>
        </w:rPr>
      </w:pPr>
      <w:r>
        <w:rPr>
          <w:rFonts w:hint="default"/>
          <w:lang w:val="en-US"/>
        </w:rPr>
        <w:t>Geography:</w:t>
      </w:r>
    </w:p>
    <w:p>
      <w:pPr>
        <w:rPr>
          <w:rFonts w:hint="default"/>
          <w:lang w:val="en-US"/>
        </w:rPr>
      </w:pPr>
      <w:r>
        <w:rPr>
          <w:rFonts w:hint="default"/>
          <w:lang w:val="en-US"/>
        </w:rPr>
        <w:t>The field is gently sloped allowing for proper drainage and water retention. The gentle slope is ideal for drip irrigation.</w:t>
      </w:r>
    </w:p>
    <w:p>
      <w:pPr>
        <w:rPr>
          <w:rFonts w:hint="default"/>
          <w:lang w:val="en-US"/>
        </w:rPr>
      </w:pPr>
    </w:p>
    <w:p>
      <w:pPr>
        <w:pStyle w:val="5"/>
        <w:bidi w:val="0"/>
        <w:rPr>
          <w:rFonts w:hint="default"/>
          <w:lang w:val="en-US"/>
        </w:rPr>
      </w:pPr>
      <w:r>
        <w:rPr>
          <w:rFonts w:hint="default"/>
          <w:lang w:val="en-US"/>
        </w:rPr>
        <w:t>Conclusions &amp; Recommendations:</w:t>
      </w:r>
    </w:p>
    <w:p>
      <w:pPr>
        <w:numPr>
          <w:ilvl w:val="0"/>
          <w:numId w:val="1"/>
        </w:numPr>
        <w:spacing w:line="360" w:lineRule="auto"/>
        <w:ind w:left="420" w:leftChars="0" w:hanging="420" w:firstLineChars="0"/>
        <w:rPr>
          <w:rFonts w:hint="default"/>
          <w:lang w:val="en-US"/>
        </w:rPr>
      </w:pPr>
      <w:r>
        <w:rPr>
          <w:rFonts w:hint="default"/>
          <w:lang w:val="en-US"/>
        </w:rPr>
        <w:t>Mild nitrogen deficiency was observed in parts of the field where corn had previously been grown. The rest was normal. Supplementing with NPK fertilizer should suffice. The prefferable mode of application should be fertigation through the drip system.</w:t>
      </w:r>
      <w:bookmarkStart w:id="0" w:name="_GoBack"/>
      <w:bookmarkEnd w:id="0"/>
    </w:p>
    <w:p>
      <w:pPr>
        <w:numPr>
          <w:ilvl w:val="0"/>
          <w:numId w:val="1"/>
        </w:numPr>
        <w:spacing w:line="360" w:lineRule="auto"/>
        <w:ind w:left="420" w:leftChars="0" w:hanging="420" w:firstLineChars="0"/>
        <w:rPr>
          <w:rFonts w:hint="default"/>
          <w:lang w:val="en-US"/>
        </w:rPr>
      </w:pPr>
      <w:r>
        <w:rPr>
          <w:rFonts w:hint="default"/>
          <w:lang w:val="en-US"/>
        </w:rPr>
        <w:t>Due to its crumby loamy and sandy texture, the field is suitable for onions especially. Tomatoes and pepper would do excellently as well.</w:t>
      </w:r>
    </w:p>
    <w:p>
      <w:pPr>
        <w:numPr>
          <w:ilvl w:val="0"/>
          <w:numId w:val="1"/>
        </w:numPr>
        <w:spacing w:line="360" w:lineRule="auto"/>
        <w:ind w:left="420" w:leftChars="0" w:hanging="420" w:firstLineChars="0"/>
        <w:rPr>
          <w:rFonts w:hint="default"/>
          <w:lang w:val="en-US"/>
        </w:rPr>
      </w:pPr>
      <w:r>
        <w:rPr>
          <w:rFonts w:hint="default"/>
          <w:lang w:val="en-US"/>
        </w:rPr>
        <w:t>The field is located nearby a wetland which raises the water table. Digging wells to supply water for drip irrigation should greatly increase yields.</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exanida PERSONAL USE ONLY!"/>
    <w:panose1 w:val="05000000000000000000"/>
    <w:charset w:val="00"/>
    <w:family w:val="auto"/>
    <w:pitch w:val="default"/>
    <w:sig w:usb0="00000000" w:usb1="10000000" w:usb2="00000000" w:usb3="00000000" w:csb0="80000000" w:csb1="00000000"/>
  </w:font>
  <w:font w:name="Alexanida PERSONAL USE ONLY!">
    <w:panose1 w:val="02000500000000000000"/>
    <w:charset w:val="00"/>
    <w:family w:val="auto"/>
    <w:pitch w:val="default"/>
    <w:sig w:usb0="00000003" w:usb1="1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pothem">
    <w:panose1 w:val="02000906020000020003"/>
    <w:charset w:val="00"/>
    <w:family w:val="auto"/>
    <w:pitch w:val="default"/>
    <w:sig w:usb0="80000007" w:usb1="10000000" w:usb2="00000000" w:usb3="00000000" w:csb0="20000001" w:csb1="00000000"/>
  </w:font>
  <w:font w:name="Calibri Light">
    <w:altName w:val="Aria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sz w:val="15"/>
        <w:szCs w:val="15"/>
        <w:lang w:val="en-US"/>
      </w:rPr>
    </w:pPr>
    <w:r>
      <w:rPr>
        <w:rFonts w:hint="default"/>
        <w:sz w:val="15"/>
        <w:szCs w:val="15"/>
        <w:lang w:val="en-US"/>
      </w:rPr>
      <w:t>Call or whatsApp 0758607712</w:t>
    </w:r>
  </w:p>
  <w:p>
    <w:pPr>
      <w:pStyle w:val="8"/>
      <w:rPr>
        <w:rFonts w:hint="default"/>
        <w:sz w:val="15"/>
        <w:szCs w:val="15"/>
        <w:lang w:val="en-US"/>
      </w:rPr>
    </w:pPr>
    <w:r>
      <w:rPr>
        <w:rFonts w:hint="default"/>
        <w:sz w:val="15"/>
        <w:szCs w:val="15"/>
        <w:lang w:val="en-US"/>
      </w:rPr>
      <w:t>Visit https://eskaen.com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sz w:val="11"/>
        <w:szCs w:val="11"/>
        <w:lang w:val="en-US"/>
      </w:rPr>
    </w:pPr>
    <w:r>
      <w:rPr>
        <w:rFonts w:hint="default"/>
        <w:sz w:val="11"/>
        <w:szCs w:val="11"/>
        <w:lang w:val="en-US"/>
      </w:rPr>
      <w:t>SMART &amp; PRECISION AGRICULTURE.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A7B5C"/>
    <w:multiLevelType w:val="singleLevel"/>
    <w:tmpl w:val="EC7A7B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9FECA"/>
    <w:rsid w:val="7FB9FECA"/>
    <w:rsid w:val="DEC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styleId="10">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330</Words>
  <Characters>1846</Characters>
  <Lines>0</Lines>
  <Paragraphs>0</Paragraphs>
  <TotalTime>85</TotalTime>
  <ScaleCrop>false</ScaleCrop>
  <LinksUpToDate>false</LinksUpToDate>
  <CharactersWithSpaces>2132</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2024-09-05T15:23:00Z</dcterms:created>
  <dc:creator>kamya-samuel</dc:creator>
  <cp:lastModifiedBy>kamya-samuel</cp:lastModifiedBy>
  <dcterms:modified xsi:type="dcterms:W3CDTF">2024-09-05T16:44:12Z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