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BABE5F" w14:textId="77777777" w:rsidR="00372D05" w:rsidRPr="00F54EC3" w:rsidRDefault="00F54EC3" w:rsidP="00F54EC3">
      <w:pPr>
        <w:jc w:val="center"/>
        <w:rPr>
          <w:b/>
          <w:sz w:val="40"/>
          <w:szCs w:val="40"/>
        </w:rPr>
      </w:pPr>
      <w:r w:rsidRPr="00F54EC3">
        <w:rPr>
          <w:b/>
          <w:sz w:val="40"/>
          <w:szCs w:val="40"/>
        </w:rPr>
        <w:t>I Diagramy Przypadków Użycia</w:t>
      </w:r>
    </w:p>
    <w:p w14:paraId="2A261B74" w14:textId="4E7C26EE" w:rsidR="00B22778" w:rsidRPr="00F54EC3" w:rsidRDefault="00B22778" w:rsidP="00F54EC3">
      <w:pPr>
        <w:jc w:val="both"/>
        <w:rPr>
          <w:sz w:val="24"/>
          <w:szCs w:val="24"/>
        </w:rPr>
      </w:pPr>
      <w:r w:rsidRPr="00F54EC3">
        <w:rPr>
          <w:b/>
          <w:sz w:val="24"/>
          <w:szCs w:val="24"/>
        </w:rPr>
        <w:t>Przypadek użycia</w:t>
      </w:r>
      <w:r w:rsidRPr="00F54EC3">
        <w:rPr>
          <w:sz w:val="24"/>
          <w:szCs w:val="24"/>
        </w:rPr>
        <w:t xml:space="preserve">  - graficzna reprezentacja czynności, jaką użytkownik (człowiek lub inny – ZEWNĘTRZNY system) może dokonać w danym systemie.  Przypadki użycia definiują wymagania stawiane wobec systemu bez wnikania w implementację.</w:t>
      </w:r>
      <w:r w:rsidR="00BB4D3C" w:rsidRPr="00F54EC3">
        <w:rPr>
          <w:sz w:val="24"/>
          <w:szCs w:val="24"/>
        </w:rPr>
        <w:t xml:space="preserve">  Przypadek użycia zaznaczamy za pomocą elipsy.  Z reguły właściwą nazwą dla przypadku użycia jest wyrażenie zawierające czasowniki (lub inne zwroty opisujące CZYNNOŚĆ </w:t>
      </w:r>
      <w:r w:rsidR="009D6E1D">
        <w:rPr>
          <w:sz w:val="24"/>
          <w:szCs w:val="24"/>
        </w:rPr>
        <w:t>np.</w:t>
      </w:r>
      <w:r w:rsidR="00BB4D3C" w:rsidRPr="00F54EC3">
        <w:rPr>
          <w:sz w:val="24"/>
          <w:szCs w:val="24"/>
        </w:rPr>
        <w:t>: wczytaj plik, wczytanie pliku</w:t>
      </w:r>
      <w:r w:rsidR="009E2897" w:rsidRPr="00F54EC3">
        <w:rPr>
          <w:sz w:val="24"/>
          <w:szCs w:val="24"/>
        </w:rPr>
        <w:t>, wypłać środki, wypłata środków</w:t>
      </w:r>
      <w:r w:rsidR="00BB4D3C" w:rsidRPr="00F54EC3">
        <w:rPr>
          <w:sz w:val="24"/>
          <w:szCs w:val="24"/>
        </w:rPr>
        <w:t xml:space="preserve"> itd.)</w:t>
      </w:r>
    </w:p>
    <w:p w14:paraId="12F7FBEC" w14:textId="77777777" w:rsidR="00BB4D3C" w:rsidRPr="00F54EC3" w:rsidRDefault="00BB4D3C">
      <w:pPr>
        <w:rPr>
          <w:sz w:val="24"/>
          <w:szCs w:val="24"/>
        </w:rPr>
      </w:pPr>
    </w:p>
    <w:p w14:paraId="4E884AD9" w14:textId="77777777" w:rsidR="00BB4D3C" w:rsidRDefault="00BB4D3C" w:rsidP="00BB4D3C">
      <w:pPr>
        <w:jc w:val="center"/>
      </w:pPr>
      <w:r>
        <w:object w:dxaOrig="2760" w:dyaOrig="1260" w14:anchorId="05282E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8pt;height:63pt" o:ole="">
            <v:imagedata r:id="rId4" o:title=""/>
          </v:shape>
          <o:OLEObject Type="Embed" ProgID="Visio.Drawing.15" ShapeID="_x0000_i1025" DrawAspect="Content" ObjectID="_1665240157" r:id="rId5"/>
        </w:object>
      </w:r>
    </w:p>
    <w:p w14:paraId="5DAC56EC" w14:textId="77777777" w:rsidR="00BB4D3C" w:rsidRPr="00F54EC3" w:rsidRDefault="00BB4D3C" w:rsidP="00BB4D3C">
      <w:pPr>
        <w:jc w:val="center"/>
        <w:rPr>
          <w:sz w:val="24"/>
          <w:szCs w:val="24"/>
        </w:rPr>
      </w:pPr>
    </w:p>
    <w:p w14:paraId="378F91BF" w14:textId="77777777" w:rsidR="00D71EEB" w:rsidRPr="00F54EC3" w:rsidRDefault="00B22778">
      <w:pPr>
        <w:rPr>
          <w:sz w:val="24"/>
          <w:szCs w:val="24"/>
        </w:rPr>
      </w:pPr>
      <w:r w:rsidRPr="00F54EC3">
        <w:rPr>
          <w:b/>
          <w:sz w:val="24"/>
          <w:szCs w:val="24"/>
        </w:rPr>
        <w:t>Aktor</w:t>
      </w:r>
      <w:r w:rsidRPr="00F54EC3">
        <w:rPr>
          <w:sz w:val="24"/>
          <w:szCs w:val="24"/>
        </w:rPr>
        <w:t xml:space="preserve"> – użytkownik który dokonuje interakcji z systemem. </w:t>
      </w:r>
    </w:p>
    <w:p w14:paraId="19D72973" w14:textId="77777777" w:rsidR="009E2897" w:rsidRPr="00F54EC3" w:rsidRDefault="009E2897" w:rsidP="00F54EC3">
      <w:pPr>
        <w:jc w:val="center"/>
        <w:rPr>
          <w:sz w:val="24"/>
          <w:szCs w:val="24"/>
        </w:rPr>
      </w:pPr>
      <w:r w:rsidRPr="00F54EC3">
        <w:rPr>
          <w:sz w:val="24"/>
          <w:szCs w:val="24"/>
        </w:rPr>
        <w:object w:dxaOrig="841" w:dyaOrig="1957" w14:anchorId="718F5F58">
          <v:shape id="_x0000_i1026" type="#_x0000_t75" style="width:42pt;height:97.8pt" o:ole="">
            <v:imagedata r:id="rId6" o:title=""/>
          </v:shape>
          <o:OLEObject Type="Embed" ProgID="Visio.Drawing.15" ShapeID="_x0000_i1026" DrawAspect="Content" ObjectID="_1665240158" r:id="rId7"/>
        </w:object>
      </w:r>
    </w:p>
    <w:p w14:paraId="6E5DEB2E" w14:textId="77777777" w:rsidR="00F54EC3" w:rsidRDefault="00F54EC3" w:rsidP="00F54EC3">
      <w:pPr>
        <w:jc w:val="center"/>
        <w:rPr>
          <w:b/>
          <w:sz w:val="28"/>
          <w:szCs w:val="28"/>
        </w:rPr>
      </w:pPr>
    </w:p>
    <w:p w14:paraId="24142BB7" w14:textId="77777777" w:rsidR="00F54EC3" w:rsidRDefault="00F54EC3" w:rsidP="00F54EC3">
      <w:pPr>
        <w:jc w:val="center"/>
        <w:rPr>
          <w:b/>
          <w:sz w:val="28"/>
          <w:szCs w:val="28"/>
        </w:rPr>
      </w:pPr>
    </w:p>
    <w:p w14:paraId="34DDC374" w14:textId="77777777" w:rsidR="00F54EC3" w:rsidRDefault="00F54EC3" w:rsidP="00F54EC3">
      <w:pPr>
        <w:jc w:val="center"/>
        <w:rPr>
          <w:b/>
          <w:sz w:val="28"/>
          <w:szCs w:val="28"/>
        </w:rPr>
      </w:pPr>
    </w:p>
    <w:p w14:paraId="3AA006EB" w14:textId="77777777" w:rsidR="00F54EC3" w:rsidRDefault="00F54EC3" w:rsidP="00F54EC3">
      <w:pPr>
        <w:jc w:val="center"/>
        <w:rPr>
          <w:b/>
          <w:sz w:val="28"/>
          <w:szCs w:val="28"/>
        </w:rPr>
      </w:pPr>
    </w:p>
    <w:p w14:paraId="28362DAE" w14:textId="77777777" w:rsidR="00353F3C" w:rsidRPr="00F54EC3" w:rsidRDefault="00353F3C" w:rsidP="00F54EC3">
      <w:pPr>
        <w:jc w:val="center"/>
        <w:rPr>
          <w:b/>
          <w:sz w:val="28"/>
          <w:szCs w:val="28"/>
        </w:rPr>
      </w:pPr>
      <w:r w:rsidRPr="00F54EC3">
        <w:rPr>
          <w:b/>
          <w:sz w:val="28"/>
          <w:szCs w:val="28"/>
        </w:rPr>
        <w:t>Przypadki użycia typu include (zawierany) i extend (rozszerzający).</w:t>
      </w:r>
    </w:p>
    <w:p w14:paraId="41832A8D" w14:textId="77777777" w:rsidR="00353F3C" w:rsidRPr="00F54EC3" w:rsidRDefault="00353F3C" w:rsidP="00F54EC3">
      <w:pPr>
        <w:jc w:val="both"/>
        <w:rPr>
          <w:sz w:val="24"/>
          <w:szCs w:val="24"/>
        </w:rPr>
      </w:pPr>
      <w:r w:rsidRPr="00F54EC3">
        <w:rPr>
          <w:sz w:val="24"/>
          <w:szCs w:val="24"/>
        </w:rPr>
        <w:t xml:space="preserve">Podprzypadek typu </w:t>
      </w:r>
      <w:r w:rsidRPr="00F54EC3">
        <w:rPr>
          <w:b/>
          <w:sz w:val="24"/>
          <w:szCs w:val="24"/>
        </w:rPr>
        <w:t>include</w:t>
      </w:r>
      <w:r w:rsidRPr="00F54EC3">
        <w:rPr>
          <w:sz w:val="24"/>
          <w:szCs w:val="24"/>
        </w:rPr>
        <w:t xml:space="preserve"> zachodzi </w:t>
      </w:r>
      <w:r w:rsidRPr="00F54EC3">
        <w:rPr>
          <w:b/>
          <w:sz w:val="24"/>
          <w:szCs w:val="24"/>
        </w:rPr>
        <w:t>ZAWSZE</w:t>
      </w:r>
      <w:r w:rsidRPr="00F54EC3">
        <w:rPr>
          <w:sz w:val="24"/>
          <w:szCs w:val="24"/>
        </w:rPr>
        <w:t xml:space="preserve"> wtedy gdy </w:t>
      </w:r>
      <w:r w:rsidR="00F54EC3">
        <w:rPr>
          <w:sz w:val="24"/>
          <w:szCs w:val="24"/>
        </w:rPr>
        <w:t xml:space="preserve">zachodzi </w:t>
      </w:r>
      <w:r w:rsidRPr="00F54EC3">
        <w:rPr>
          <w:sz w:val="24"/>
          <w:szCs w:val="24"/>
        </w:rPr>
        <w:t xml:space="preserve">jego przypadek bazowy. Teoretycznie jego wyodrębnianie ma sens </w:t>
      </w:r>
      <w:r w:rsidR="00F54EC3">
        <w:rPr>
          <w:sz w:val="24"/>
          <w:szCs w:val="24"/>
        </w:rPr>
        <w:t xml:space="preserve">tylko </w:t>
      </w:r>
      <w:r w:rsidRPr="00F54EC3">
        <w:rPr>
          <w:sz w:val="24"/>
          <w:szCs w:val="24"/>
        </w:rPr>
        <w:t xml:space="preserve">wtedy, gdy co najmniej dwa przypadki użycia (te wywoływane przez aktorów) mają jakąś część wspólną (wtedy tą część wspólną dajemy do podprzypadku typu  include). </w:t>
      </w:r>
    </w:p>
    <w:p w14:paraId="600441DB" w14:textId="77777777" w:rsidR="00353F3C" w:rsidRPr="00F54EC3" w:rsidRDefault="00A063EF" w:rsidP="00353F3C">
      <w:pPr>
        <w:rPr>
          <w:sz w:val="24"/>
          <w:szCs w:val="24"/>
        </w:rPr>
      </w:pPr>
      <w:r w:rsidRPr="00F54EC3">
        <w:rPr>
          <w:sz w:val="24"/>
          <w:szCs w:val="24"/>
        </w:rPr>
        <w:object w:dxaOrig="10128" w:dyaOrig="4344" w14:anchorId="244997AD">
          <v:shape id="_x0000_i1027" type="#_x0000_t75" style="width:453pt;height:194.4pt" o:ole="">
            <v:imagedata r:id="rId8" o:title=""/>
          </v:shape>
          <o:OLEObject Type="Embed" ProgID="Visio.Drawing.15" ShapeID="_x0000_i1027" DrawAspect="Content" ObjectID="_1665240159" r:id="rId9"/>
        </w:object>
      </w:r>
    </w:p>
    <w:p w14:paraId="1E5F5836" w14:textId="77777777" w:rsidR="00353F3C" w:rsidRPr="00F54EC3" w:rsidRDefault="00353F3C" w:rsidP="00F54EC3">
      <w:pPr>
        <w:jc w:val="both"/>
        <w:rPr>
          <w:sz w:val="24"/>
          <w:szCs w:val="24"/>
        </w:rPr>
      </w:pPr>
      <w:r w:rsidRPr="00F54EC3">
        <w:rPr>
          <w:sz w:val="24"/>
          <w:szCs w:val="24"/>
        </w:rPr>
        <w:t xml:space="preserve">Podprzypadek typu </w:t>
      </w:r>
      <w:r w:rsidRPr="00F54EC3">
        <w:rPr>
          <w:b/>
          <w:sz w:val="24"/>
          <w:szCs w:val="24"/>
        </w:rPr>
        <w:t>extend</w:t>
      </w:r>
      <w:r w:rsidRPr="00F54EC3">
        <w:rPr>
          <w:sz w:val="24"/>
          <w:szCs w:val="24"/>
        </w:rPr>
        <w:t xml:space="preserve"> (rozszerzenie) stosujemy tylko wtedy, gdy jakaś czynność jest wykonywana </w:t>
      </w:r>
      <w:r w:rsidRPr="00F54EC3">
        <w:rPr>
          <w:b/>
          <w:sz w:val="24"/>
          <w:szCs w:val="24"/>
        </w:rPr>
        <w:t>w szczególnych warunkach</w:t>
      </w:r>
      <w:r w:rsidRPr="00F54EC3">
        <w:rPr>
          <w:sz w:val="24"/>
          <w:szCs w:val="24"/>
        </w:rPr>
        <w:t xml:space="preserve"> (tzn. nie przy każdym wywołaniu przypadku bazowego). Strzałka prowadzi w kierunku przypadku bazowego.</w:t>
      </w:r>
    </w:p>
    <w:p w14:paraId="4AC7C770" w14:textId="77777777" w:rsidR="00353F3C" w:rsidRPr="00F54EC3" w:rsidRDefault="00A063EF">
      <w:pPr>
        <w:rPr>
          <w:sz w:val="24"/>
          <w:szCs w:val="24"/>
        </w:rPr>
      </w:pPr>
      <w:r w:rsidRPr="00F54EC3">
        <w:rPr>
          <w:sz w:val="24"/>
          <w:szCs w:val="24"/>
        </w:rPr>
        <w:object w:dxaOrig="10128" w:dyaOrig="4344" w14:anchorId="364C801F">
          <v:shape id="_x0000_i1028" type="#_x0000_t75" style="width:453pt;height:194.4pt" o:ole="">
            <v:imagedata r:id="rId10" o:title=""/>
          </v:shape>
          <o:OLEObject Type="Embed" ProgID="Visio.Drawing.15" ShapeID="_x0000_i1028" DrawAspect="Content" ObjectID="_1665240160" r:id="rId11"/>
        </w:object>
      </w:r>
    </w:p>
    <w:p w14:paraId="6D3AF9E3" w14:textId="77777777" w:rsidR="00353F3C" w:rsidRPr="00F54EC3" w:rsidRDefault="00353F3C">
      <w:pPr>
        <w:rPr>
          <w:b/>
          <w:sz w:val="24"/>
          <w:szCs w:val="24"/>
        </w:rPr>
      </w:pPr>
      <w:r w:rsidRPr="00F54EC3">
        <w:rPr>
          <w:b/>
          <w:sz w:val="24"/>
          <w:szCs w:val="24"/>
        </w:rPr>
        <w:t>Uwagi</w:t>
      </w:r>
    </w:p>
    <w:p w14:paraId="0A917061" w14:textId="77777777" w:rsidR="00353F3C" w:rsidRPr="00F54EC3" w:rsidRDefault="00353F3C" w:rsidP="00F54EC3">
      <w:pPr>
        <w:jc w:val="both"/>
        <w:rPr>
          <w:sz w:val="24"/>
          <w:szCs w:val="24"/>
        </w:rPr>
      </w:pPr>
      <w:r w:rsidRPr="00F54EC3">
        <w:rPr>
          <w:sz w:val="24"/>
          <w:szCs w:val="24"/>
        </w:rPr>
        <w:t>Tylko aktorzy mogą „uruchamiać” przypadki użycia (jedynym wyjątkiem są podprzypadki typu include i extend). Tworzenie „łańcuchów”  wzajemnie się wywołujących zwykłych przypadków użycia jest błędne. Takie łańcuchy należy scalić w jeden duży przypadek użycia, albo rozbić na kilka przypadków wywoływanych przez aktorów.</w:t>
      </w:r>
    </w:p>
    <w:p w14:paraId="461BDAE4" w14:textId="778C632C" w:rsidR="006D00DC" w:rsidRDefault="00771E82">
      <w:pPr>
        <w:rPr>
          <w:sz w:val="24"/>
          <w:szCs w:val="24"/>
        </w:rPr>
      </w:pPr>
      <w:r>
        <w:rPr>
          <w:sz w:val="24"/>
          <w:szCs w:val="24"/>
        </w:rPr>
        <w:t>Aktorów z przypadkami można też łączyć za pomocą strzałki (asocjacja skierowana) by pokazać, kto jest inicjatorem akcji. Jest to szczególnie przydatne, gdy w danym przypadku bierze udział kilku aktorów (np. użytkownik systemu oraz jakiś „zewnętrzny” system, który współpracuje z modelowanym systemem).</w:t>
      </w:r>
    </w:p>
    <w:p w14:paraId="696424C8" w14:textId="4E3FF212" w:rsidR="006D00DC" w:rsidRDefault="006D00DC">
      <w:pPr>
        <w:rPr>
          <w:sz w:val="24"/>
          <w:szCs w:val="24"/>
        </w:rPr>
      </w:pPr>
    </w:p>
    <w:sectPr w:rsidR="006D00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778"/>
    <w:rsid w:val="002D3AE4"/>
    <w:rsid w:val="00353F3C"/>
    <w:rsid w:val="00372D05"/>
    <w:rsid w:val="003C1989"/>
    <w:rsid w:val="00643A66"/>
    <w:rsid w:val="00671221"/>
    <w:rsid w:val="006D00DC"/>
    <w:rsid w:val="00766E88"/>
    <w:rsid w:val="00771E82"/>
    <w:rsid w:val="00781521"/>
    <w:rsid w:val="007B4969"/>
    <w:rsid w:val="009A7C61"/>
    <w:rsid w:val="009D0282"/>
    <w:rsid w:val="009D6E1D"/>
    <w:rsid w:val="009D7EE7"/>
    <w:rsid w:val="009E2897"/>
    <w:rsid w:val="00A063EF"/>
    <w:rsid w:val="00A11520"/>
    <w:rsid w:val="00AF24F6"/>
    <w:rsid w:val="00B22778"/>
    <w:rsid w:val="00BB4D3C"/>
    <w:rsid w:val="00CC1043"/>
    <w:rsid w:val="00D71EEB"/>
    <w:rsid w:val="00E44701"/>
    <w:rsid w:val="00F418E7"/>
    <w:rsid w:val="00F54EC3"/>
    <w:rsid w:val="00F64149"/>
    <w:rsid w:val="00F7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72FEF"/>
  <w15:docId w15:val="{FB919735-AFE7-4BC5-BDFD-6B20EF3D3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E44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2.vsdx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package" Target="embeddings/Microsoft_Visio_Drawing4.vsdx"/><Relationship Id="rId5" Type="http://schemas.openxmlformats.org/officeDocument/2006/relationships/package" Target="embeddings/Microsoft_Visio_Drawing1.vsdx"/><Relationship Id="rId10" Type="http://schemas.openxmlformats.org/officeDocument/2006/relationships/image" Target="media/image4.emf"/><Relationship Id="rId4" Type="http://schemas.openxmlformats.org/officeDocument/2006/relationships/image" Target="media/image1.emf"/><Relationship Id="rId9" Type="http://schemas.openxmlformats.org/officeDocument/2006/relationships/package" Target="embeddings/Microsoft_Visio_Drawing3.vsdx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270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Tomek</dc:creator>
  <cp:lastModifiedBy>Tomasz Urbańczyk</cp:lastModifiedBy>
  <cp:revision>9</cp:revision>
  <dcterms:created xsi:type="dcterms:W3CDTF">2020-10-26T11:43:00Z</dcterms:created>
  <dcterms:modified xsi:type="dcterms:W3CDTF">2020-10-26T16:55:00Z</dcterms:modified>
</cp:coreProperties>
</file>