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F2A44"/>
          <w:sz w:val="28"/>
          <w:szCs w:val="28"/>
        </w:rPr>
        <w:t xml:space="preserve">PERJANJIAN TINGKAT LAYANAN</w:t>
      </w:r>
    </w:p>
    <w:p>
      <w:pPr>
        <w:spacing w:after="60"/>
        <w:jc w:val="center"/>
      </w:pPr>
      <w:r>
        <w:rPr>
          <w:rFonts w:ascii="Arial" w:cs="Arial" w:eastAsia="Arial" w:hAnsi="Arial"/>
          <w:i/>
          <w:iCs/>
          <w:color w:val="6B7280"/>
          <w:sz w:val="22"/>
          <w:szCs w:val="22"/>
        </w:rPr>
        <w:t xml:space="preserve">SERVICE LEVEL AGREEMENT (SLA)</w:t>
      </w:r>
    </w:p>
    <w:p>
      <w:pPr>
        <w:spacing w:after="200"/>
        <w:jc w:val="center"/>
      </w:pPr>
      <w:r>
        <w:rPr>
          <w:rFonts w:ascii="Arial" w:cs="Arial" w:eastAsia="Arial" w:hAnsi="Arial"/>
          <w:b/>
          <w:bCs/>
          <w:sz w:val="19"/>
          <w:szCs w:val="19"/>
        </w:rPr>
        <w:t xml:space="preserve">No. {{dokumen_nomor}}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Perjanjian Tingkat Layanan ini ("SLA") merupakan bagian yang tidak terpisahkan dari Perjanjian Induk dan mengatur standar layanan dukungan dan pemeliharaan yang diberikan Penyedia kepada Klien.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This Service Level Agreement ("SLA") forms an integral part of the Master Agreement and sets out the support and maintenance service standards provided by the Provider to the Client.</w:t>
            </w:r>
          </w:p>
        </w:tc>
      </w:tr>
    </w:tbl>
    <w:p>
      <w:pPr>
        <w:keepNext/>
        <w:pBdr>
          <w:bottom w:val="single" w:color="1F2A44" w:sz="6" w:space="2"/>
        </w:pBdr>
        <w:spacing w:after="100" w:before="200"/>
      </w:pPr>
      <w:r>
        <w:rPr>
          <w:rFonts w:ascii="Arial" w:cs="Arial" w:eastAsia="Arial" w:hAnsi="Arial"/>
          <w:b/>
          <w:bCs/>
          <w:color w:val="1F2A44"/>
          <w:sz w:val="20"/>
          <w:szCs w:val="20"/>
        </w:rPr>
        <w:t xml:space="preserve">1. Informasi Layanan</w:t>
      </w:r>
      <w:r>
        <w:rPr>
          <w:rFonts w:ascii="Arial" w:cs="Arial" w:eastAsia="Arial" w:hAnsi="Arial"/>
          <w:i/>
          <w:iCs/>
          <w:color w:val="6B7280"/>
          <w:sz w:val="20"/>
          <w:szCs w:val="20"/>
        </w:rPr>
        <w:t xml:space="preserve">  |  Service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8"/>
      </w:tblGrid>
      <w:tr>
        <w:tc>
          <w:tcPr>
            <w:tcW w:type="dxa" w:w="3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8"/>
                <w:szCs w:val="18"/>
              </w:rPr>
              <w:t xml:space="preserve">Penyedia / Provider</w:t>
            </w:r>
          </w:p>
        </w:tc>
        <w:tc>
          <w:tcPr>
            <w:tcW w:type="dxa" w:w="62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{{penyedia_nama}} — {{penyedia_alamat}}</w:t>
            </w:r>
          </w:p>
        </w:tc>
      </w:tr>
      <w:tr>
        <w:tc>
          <w:tcPr>
            <w:tcW w:type="dxa" w:w="3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8"/>
                <w:szCs w:val="18"/>
              </w:rPr>
              <w:t xml:space="preserve">Klien / Client</w:t>
            </w:r>
          </w:p>
        </w:tc>
        <w:tc>
          <w:tcPr>
            <w:tcW w:type="dxa" w:w="62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{{klien_nama}} — {{klien_alamat}}</w:t>
            </w:r>
          </w:p>
        </w:tc>
      </w:tr>
      <w:tr>
        <w:tc>
          <w:tcPr>
            <w:tcW w:type="dxa" w:w="3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8"/>
                <w:szCs w:val="18"/>
              </w:rPr>
              <w:t xml:space="preserve">Perjanjian Induk / Master Agreement</w:t>
            </w:r>
          </w:p>
        </w:tc>
        <w:tc>
          <w:tcPr>
            <w:tcW w:type="dxa" w:w="62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No. {{perjanjian_induk_nomor}} tanggal / dated {{perjanjian_induk_tanggal}}</w:t>
            </w:r>
          </w:p>
        </w:tc>
      </w:tr>
      <w:tr>
        <w:tc>
          <w:tcPr>
            <w:tcW w:type="dxa" w:w="3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8"/>
                <w:szCs w:val="18"/>
              </w:rPr>
              <w:t xml:space="preserve">Layanan / Service</w:t>
            </w:r>
          </w:p>
        </w:tc>
        <w:tc>
          <w:tcPr>
            <w:tcW w:type="dxa" w:w="62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{{layanan_nama}}</w:t>
            </w:r>
          </w:p>
        </w:tc>
      </w:tr>
      <w:tr>
        <w:tc>
          <w:tcPr>
            <w:tcW w:type="dxa" w:w="3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8"/>
                <w:szCs w:val="18"/>
              </w:rPr>
              <w:t xml:space="preserve">Periode / Period</w:t>
            </w:r>
          </w:p>
        </w:tc>
        <w:tc>
          <w:tcPr>
            <w:tcW w:type="dxa" w:w="62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{{tanggal_mulai}} – {{tanggal_berakhir}}</w:t>
            </w:r>
          </w:p>
        </w:tc>
      </w:tr>
      <w:tr>
        <w:tc>
          <w:tcPr>
            <w:tcW w:type="dxa" w:w="3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8"/>
                <w:szCs w:val="18"/>
              </w:rPr>
              <w:t xml:space="preserve">Model Deployment / Deployment</w:t>
            </w:r>
          </w:p>
        </w:tc>
        <w:tc>
          <w:tcPr>
            <w:tcW w:type="dxa" w:w="62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{{mode_deployment}}</w:t>
            </w:r>
          </w:p>
        </w:tc>
      </w:tr>
      <w:tr>
        <w:tc>
          <w:tcPr>
            <w:tcW w:type="dxa" w:w="3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8"/>
                <w:szCs w:val="18"/>
              </w:rPr>
              <w:t xml:space="preserve">Biaya Layanan / Service Fee</w:t>
            </w:r>
          </w:p>
        </w:tc>
        <w:tc>
          <w:tcPr>
            <w:tcW w:type="dxa" w:w="62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{{mata_uang}} {{biaya_layanan}} per {{periode_biaya}} ({{ketentuan_pajak}})</w:t>
            </w:r>
          </w:p>
        </w:tc>
      </w:tr>
    </w:tbl>
    <w:p>
      <w:pPr>
        <w:keepNext/>
        <w:pBdr>
          <w:bottom w:val="single" w:color="1F2A44" w:sz="6" w:space="2"/>
        </w:pBdr>
        <w:spacing w:after="100" w:before="200"/>
      </w:pPr>
      <w:r>
        <w:rPr>
          <w:rFonts w:ascii="Arial" w:cs="Arial" w:eastAsia="Arial" w:hAnsi="Arial"/>
          <w:b/>
          <w:bCs/>
          <w:color w:val="1F2A44"/>
          <w:sz w:val="20"/>
          <w:szCs w:val="20"/>
        </w:rPr>
        <w:t xml:space="preserve">2. Komponen yang Dicakup</w:t>
      </w:r>
      <w:r>
        <w:rPr>
          <w:rFonts w:ascii="Arial" w:cs="Arial" w:eastAsia="Arial" w:hAnsi="Arial"/>
          <w:i/>
          <w:iCs/>
          <w:color w:val="6B7280"/>
          <w:sz w:val="20"/>
          <w:szCs w:val="20"/>
        </w:rPr>
        <w:t xml:space="preserve">  |  Covered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400"/>
        <w:gridCol w:w="2400"/>
        <w:gridCol w:w="3238"/>
      </w:tblGrid>
      <w:tr>
        <w:trPr>
          <w:tblHeader/>
        </w:trPr>
        <w:tc>
          <w:tcPr>
            <w:tcW w:type="dxa" w:w="6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No</w:t>
            </w:r>
          </w:p>
        </w:tc>
        <w:tc>
          <w:tcPr>
            <w:tcW w:type="dxa" w:w="3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Komponen / Component</w:t>
            </w:r>
          </w:p>
        </w:tc>
        <w:tc>
          <w:tcPr>
            <w:tcW w:type="dxa" w:w="2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Lingkungan / Environment</w:t>
            </w:r>
          </w:p>
        </w:tc>
        <w:tc>
          <w:tcPr>
            <w:tcW w:type="dxa" w:w="3238"/>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Catatan / Notes</w:t>
            </w:r>
          </w:p>
        </w:tc>
      </w:tr>
      <w:tr>
        <w:tc>
          <w:tcPr>
            <w:tcW w:type="dxa" w:w="6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{{#komponen}}{{no}}</w:t>
            </w:r>
          </w:p>
        </w:tc>
        <w:tc>
          <w:tcPr>
            <w:tcW w:type="dxa" w:w="34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{{nama}}</w:t>
            </w:r>
          </w:p>
        </w:tc>
        <w:tc>
          <w:tcPr>
            <w:tcW w:type="dxa" w:w="24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{{lingkungan}}</w:t>
            </w:r>
          </w:p>
        </w:tc>
        <w:tc>
          <w:tcPr>
            <w:tcW w:type="dxa" w:w="32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{{catatan}}{{/komponen}}</w:t>
            </w:r>
          </w:p>
        </w:tc>
      </w:tr>
    </w:tbl>
    <w:p>
      <w:pPr>
        <w:keepNext/>
        <w:pBdr>
          <w:bottom w:val="single" w:color="1F2A44" w:sz="6" w:space="2"/>
        </w:pBdr>
        <w:spacing w:after="100" w:before="200"/>
      </w:pPr>
      <w:r>
        <w:rPr>
          <w:rFonts w:ascii="Arial" w:cs="Arial" w:eastAsia="Arial" w:hAnsi="Arial"/>
          <w:b/>
          <w:bCs/>
          <w:color w:val="1F2A44"/>
          <w:sz w:val="20"/>
          <w:szCs w:val="20"/>
        </w:rPr>
        <w:t xml:space="preserve">3. Jam dan Kanal Dukungan</w:t>
      </w:r>
      <w:r>
        <w:rPr>
          <w:rFonts w:ascii="Arial" w:cs="Arial" w:eastAsia="Arial" w:hAnsi="Arial"/>
          <w:i/>
          <w:iCs/>
          <w:color w:val="6B7280"/>
          <w:sz w:val="20"/>
          <w:szCs w:val="20"/>
        </w:rPr>
        <w:t xml:space="preserve">  |  Support Hours and Channels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8"/>
      </w:tblGrid>
      <w:tr>
        <w:tc>
          <w:tcPr>
            <w:tcW w:type="dxa" w:w="3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8"/>
                <w:szCs w:val="18"/>
              </w:rPr>
              <w:t xml:space="preserve">Jam Layanan / Support Hours</w:t>
            </w:r>
          </w:p>
        </w:tc>
        <w:tc>
          <w:tcPr>
            <w:tcW w:type="dxa" w:w="62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{{jam_layanan}}</w:t>
            </w:r>
          </w:p>
        </w:tc>
      </w:tr>
      <w:tr>
        <w:tc>
          <w:tcPr>
            <w:tcW w:type="dxa" w:w="3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8"/>
                <w:szCs w:val="18"/>
              </w:rPr>
              <w:t xml:space="preserve">Kanal / Channels</w:t>
            </w:r>
          </w:p>
        </w:tc>
        <w:tc>
          <w:tcPr>
            <w:tcW w:type="dxa" w:w="62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{{kanal_dukungan}}</w:t>
            </w:r>
          </w:p>
        </w:tc>
      </w:tr>
      <w:tr>
        <w:tc>
          <w:tcPr>
            <w:tcW w:type="dxa" w:w="3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8"/>
                <w:szCs w:val="18"/>
              </w:rPr>
              <w:t xml:space="preserve">Dukungan di Luar Jam / After-hours</w:t>
            </w:r>
          </w:p>
        </w:tc>
        <w:tc>
          <w:tcPr>
            <w:tcW w:type="dxa" w:w="62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{{dukungan_luar_jam}}</w:t>
            </w:r>
          </w:p>
        </w:tc>
      </w:tr>
      <w:tr>
        <w:tc>
          <w:tcPr>
            <w:tcW w:type="dxa" w:w="3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8"/>
                <w:szCs w:val="18"/>
              </w:rPr>
              <w:t xml:space="preserve">Bahasa / Language</w:t>
            </w:r>
          </w:p>
        </w:tc>
        <w:tc>
          <w:tcPr>
            <w:tcW w:type="dxa" w:w="62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Bahasa Indonesia, English</w:t>
            </w:r>
          </w:p>
        </w:tc>
      </w:tr>
    </w:tbl>
    <w:p>
      <w:pPr>
        <w:keepNext/>
        <w:pBdr>
          <w:bottom w:val="single" w:color="1F2A44" w:sz="6" w:space="2"/>
        </w:pBdr>
        <w:spacing w:after="100" w:before="200"/>
      </w:pPr>
      <w:r>
        <w:rPr>
          <w:rFonts w:ascii="Arial" w:cs="Arial" w:eastAsia="Arial" w:hAnsi="Arial"/>
          <w:b/>
          <w:bCs/>
          <w:color w:val="1F2A44"/>
          <w:sz w:val="20"/>
          <w:szCs w:val="20"/>
        </w:rPr>
        <w:t xml:space="preserve">4. Tingkat Keparahan dan Target Waktu</w:t>
      </w:r>
      <w:r>
        <w:rPr>
          <w:rFonts w:ascii="Arial" w:cs="Arial" w:eastAsia="Arial" w:hAnsi="Arial"/>
          <w:i/>
          <w:iCs/>
          <w:color w:val="6B7280"/>
          <w:sz w:val="20"/>
          <w:szCs w:val="20"/>
        </w:rPr>
        <w:t xml:space="preserve">  |  Severity Levels and Target Times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738"/>
        <w:gridCol w:w="1600"/>
        <w:gridCol w:w="1800"/>
        <w:gridCol w:w="1600"/>
      </w:tblGrid>
      <w:tr>
        <w:trPr>
          <w:tblHeader/>
        </w:trPr>
        <w:tc>
          <w:tcPr>
            <w:tcW w:type="dxa" w:w="9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Level</w:t>
            </w:r>
          </w:p>
        </w:tc>
        <w:tc>
          <w:tcPr>
            <w:tcW w:type="dxa" w:w="3738"/>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Definisi / Definition</w:t>
            </w:r>
          </w:p>
        </w:tc>
        <w:tc>
          <w:tcPr>
            <w:tcW w:type="dxa" w:w="16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Respons / Response</w:t>
            </w:r>
          </w:p>
        </w:tc>
        <w:tc>
          <w:tcPr>
            <w:tcW w:type="dxa" w:w="18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Pemulihan / Resolution</w:t>
            </w:r>
          </w:p>
        </w:tc>
        <w:tc>
          <w:tcPr>
            <w:tcW w:type="dxa" w:w="16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Update</w:t>
            </w:r>
          </w:p>
        </w:tc>
      </w:tr>
      <w:tr>
        <w:tc>
          <w:tcPr>
            <w:tcW w:type="dxa" w:w="9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{{#severity}}{{level}}</w:t>
            </w:r>
          </w:p>
        </w:tc>
        <w:tc>
          <w:tcPr>
            <w:tcW w:type="dxa" w:w="37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{{definisi}}</w:t>
            </w:r>
          </w:p>
        </w:tc>
        <w:tc>
          <w:tcPr>
            <w:tcW w:type="dxa" w:w="16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{{respons}}</w:t>
            </w:r>
          </w:p>
        </w:tc>
        <w:tc>
          <w:tcPr>
            <w:tcW w:type="dxa" w:w="18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{{pemulihan}}</w:t>
            </w:r>
          </w:p>
        </w:tc>
        <w:tc>
          <w:tcPr>
            <w:tcW w:type="dxa" w:w="16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{{update}}{{/severity}}</w:t>
            </w:r>
          </w:p>
        </w:tc>
      </w:tr>
    </w:tbl>
    <w:p>
      <w:pPr>
        <w:spacing w:after="80" w:before="80" w:line="264"/>
        <w:jc w:val="both"/>
      </w:pPr>
      <w:r>
        <w:rPr>
          <w:rFonts w:ascii="Arial" w:cs="Arial" w:eastAsia="Arial" w:hAnsi="Arial"/>
          <w:sz w:val="17"/>
          <w:szCs w:val="17"/>
        </w:rPr>
        <w:t xml:space="preserve">Waktu respons dihitung sejak tiket tercatat pada kanal resmi dan hanya berjalan pada jam layanan, kecuali untuk level yang ditetapkan berlaku 24x7. "Pemulihan" berarti layanan kembali berfungsi, termasuk melalui solusi sementara (workaround). | </w:t>
      </w:r>
      <w:r>
        <w:rPr>
          <w:rFonts w:ascii="Arial" w:cs="Arial" w:eastAsia="Arial" w:hAnsi="Arial"/>
          <w:i/>
          <w:iCs/>
          <w:sz w:val="17"/>
          <w:szCs w:val="17"/>
        </w:rPr>
        <w:t xml:space="preserve">Response time runs from ticket logging on an official channel and only during support hours, except for levels designated 24x7. "Resolution" means service restored, including via a workaround.</w:t>
      </w:r>
    </w:p>
    <w:p>
      <w:pPr>
        <w:keepNext/>
        <w:pBdr>
          <w:bottom w:val="single" w:color="1F2A44" w:sz="6" w:space="2"/>
        </w:pBdr>
        <w:spacing w:after="100" w:before="200"/>
      </w:pPr>
      <w:r>
        <w:rPr>
          <w:rFonts w:ascii="Arial" w:cs="Arial" w:eastAsia="Arial" w:hAnsi="Arial"/>
          <w:b/>
          <w:bCs/>
          <w:color w:val="1F2A44"/>
          <w:sz w:val="20"/>
          <w:szCs w:val="20"/>
        </w:rPr>
        <w:t xml:space="preserve">5. Target Ketersediaan</w:t>
      </w:r>
      <w:r>
        <w:rPr>
          <w:rFonts w:ascii="Arial" w:cs="Arial" w:eastAsia="Arial" w:hAnsi="Arial"/>
          <w:i/>
          <w:iCs/>
          <w:color w:val="6B7280"/>
          <w:sz w:val="20"/>
          <w:szCs w:val="20"/>
        </w:rPr>
        <w:t xml:space="preserve">  |  Availability Target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5.1	</w:t>
            </w:r>
            <w:r>
              <w:rPr>
                <w:rFonts w:ascii="Arial" w:cs="Arial" w:eastAsia="Arial" w:hAnsi="Arial"/>
                <w:sz w:val="19"/>
                <w:szCs w:val="19"/>
              </w:rPr>
              <w:t xml:space="preserve">Penyedia menargetkan ketersediaan layanan sebesar </w:t>
            </w:r>
            <w:r>
              <w:rPr>
                <w:rFonts w:ascii="Arial" w:cs="Arial" w:eastAsia="Arial" w:hAnsi="Arial"/>
                <w:b/>
                <w:bCs/>
                <w:sz w:val="19"/>
                <w:szCs w:val="19"/>
              </w:rPr>
              <w:t xml:space="preserve">{{target_uptime}}%</w:t>
            </w:r>
            <w:r>
              <w:rPr>
                <w:rFonts w:ascii="Arial" w:cs="Arial" w:eastAsia="Arial" w:hAnsi="Arial"/>
                <w:sz w:val="19"/>
                <w:szCs w:val="19"/>
              </w:rPr>
              <w:t xml:space="preserve"> per bulan kalender, dihitung dengan rumus: (Total Menit dalam Bulan − Menit Gangguan) ÷ Total Menit dalam Bulan × 100%.</w:t>
            </w:r>
          </w:p>
          <w:p>
            <w:pPr>
              <w:tabs>
                <w:tab w:val="left" w:pos="360"/>
              </w:tabs>
              <w:spacing w:after="60" w:line="264"/>
              <w:ind w:left="360" w:hanging="360"/>
              <w:jc w:val="both"/>
            </w:pPr>
            <w:r>
              <w:rPr>
                <w:rFonts w:ascii="Arial" w:cs="Arial" w:eastAsia="Arial" w:hAnsi="Arial"/>
                <w:sz w:val="19"/>
                <w:szCs w:val="19"/>
              </w:rPr>
              <w:t xml:space="preserve">5.2	</w:t>
            </w:r>
            <w:r>
              <w:rPr>
                <w:rFonts w:ascii="Arial" w:cs="Arial" w:eastAsia="Arial" w:hAnsi="Arial"/>
                <w:sz w:val="19"/>
                <w:szCs w:val="19"/>
              </w:rPr>
              <w:t xml:space="preserve">Menit gangguan tidak mencakup pemeliharaan terjadwal dan kejadian yang dikecualikan pada Bagian 7.</w:t>
            </w:r>
          </w:p>
          <w:p>
            <w:pPr>
              <w:tabs>
                <w:tab w:val="left" w:pos="360"/>
              </w:tabs>
              <w:spacing w:after="60" w:line="264"/>
              <w:ind w:left="360" w:hanging="360"/>
              <w:jc w:val="both"/>
            </w:pPr>
            <w:r>
              <w:rPr>
                <w:rFonts w:ascii="Arial" w:cs="Arial" w:eastAsia="Arial" w:hAnsi="Arial"/>
                <w:sz w:val="19"/>
                <w:szCs w:val="19"/>
              </w:rPr>
              <w:t xml:space="preserve">5.3	</w:t>
            </w:r>
            <w:r>
              <w:rPr>
                <w:rFonts w:ascii="Arial" w:cs="Arial" w:eastAsia="Arial" w:hAnsi="Arial"/>
                <w:sz w:val="19"/>
                <w:szCs w:val="19"/>
              </w:rPr>
              <w:t xml:space="preserve">Untuk deployment on-premise, target ketersediaan hanya berlaku atas komponen perangkat lunak Penyedia dan tidak mencakup infrastruktur, jaringan, dan perangkat keras yang dikelola Klien.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5.1	</w:t>
            </w:r>
            <w:r>
              <w:rPr>
                <w:rFonts w:ascii="Arial" w:cs="Arial" w:eastAsia="Arial" w:hAnsi="Arial"/>
                <w:sz w:val="19"/>
                <w:szCs w:val="19"/>
              </w:rPr>
              <w:t xml:space="preserve">The Provider targets service availability of </w:t>
            </w:r>
            <w:r>
              <w:rPr>
                <w:rFonts w:ascii="Arial" w:cs="Arial" w:eastAsia="Arial" w:hAnsi="Arial"/>
                <w:b/>
                <w:bCs/>
                <w:sz w:val="19"/>
                <w:szCs w:val="19"/>
              </w:rPr>
              <w:t xml:space="preserve">{{target_uptime}}%</w:t>
            </w:r>
            <w:r>
              <w:rPr>
                <w:rFonts w:ascii="Arial" w:cs="Arial" w:eastAsia="Arial" w:hAnsi="Arial"/>
                <w:sz w:val="19"/>
                <w:szCs w:val="19"/>
              </w:rPr>
              <w:t xml:space="preserve"> per calendar month, calculated as: (Total Minutes in Month − Downtime Minutes) ÷ Total Minutes in Month × 100%.</w:t>
            </w:r>
          </w:p>
          <w:p>
            <w:pPr>
              <w:tabs>
                <w:tab w:val="left" w:pos="360"/>
              </w:tabs>
              <w:spacing w:after="60" w:line="264"/>
              <w:ind w:left="360" w:hanging="360"/>
              <w:jc w:val="both"/>
            </w:pPr>
            <w:r>
              <w:rPr>
                <w:rFonts w:ascii="Arial" w:cs="Arial" w:eastAsia="Arial" w:hAnsi="Arial"/>
                <w:sz w:val="19"/>
                <w:szCs w:val="19"/>
              </w:rPr>
              <w:t xml:space="preserve">5.2	</w:t>
            </w:r>
            <w:r>
              <w:rPr>
                <w:rFonts w:ascii="Arial" w:cs="Arial" w:eastAsia="Arial" w:hAnsi="Arial"/>
                <w:sz w:val="19"/>
                <w:szCs w:val="19"/>
              </w:rPr>
              <w:t xml:space="preserve">Downtime excludes scheduled maintenance and events excluded under Section 7.</w:t>
            </w:r>
          </w:p>
          <w:p>
            <w:pPr>
              <w:tabs>
                <w:tab w:val="left" w:pos="360"/>
              </w:tabs>
              <w:spacing w:after="60" w:line="264"/>
              <w:ind w:left="360" w:hanging="360"/>
              <w:jc w:val="both"/>
            </w:pPr>
            <w:r>
              <w:rPr>
                <w:rFonts w:ascii="Arial" w:cs="Arial" w:eastAsia="Arial" w:hAnsi="Arial"/>
                <w:sz w:val="19"/>
                <w:szCs w:val="19"/>
              </w:rPr>
              <w:t xml:space="preserve">5.3	</w:t>
            </w:r>
            <w:r>
              <w:rPr>
                <w:rFonts w:ascii="Arial" w:cs="Arial" w:eastAsia="Arial" w:hAnsi="Arial"/>
                <w:sz w:val="19"/>
                <w:szCs w:val="19"/>
              </w:rPr>
              <w:t xml:space="preserve">For on-premise deployments, the availability target applies only to the Provider's software components and excludes infrastructure, network and hardware managed by the Client.</w:t>
            </w:r>
          </w:p>
        </w:tc>
      </w:tr>
    </w:tbl>
    <w:p>
      <w:pPr>
        <w:keepNext/>
        <w:pBdr>
          <w:bottom w:val="single" w:color="1F2A44" w:sz="6" w:space="2"/>
        </w:pBdr>
        <w:spacing w:after="100" w:before="200"/>
      </w:pPr>
      <w:r>
        <w:rPr>
          <w:rFonts w:ascii="Arial" w:cs="Arial" w:eastAsia="Arial" w:hAnsi="Arial"/>
          <w:b/>
          <w:bCs/>
          <w:color w:val="1F2A44"/>
          <w:sz w:val="20"/>
          <w:szCs w:val="20"/>
        </w:rPr>
        <w:t xml:space="preserve">6. Pemeliharaan Terjadwal</w:t>
      </w:r>
      <w:r>
        <w:rPr>
          <w:rFonts w:ascii="Arial" w:cs="Arial" w:eastAsia="Arial" w:hAnsi="Arial"/>
          <w:i/>
          <w:iCs/>
          <w:color w:val="6B7280"/>
          <w:sz w:val="20"/>
          <w:szCs w:val="20"/>
        </w:rPr>
        <w:t xml:space="preserve">  |  Scheduled Maintenance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Pemeliharaan terjadwal dilakukan pada {{jendela_pemeliharaan}} dengan pemberitahuan kepada Klien paling lambat {{hari_pemberitahuan_pemeliharaan}} hari sebelumnya. Pemeliharaan darurat untuk keamanan dapat dilakukan sewaktu-waktu dengan pemberitahuan secepatnya.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Scheduled maintenance takes place during {{jendela_pemeliharaan}} with notice to the Client at least {{hari_pemberitahuan_pemeliharaan}} days in advance. Emergency security maintenance may be performed at any time with notice as soon as possible.</w:t>
            </w:r>
          </w:p>
        </w:tc>
      </w:tr>
    </w:tbl>
    <w:p>
      <w:pPr>
        <w:keepNext/>
        <w:pBdr>
          <w:bottom w:val="single" w:color="1F2A44" w:sz="6" w:space="2"/>
        </w:pBdr>
        <w:spacing w:after="100" w:before="200"/>
      </w:pPr>
      <w:r>
        <w:rPr>
          <w:rFonts w:ascii="Arial" w:cs="Arial" w:eastAsia="Arial" w:hAnsi="Arial"/>
          <w:b/>
          <w:bCs/>
          <w:color w:val="1F2A44"/>
          <w:sz w:val="20"/>
          <w:szCs w:val="20"/>
        </w:rPr>
        <w:t xml:space="preserve">7. Pengecualian</w:t>
      </w:r>
      <w:r>
        <w:rPr>
          <w:rFonts w:ascii="Arial" w:cs="Arial" w:eastAsia="Arial" w:hAnsi="Arial"/>
          <w:i/>
          <w:iCs/>
          <w:color w:val="6B7280"/>
          <w:sz w:val="20"/>
          <w:szCs w:val="20"/>
        </w:rPr>
        <w:t xml:space="preserve">  |  Exclusions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SLA ini tidak berlaku atas gangguan yang disebabkan oleh:</w:t>
            </w:r>
          </w:p>
          <w:p>
            <w:pPr>
              <w:tabs>
                <w:tab w:val="left" w:pos="360"/>
              </w:tabs>
              <w:spacing w:after="60" w:line="264"/>
              <w:ind w:left="360" w:hanging="360"/>
              <w:jc w:val="both"/>
            </w:pPr>
            <w:r>
              <w:rPr>
                <w:rFonts w:ascii="Arial" w:cs="Arial" w:eastAsia="Arial" w:hAnsi="Arial"/>
                <w:sz w:val="19"/>
                <w:szCs w:val="19"/>
              </w:rPr>
              <w:t xml:space="preserve">a.	</w:t>
            </w:r>
            <w:r>
              <w:rPr>
                <w:rFonts w:ascii="Arial" w:cs="Arial" w:eastAsia="Arial" w:hAnsi="Arial"/>
                <w:sz w:val="19"/>
                <w:szCs w:val="19"/>
              </w:rPr>
              <w:t xml:space="preserve">Keadaan kahar;</w:t>
            </w:r>
          </w:p>
          <w:p>
            <w:pPr>
              <w:tabs>
                <w:tab w:val="left" w:pos="360"/>
              </w:tabs>
              <w:spacing w:after="60" w:line="264"/>
              <w:ind w:left="360" w:hanging="360"/>
              <w:jc w:val="both"/>
            </w:pPr>
            <w:r>
              <w:rPr>
                <w:rFonts w:ascii="Arial" w:cs="Arial" w:eastAsia="Arial" w:hAnsi="Arial"/>
                <w:sz w:val="19"/>
                <w:szCs w:val="19"/>
              </w:rPr>
              <w:t xml:space="preserve">b.	</w:t>
            </w:r>
            <w:r>
              <w:rPr>
                <w:rFonts w:ascii="Arial" w:cs="Arial" w:eastAsia="Arial" w:hAnsi="Arial"/>
                <w:sz w:val="19"/>
                <w:szCs w:val="19"/>
              </w:rPr>
              <w:t xml:space="preserve">Infrastruktur, jaringan, perangkat keras, atau sistem yang dikelola Klien atau pihak ketiga yang ditunjuk Klien;</w:t>
            </w:r>
          </w:p>
          <w:p>
            <w:pPr>
              <w:tabs>
                <w:tab w:val="left" w:pos="360"/>
              </w:tabs>
              <w:spacing w:after="60" w:line="264"/>
              <w:ind w:left="360" w:hanging="360"/>
              <w:jc w:val="both"/>
            </w:pPr>
            <w:r>
              <w:rPr>
                <w:rFonts w:ascii="Arial" w:cs="Arial" w:eastAsia="Arial" w:hAnsi="Arial"/>
                <w:sz w:val="19"/>
                <w:szCs w:val="19"/>
              </w:rPr>
              <w:t xml:space="preserve">c.	</w:t>
            </w:r>
            <w:r>
              <w:rPr>
                <w:rFonts w:ascii="Arial" w:cs="Arial" w:eastAsia="Arial" w:hAnsi="Arial"/>
                <w:sz w:val="19"/>
                <w:szCs w:val="19"/>
              </w:rPr>
              <w:t xml:space="preserve">Gangguan layanan pihak ketiga di luar kendali Penyedia, termasuk penyedia model AI, cloud, atau API eksternal;</w:t>
            </w:r>
          </w:p>
          <w:p>
            <w:pPr>
              <w:tabs>
                <w:tab w:val="left" w:pos="360"/>
              </w:tabs>
              <w:spacing w:after="60" w:line="264"/>
              <w:ind w:left="360" w:hanging="360"/>
              <w:jc w:val="both"/>
            </w:pPr>
            <w:r>
              <w:rPr>
                <w:rFonts w:ascii="Arial" w:cs="Arial" w:eastAsia="Arial" w:hAnsi="Arial"/>
                <w:sz w:val="19"/>
                <w:szCs w:val="19"/>
              </w:rPr>
              <w:t xml:space="preserve">d.	</w:t>
            </w:r>
            <w:r>
              <w:rPr>
                <w:rFonts w:ascii="Arial" w:cs="Arial" w:eastAsia="Arial" w:hAnsi="Arial"/>
                <w:sz w:val="19"/>
                <w:szCs w:val="19"/>
              </w:rPr>
              <w:t xml:space="preserve">Penggunaan yang tidak sesuai dokumentasi, atau perubahan konfigurasi yang dilakukan tanpa persetujuan Penyedia;</w:t>
            </w:r>
          </w:p>
          <w:p>
            <w:pPr>
              <w:tabs>
                <w:tab w:val="left" w:pos="360"/>
              </w:tabs>
              <w:spacing w:after="60" w:line="264"/>
              <w:ind w:left="360" w:hanging="360"/>
              <w:jc w:val="both"/>
            </w:pPr>
            <w:r>
              <w:rPr>
                <w:rFonts w:ascii="Arial" w:cs="Arial" w:eastAsia="Arial" w:hAnsi="Arial"/>
                <w:sz w:val="19"/>
                <w:szCs w:val="19"/>
              </w:rPr>
              <w:t xml:space="preserve">e.	</w:t>
            </w:r>
            <w:r>
              <w:rPr>
                <w:rFonts w:ascii="Arial" w:cs="Arial" w:eastAsia="Arial" w:hAnsi="Arial"/>
                <w:sz w:val="19"/>
                <w:szCs w:val="19"/>
              </w:rPr>
              <w:t xml:space="preserve">Penangguhan layanan karena keterlambatan pembayaran.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This SLA does not apply to disruptions caused by:</w:t>
            </w:r>
          </w:p>
          <w:p>
            <w:pPr>
              <w:tabs>
                <w:tab w:val="left" w:pos="360"/>
              </w:tabs>
              <w:spacing w:after="60" w:line="264"/>
              <w:ind w:left="360" w:hanging="360"/>
              <w:jc w:val="both"/>
            </w:pPr>
            <w:r>
              <w:rPr>
                <w:rFonts w:ascii="Arial" w:cs="Arial" w:eastAsia="Arial" w:hAnsi="Arial"/>
                <w:sz w:val="19"/>
                <w:szCs w:val="19"/>
              </w:rPr>
              <w:t xml:space="preserve">a.	</w:t>
            </w:r>
            <w:r>
              <w:rPr>
                <w:rFonts w:ascii="Arial" w:cs="Arial" w:eastAsia="Arial" w:hAnsi="Arial"/>
                <w:sz w:val="19"/>
                <w:szCs w:val="19"/>
              </w:rPr>
              <w:t xml:space="preserve">Force majeure;</w:t>
            </w:r>
          </w:p>
          <w:p>
            <w:pPr>
              <w:tabs>
                <w:tab w:val="left" w:pos="360"/>
              </w:tabs>
              <w:spacing w:after="60" w:line="264"/>
              <w:ind w:left="360" w:hanging="360"/>
              <w:jc w:val="both"/>
            </w:pPr>
            <w:r>
              <w:rPr>
                <w:rFonts w:ascii="Arial" w:cs="Arial" w:eastAsia="Arial" w:hAnsi="Arial"/>
                <w:sz w:val="19"/>
                <w:szCs w:val="19"/>
              </w:rPr>
              <w:t xml:space="preserve">b.	</w:t>
            </w:r>
            <w:r>
              <w:rPr>
                <w:rFonts w:ascii="Arial" w:cs="Arial" w:eastAsia="Arial" w:hAnsi="Arial"/>
                <w:sz w:val="19"/>
                <w:szCs w:val="19"/>
              </w:rPr>
              <w:t xml:space="preserve">Infrastructure, network, hardware or systems managed by the Client or third parties appointed by the Client;</w:t>
            </w:r>
          </w:p>
          <w:p>
            <w:pPr>
              <w:tabs>
                <w:tab w:val="left" w:pos="360"/>
              </w:tabs>
              <w:spacing w:after="60" w:line="264"/>
              <w:ind w:left="360" w:hanging="360"/>
              <w:jc w:val="both"/>
            </w:pPr>
            <w:r>
              <w:rPr>
                <w:rFonts w:ascii="Arial" w:cs="Arial" w:eastAsia="Arial" w:hAnsi="Arial"/>
                <w:sz w:val="19"/>
                <w:szCs w:val="19"/>
              </w:rPr>
              <w:t xml:space="preserve">c.	</w:t>
            </w:r>
            <w:r>
              <w:rPr>
                <w:rFonts w:ascii="Arial" w:cs="Arial" w:eastAsia="Arial" w:hAnsi="Arial"/>
                <w:sz w:val="19"/>
                <w:szCs w:val="19"/>
              </w:rPr>
              <w:t xml:space="preserve">Third-party service outages beyond the Provider's control, including AI model, cloud or external API providers;</w:t>
            </w:r>
          </w:p>
          <w:p>
            <w:pPr>
              <w:tabs>
                <w:tab w:val="left" w:pos="360"/>
              </w:tabs>
              <w:spacing w:after="60" w:line="264"/>
              <w:ind w:left="360" w:hanging="360"/>
              <w:jc w:val="both"/>
            </w:pPr>
            <w:r>
              <w:rPr>
                <w:rFonts w:ascii="Arial" w:cs="Arial" w:eastAsia="Arial" w:hAnsi="Arial"/>
                <w:sz w:val="19"/>
                <w:szCs w:val="19"/>
              </w:rPr>
              <w:t xml:space="preserve">d.	</w:t>
            </w:r>
            <w:r>
              <w:rPr>
                <w:rFonts w:ascii="Arial" w:cs="Arial" w:eastAsia="Arial" w:hAnsi="Arial"/>
                <w:sz w:val="19"/>
                <w:szCs w:val="19"/>
              </w:rPr>
              <w:t xml:space="preserve">Use not in accordance with documentation, or configuration changes made without the Provider's approval;</w:t>
            </w:r>
          </w:p>
          <w:p>
            <w:pPr>
              <w:tabs>
                <w:tab w:val="left" w:pos="360"/>
              </w:tabs>
              <w:spacing w:after="60" w:line="264"/>
              <w:ind w:left="360" w:hanging="360"/>
              <w:jc w:val="both"/>
            </w:pPr>
            <w:r>
              <w:rPr>
                <w:rFonts w:ascii="Arial" w:cs="Arial" w:eastAsia="Arial" w:hAnsi="Arial"/>
                <w:sz w:val="19"/>
                <w:szCs w:val="19"/>
              </w:rPr>
              <w:t xml:space="preserve">e.	</w:t>
            </w:r>
            <w:r>
              <w:rPr>
                <w:rFonts w:ascii="Arial" w:cs="Arial" w:eastAsia="Arial" w:hAnsi="Arial"/>
                <w:sz w:val="19"/>
                <w:szCs w:val="19"/>
              </w:rPr>
              <w:t xml:space="preserve">Service suspension due to late payment.</w:t>
            </w:r>
          </w:p>
        </w:tc>
      </w:tr>
    </w:tbl>
    <w:p>
      <w:pPr>
        <w:keepNext/>
        <w:pBdr>
          <w:bottom w:val="single" w:color="1F2A44" w:sz="6" w:space="2"/>
        </w:pBdr>
        <w:spacing w:after="100" w:before="200"/>
      </w:pPr>
      <w:r>
        <w:rPr>
          <w:rFonts w:ascii="Arial" w:cs="Arial" w:eastAsia="Arial" w:hAnsi="Arial"/>
          <w:b/>
          <w:bCs/>
          <w:color w:val="1F2A44"/>
          <w:sz w:val="20"/>
          <w:szCs w:val="20"/>
        </w:rPr>
        <w:t xml:space="preserve">8. Kompensasi Layanan</w:t>
      </w:r>
      <w:r>
        <w:rPr>
          <w:rFonts w:ascii="Arial" w:cs="Arial" w:eastAsia="Arial" w:hAnsi="Arial"/>
          <w:i/>
          <w:iCs/>
          <w:color w:val="6B7280"/>
          <w:sz w:val="20"/>
          <w:szCs w:val="20"/>
        </w:rPr>
        <w:t xml:space="preserve">  |  Service Credits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gridCol w:w="4638"/>
      </w:tblGrid>
      <w:tr>
        <w:trPr>
          <w:tblHeader/>
        </w:trPr>
        <w:tc>
          <w:tcPr>
            <w:tcW w:type="dxa" w:w="50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Ketersediaan Bulanan / Monthly Availability</w:t>
            </w:r>
          </w:p>
        </w:tc>
        <w:tc>
          <w:tcPr>
            <w:tcW w:type="dxa" w:w="4638"/>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Kredit Layanan / Service Credit (% biaya bulanan / monthly fee)</w:t>
            </w:r>
          </w:p>
        </w:tc>
      </w:tr>
      <w:tr>
        <w:tc>
          <w:tcPr>
            <w:tcW w:type="dxa" w:w="50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{{#kredit_layanan}}{{rentang}}</w:t>
            </w:r>
          </w:p>
        </w:tc>
        <w:tc>
          <w:tcPr>
            <w:tcW w:type="dxa" w:w="46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{{kredit}}{{/kredit_layanan}}</w:t>
            </w:r>
          </w:p>
        </w:tc>
      </w:tr>
    </w:tbl>
    <w:p>
      <w:pPr>
        <w:spacing w:after="80" w:before="80" w:line="264"/>
        <w:jc w:val="both"/>
      </w:pPr>
      <w:r>
        <w:rPr>
          <w:rFonts w:ascii="Arial" w:cs="Arial" w:eastAsia="Arial" w:hAnsi="Arial"/>
          <w:sz w:val="17"/>
          <w:szCs w:val="17"/>
        </w:rPr>
        <w:t xml:space="preserve">Total kredit dalam satu bulan dibatasi maksimal {{maks_kredit_persen}}% dari biaya layanan bulan tersebut dan diberikan sebagai potongan tagihan berikutnya. Klien mengajukan klaim paling lambat {{hari_klaim}} hari setelah akhir bulan. Kredit layanan merupakan satu-satunya kompensasi atas tidak tercapainya target SLA. | </w:t>
      </w:r>
      <w:r>
        <w:rPr>
          <w:rFonts w:ascii="Arial" w:cs="Arial" w:eastAsia="Arial" w:hAnsi="Arial"/>
          <w:i/>
          <w:iCs/>
          <w:sz w:val="17"/>
          <w:szCs w:val="17"/>
        </w:rPr>
        <w:t xml:space="preserve">Total credits in a month are capped at {{maks_kredit_persen}}% of that month's fee and applied against the next invoice. Claims must be submitted within {{hari_klaim}} days after month end. Service credits are the sole remedy for missed SLA targets.</w:t>
      </w:r>
    </w:p>
    <w:p>
      <w:pPr>
        <w:keepNext/>
        <w:pBdr>
          <w:bottom w:val="single" w:color="1F2A44" w:sz="6" w:space="2"/>
        </w:pBdr>
        <w:spacing w:after="100" w:before="200"/>
      </w:pPr>
      <w:r>
        <w:rPr>
          <w:rFonts w:ascii="Arial" w:cs="Arial" w:eastAsia="Arial" w:hAnsi="Arial"/>
          <w:b/>
          <w:bCs/>
          <w:color w:val="1F2A44"/>
          <w:sz w:val="20"/>
          <w:szCs w:val="20"/>
        </w:rPr>
        <w:t xml:space="preserve">9. Matriks Eskalasi</w:t>
      </w:r>
      <w:r>
        <w:rPr>
          <w:rFonts w:ascii="Arial" w:cs="Arial" w:eastAsia="Arial" w:hAnsi="Arial"/>
          <w:i/>
          <w:iCs/>
          <w:color w:val="6B7280"/>
          <w:sz w:val="20"/>
          <w:szCs w:val="20"/>
        </w:rPr>
        <w:t xml:space="preserve">  |  Escalation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600"/>
        <w:gridCol w:w="2600"/>
        <w:gridCol w:w="3538"/>
      </w:tblGrid>
      <w:tr>
        <w:trPr>
          <w:tblHeader/>
        </w:trPr>
        <w:tc>
          <w:tcPr>
            <w:tcW w:type="dxa" w:w="9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Level</w:t>
            </w:r>
          </w:p>
        </w:tc>
        <w:tc>
          <w:tcPr>
            <w:tcW w:type="dxa" w:w="26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Nama / Name</w:t>
            </w:r>
          </w:p>
        </w:tc>
        <w:tc>
          <w:tcPr>
            <w:tcW w:type="dxa" w:w="26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Jabatan / Title</w:t>
            </w:r>
          </w:p>
        </w:tc>
        <w:tc>
          <w:tcPr>
            <w:tcW w:type="dxa" w:w="3538"/>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Kontak / Contact</w:t>
            </w:r>
          </w:p>
        </w:tc>
      </w:tr>
      <w:tr>
        <w:tc>
          <w:tcPr>
            <w:tcW w:type="dxa" w:w="9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{{#eskalasi}}{{level}}</w:t>
            </w:r>
          </w:p>
        </w:tc>
        <w:tc>
          <w:tcPr>
            <w:tcW w:type="dxa" w:w="26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{{nama}}</w:t>
            </w:r>
          </w:p>
        </w:tc>
        <w:tc>
          <w:tcPr>
            <w:tcW w:type="dxa" w:w="26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{{jabatan}}</w:t>
            </w:r>
          </w:p>
        </w:tc>
        <w:tc>
          <w:tcPr>
            <w:tcW w:type="dxa" w:w="35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{{kontak}}{{/eskalasi}}</w:t>
            </w:r>
          </w:p>
        </w:tc>
      </w:tr>
    </w:tbl>
    <w:p>
      <w:pPr>
        <w:keepNext/>
        <w:pBdr>
          <w:bottom w:val="single" w:color="1F2A44" w:sz="6" w:space="2"/>
        </w:pBdr>
        <w:spacing w:after="100" w:before="200"/>
      </w:pPr>
      <w:r>
        <w:rPr>
          <w:rFonts w:ascii="Arial" w:cs="Arial" w:eastAsia="Arial" w:hAnsi="Arial"/>
          <w:b/>
          <w:bCs/>
          <w:color w:val="1F2A44"/>
          <w:sz w:val="20"/>
          <w:szCs w:val="20"/>
        </w:rPr>
        <w:t xml:space="preserve">10. Pelaporan dan Kewajiban Klien</w:t>
      </w:r>
      <w:r>
        <w:rPr>
          <w:rFonts w:ascii="Arial" w:cs="Arial" w:eastAsia="Arial" w:hAnsi="Arial"/>
          <w:i/>
          <w:iCs/>
          <w:color w:val="6B7280"/>
          <w:sz w:val="20"/>
          <w:szCs w:val="20"/>
        </w:rPr>
        <w:t xml:space="preserve">  |  Reporting and Client Responsibilities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540"/>
              </w:tabs>
              <w:spacing w:after="60" w:line="264"/>
              <w:ind w:left="540" w:hanging="540"/>
              <w:jc w:val="both"/>
            </w:pPr>
            <w:r>
              <w:rPr>
                <w:rFonts w:ascii="Arial" w:cs="Arial" w:eastAsia="Arial" w:hAnsi="Arial"/>
                <w:sz w:val="19"/>
                <w:szCs w:val="19"/>
              </w:rPr>
              <w:t xml:space="preserve">10.1	</w:t>
            </w:r>
            <w:r>
              <w:rPr>
                <w:rFonts w:ascii="Arial" w:cs="Arial" w:eastAsia="Arial" w:hAnsi="Arial"/>
                <w:sz w:val="19"/>
                <w:szCs w:val="19"/>
              </w:rPr>
              <w:t xml:space="preserve">Penyedia menyampaikan laporan layanan bulanan (ketersediaan, jumlah tiket per level, capaian SLA) paling lambat tanggal {{tanggal_laporan}} bulan berikutnya.</w:t>
            </w:r>
          </w:p>
          <w:p>
            <w:pPr>
              <w:tabs>
                <w:tab w:val="left" w:pos="540"/>
              </w:tabs>
              <w:spacing w:after="60" w:line="264"/>
              <w:ind w:left="540" w:hanging="540"/>
              <w:jc w:val="both"/>
            </w:pPr>
            <w:r>
              <w:rPr>
                <w:rFonts w:ascii="Arial" w:cs="Arial" w:eastAsia="Arial" w:hAnsi="Arial"/>
                <w:sz w:val="19"/>
                <w:szCs w:val="19"/>
              </w:rPr>
              <w:t xml:space="preserve">10.2	</w:t>
            </w:r>
            <w:r>
              <w:rPr>
                <w:rFonts w:ascii="Arial" w:cs="Arial" w:eastAsia="Arial" w:hAnsi="Arial"/>
                <w:sz w:val="19"/>
                <w:szCs w:val="19"/>
              </w:rPr>
              <w:t xml:space="preserve">Klien wajib menunjuk PIC, melaporkan gangguan melalui kanal resmi dengan informasi yang memadai, serta memberikan akses yang diperlukan untuk penanganan.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540"/>
              </w:tabs>
              <w:spacing w:after="60" w:line="264"/>
              <w:ind w:left="540" w:hanging="540"/>
              <w:jc w:val="both"/>
            </w:pPr>
            <w:r>
              <w:rPr>
                <w:rFonts w:ascii="Arial" w:cs="Arial" w:eastAsia="Arial" w:hAnsi="Arial"/>
                <w:sz w:val="19"/>
                <w:szCs w:val="19"/>
              </w:rPr>
              <w:t xml:space="preserve">10.1	</w:t>
            </w:r>
            <w:r>
              <w:rPr>
                <w:rFonts w:ascii="Arial" w:cs="Arial" w:eastAsia="Arial" w:hAnsi="Arial"/>
                <w:sz w:val="19"/>
                <w:szCs w:val="19"/>
              </w:rPr>
              <w:t xml:space="preserve">The Provider delivers a monthly service report (availability, ticket count per level, SLA attainment) no later than the {{tanggal_laporan}} day of the following month.</w:t>
            </w:r>
          </w:p>
          <w:p>
            <w:pPr>
              <w:tabs>
                <w:tab w:val="left" w:pos="540"/>
              </w:tabs>
              <w:spacing w:after="60" w:line="264"/>
              <w:ind w:left="540" w:hanging="540"/>
              <w:jc w:val="both"/>
            </w:pPr>
            <w:r>
              <w:rPr>
                <w:rFonts w:ascii="Arial" w:cs="Arial" w:eastAsia="Arial" w:hAnsi="Arial"/>
                <w:sz w:val="19"/>
                <w:szCs w:val="19"/>
              </w:rPr>
              <w:t xml:space="preserve">10.2	</w:t>
            </w:r>
            <w:r>
              <w:rPr>
                <w:rFonts w:ascii="Arial" w:cs="Arial" w:eastAsia="Arial" w:hAnsi="Arial"/>
                <w:sz w:val="19"/>
                <w:szCs w:val="19"/>
              </w:rPr>
              <w:t xml:space="preserve">The Client shall appoint a PIC, report incidents through official channels with adequate information, and provide the access required for handling.</w:t>
            </w:r>
          </w:p>
        </w:tc>
      </w:tr>
    </w:tbl>
    <w:p>
      <w:pPr>
        <w:spacing w:after="120" w:before="240" w:line="264"/>
        <w:jc w:val="left"/>
      </w:pPr>
      <w:r>
        <w:rPr>
          <w:rFonts w:ascii="Arial" w:cs="Arial" w:eastAsia="Arial" w:hAnsi="Arial"/>
          <w:sz w:val="19"/>
          <w:szCs w:val="19"/>
        </w:rPr>
        <w:t xml:space="preserve">{{dokumen_kota}}, {{dokumen_tanggal}}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before="0" w:line="264"/>
              <w:jc w:val="center"/>
            </w:pPr>
            <w:r>
              <w:rPr>
                <w:rFonts w:ascii="Arial" w:cs="Arial" w:eastAsia="Arial" w:hAnsi="Arial"/>
                <w:b/>
                <w:bCs/>
                <w:color w:val="1F2A44"/>
                <w:sz w:val="19"/>
                <w:szCs w:val="19"/>
              </w:rPr>
              <w:t xml:space="preserve">PENYEDIA</w:t>
            </w:r>
          </w:p>
          <w:p>
            <w:pPr>
              <w:spacing w:after="0" w:before="0" w:line="264"/>
              <w:jc w:val="center"/>
            </w:pPr>
            <w:r>
              <w:rPr>
                <w:rFonts w:ascii="Arial" w:cs="Arial" w:eastAsia="Arial" w:hAnsi="Arial"/>
                <w:i/>
                <w:iCs/>
                <w:color w:val="6B7280"/>
                <w:sz w:val="17"/>
                <w:szCs w:val="17"/>
              </w:rPr>
              <w:t xml:space="preserve">PROVIDER</w:t>
            </w:r>
          </w:p>
          <w:p>
            <w:pPr>
              <w:spacing w:after="0" w:before="0" w:line="264"/>
              <w:jc w:val="center"/>
            </w:pPr>
            <w:r>
              <w:rPr>
                <w:rFonts w:ascii="Arial" w:cs="Arial" w:eastAsia="Arial" w:hAnsi="Arial"/>
                <w:sz w:val="18"/>
                <w:szCs w:val="18"/>
              </w:rPr>
              <w:t xml:space="preserve">{{penyedia_nama}}</w:t>
            </w:r>
          </w:p>
          <w:p>
            <w:pPr>
              <w:spacing w:after="300" w:before="300" w:line="264"/>
              <w:jc w:val="center"/>
            </w:pPr>
            <w:r>
              <w:rPr>
                <w:rFonts w:ascii="Arial" w:cs="Arial" w:eastAsia="Arial" w:hAnsi="Arial"/>
                <w:color w:val="A0A7B4"/>
                <w:sz w:val="15"/>
                <w:szCs w:val="15"/>
              </w:rPr>
              <w:t xml:space="preserve"> </w:t>
            </w:r>
          </w:p>
          <w:p>
            <w:pPr>
              <w:spacing w:after="0" w:before="0" w:line="264"/>
              <w:jc w:val="center"/>
            </w:pPr>
            <w:r>
              <w:rPr>
                <w:rFonts w:ascii="Arial" w:cs="Arial" w:eastAsia="Arial" w:hAnsi="Arial"/>
                <w:b/>
                <w:bCs/>
                <w:sz w:val="19"/>
                <w:szCs w:val="19"/>
              </w:rPr>
              <w:t xml:space="preserve">{{penyedia_penandatangan_nama}}</w:t>
            </w:r>
          </w:p>
          <w:p>
            <w:pPr>
              <w:spacing w:after="0" w:before="0" w:line="264"/>
              <w:jc w:val="center"/>
            </w:pPr>
            <w:r>
              <w:rPr>
                <w:rFonts w:ascii="Arial" w:cs="Arial" w:eastAsia="Arial" w:hAnsi="Arial"/>
                <w:sz w:val="18"/>
                <w:szCs w:val="18"/>
              </w:rPr>
              <w:t xml:space="preserve">{{penyedia_penandatangan_jabatan}}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before="0" w:line="264"/>
              <w:jc w:val="center"/>
            </w:pPr>
            <w:r>
              <w:rPr>
                <w:rFonts w:ascii="Arial" w:cs="Arial" w:eastAsia="Arial" w:hAnsi="Arial"/>
                <w:b/>
                <w:bCs/>
                <w:color w:val="1F2A44"/>
                <w:sz w:val="19"/>
                <w:szCs w:val="19"/>
              </w:rPr>
              <w:t xml:space="preserve">KLIEN</w:t>
            </w:r>
          </w:p>
          <w:p>
            <w:pPr>
              <w:spacing w:after="0" w:before="0" w:line="264"/>
              <w:jc w:val="center"/>
            </w:pPr>
            <w:r>
              <w:rPr>
                <w:rFonts w:ascii="Arial" w:cs="Arial" w:eastAsia="Arial" w:hAnsi="Arial"/>
                <w:i/>
                <w:iCs/>
                <w:color w:val="6B7280"/>
                <w:sz w:val="17"/>
                <w:szCs w:val="17"/>
              </w:rPr>
              <w:t xml:space="preserve">CLIENT</w:t>
            </w:r>
          </w:p>
          <w:p>
            <w:pPr>
              <w:spacing w:after="0" w:before="0" w:line="264"/>
              <w:jc w:val="center"/>
            </w:pPr>
            <w:r>
              <w:rPr>
                <w:rFonts w:ascii="Arial" w:cs="Arial" w:eastAsia="Arial" w:hAnsi="Arial"/>
                <w:sz w:val="18"/>
                <w:szCs w:val="18"/>
              </w:rPr>
              <w:t xml:space="preserve">{{klien_nama}}</w:t>
            </w:r>
          </w:p>
          <w:p>
            <w:pPr>
              <w:spacing w:after="300" w:before="300" w:line="264"/>
              <w:jc w:val="center"/>
            </w:pPr>
            <w:r>
              <w:rPr>
                <w:rFonts w:ascii="Arial" w:cs="Arial" w:eastAsia="Arial" w:hAnsi="Arial"/>
                <w:color w:val="A0A7B4"/>
                <w:sz w:val="15"/>
                <w:szCs w:val="15"/>
              </w:rPr>
              <w:t xml:space="preserve"> </w:t>
            </w:r>
          </w:p>
          <w:p>
            <w:pPr>
              <w:spacing w:after="0" w:before="0" w:line="264"/>
              <w:jc w:val="center"/>
            </w:pPr>
            <w:r>
              <w:rPr>
                <w:rFonts w:ascii="Arial" w:cs="Arial" w:eastAsia="Arial" w:hAnsi="Arial"/>
                <w:b/>
                <w:bCs/>
                <w:sz w:val="19"/>
                <w:szCs w:val="19"/>
              </w:rPr>
              <w:t xml:space="preserve">{{klien_penandatangan_nama}}</w:t>
            </w:r>
          </w:p>
          <w:p>
            <w:pPr>
              <w:spacing w:after="0" w:before="0" w:line="264"/>
              <w:jc w:val="center"/>
            </w:pPr>
            <w:r>
              <w:rPr>
                <w:rFonts w:ascii="Arial" w:cs="Arial" w:eastAsia="Arial" w:hAnsi="Arial"/>
                <w:sz w:val="18"/>
                <w:szCs w:val="18"/>
              </w:rPr>
              <w:t xml:space="preserve">{{klien_penandatangan_jabatan}}</w:t>
            </w:r>
          </w:p>
        </w:tc>
      </w:tr>
    </w:tbl>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6B7280"/>
        <w:sz w:val="14"/>
        <w:szCs w:val="14"/>
      </w:rPr>
      <w:t xml:space="preserve">No. {{dokumen_nomor}}</w:t>
    </w:r>
    <w:r>
      <w:rPr>
        <w:rFonts w:ascii="Arial" w:cs="Arial" w:eastAsia="Arial" w:hAnsi="Arial"/>
        <w:color w:val="6B7280"/>
        <w:sz w:val="14"/>
        <w:szCs w:val="14"/>
      </w:rPr>
      <w:t xml:space="preserve">	Hal. /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6" w:sz="4" w:space="4"/>
      </w:pBdr>
      <w:tabs>
        <w:tab w:val="right" w:pos="9638"/>
      </w:tabs>
    </w:pPr>
    <w:r>
      <w:rPr>
        <w:rFonts w:ascii="Arial" w:cs="Arial" w:eastAsia="Arial" w:hAnsi="Arial"/>
        <w:b/>
        <w:bCs/>
        <w:color w:val="1F2A44"/>
        <w:sz w:val="16"/>
        <w:szCs w:val="16"/>
      </w:rPr>
      <w:t xml:space="preserve">{{penyedia_nama}}</w:t>
    </w:r>
    <w:r>
      <w:rPr>
        <w:rFonts w:ascii="Arial" w:cs="Arial" w:eastAsia="Arial" w:hAnsi="Arial"/>
        <w:color w:val="6B7280"/>
        <w:sz w:val="14"/>
        <w:szCs w:val="14"/>
      </w:rPr>
      <w:t xml:space="preserve">	RAHASIA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TINGKAT LAYANAN</dc:title>
  <dc:creator>KANTOR</dc:creator>
  <cp:lastModifiedBy>Un-named</cp:lastModifiedBy>
  <cp:revision>1</cp:revision>
  <dcterms:created xsi:type="dcterms:W3CDTF">2026-09-30T04:06:51.051Z</dcterms:created>
  <dcterms:modified xsi:type="dcterms:W3CDTF">2026-09-30T04:06:51.051Z</dcterms:modified>
</cp:coreProperties>
</file>

<file path=docProps/custom.xml><?xml version="1.0" encoding="utf-8"?>
<Properties xmlns="http://schemas.openxmlformats.org/officeDocument/2006/custom-properties" xmlns:vt="http://schemas.openxmlformats.org/officeDocument/2006/docPropsVTypes"/>
</file>