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75C0" w:rsidRPr="001E75C0" w:rsidRDefault="001E75C0" w:rsidP="001E75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Pr>
          <w:rFonts w:ascii="Times New Roman" w:eastAsia="Times New Roman" w:hAnsi="Times New Roman" w:cs="Times New Roman"/>
          <w:b/>
          <w:bCs/>
          <w:kern w:val="36"/>
          <w:sz w:val="48"/>
          <w:szCs w:val="48"/>
          <w:lang w:eastAsia="en-GB"/>
        </w:rPr>
        <w:t xml:space="preserve">Review 2: Project Report, SafeNav-LLM</w: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Semantic Waypoint Resolution via On-Device Language Model as a Native Nav2 BehaviorTree Plugin with Closed-Set Safety Constraint and Deployment-Log Confidence Calibration</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32"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1. Domain Understanding and Problem Definition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Mobile robots deployed in real indoor environments (hospitals, warehouses, university campuses) are overwhelmingly operated by people who did not build them. A nurse who needs a medication cart delivered does not know what a </w:t>
      </w:r>
      <w:r>
        <w:rPr>
          <w:rFonts w:ascii="Courier New" w:eastAsia="Times New Roman" w:hAnsi="Courier New" w:cs="Courier New"/>
          <w:sz w:val="20"/>
          <w:szCs w:val="20"/>
          <w:lang w:eastAsia="en-GB"/>
        </w:rPr>
        <w:t>geometry_msgs/PoseStamped</w:t>
      </w:r>
      <w:r>
        <w:rPr>
          <w:rFonts w:ascii="Times New Roman" w:eastAsia="Times New Roman" w:hAnsi="Times New Roman" w:cs="Times New Roman"/>
          <w:sz w:val="24"/>
          <w:szCs w:val="24"/>
          <w:lang w:eastAsia="en-GB"/>
        </w:rPr>
        <w:t xml:space="preserve"> message is. A warehouse supervisor directing three TurtleBots should not need to open RViz2 and click a coordinate on a map. Yet that is, in practice, what most deployed ROS 2 navigation stacks demand: precise metric goals, specified in the robot's frame, fed through a technical interface.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natural-language alternative sounds obvious. Large language models can parse "go to the charging dock near the window" and return something useful. The problem is that they can also return something plausible-sounding but geometrically wrong: a coordinate the robot has never visited, a room that doesn't exist in this building, or an x-y pair outside the navigable map entirely. For a robot weighing 20 kg moving at 0.5 m/s, a hallucinated goal is not an inconvenience; it is a collision risk.</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This project addresses that gap specifically. The problem is not "can an LLM understand navigation commands"; it can. The problem is: </w:t>
      </w:r>
      <w:r>
        <w:rPr>
          <w:rFonts w:ascii="Times New Roman" w:eastAsia="Times New Roman" w:hAnsi="Times New Roman" w:cs="Times New Roman"/>
          <w:i/>
          <w:iCs/>
          <w:sz w:val="24"/>
          <w:szCs w:val="24"/>
          <w:lang w:eastAsia="en-GB"/>
        </w:rPr>
        <w:t>how do you deploy an LLM as a navigation goal resolver in a way that is structurally incapable of sending a robot somewhere unsafe?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Three constraints define the scope: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Structural safety:</w:t>
      </w:r>
      <w:r>
        <w:rPr>
          <w:rFonts w:ascii="Times New Roman" w:eastAsia="Times New Roman" w:hAnsi="Times New Roman" w:cs="Times New Roman"/>
          <w:sz w:val="24"/>
          <w:szCs w:val="24"/>
          <w:lang w:eastAsia="en-GB"/>
        </w:rPr>
        <w:t xml:space="preserve"> the language model must be architecturally prevented from generating any coordinate or location name that does not exist in the robot's pre-validated map. Not discouraged; prevented. This is a hard constraint, not a soft one.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Deployment independence:</w:t>
      </w:r>
      <w:r>
        <w:rPr>
          <w:rFonts w:ascii="Times New Roman" w:eastAsia="Times New Roman" w:hAnsi="Times New Roman" w:cs="Times New Roman"/>
          <w:sz w:val="24"/>
          <w:szCs w:val="24"/>
          <w:lang w:eastAsia="en-GB"/>
        </w:rPr>
        <w:t xml:space="preserve"> the system must work without internet access. Many real-world robot deployment sites, from factory floors to hospital wards to secure research facilities, have no outbound internet connection. A system that phones home to OpenAI's API at every user command is not a real solution.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Native ROS 2 integration:</w:t>
      </w:r>
      <w:r>
        <w:rPr>
          <w:rFonts w:ascii="Times New Roman" w:eastAsia="Times New Roman" w:hAnsi="Times New Roman" w:cs="Times New Roman"/>
          <w:sz w:val="24"/>
          <w:szCs w:val="24"/>
          <w:lang w:eastAsia="en-GB"/>
        </w:rPr>
        <w:t xml:space="preserve"> the language model resolution must be a first-class citizen of the Nav2 stack, not bolted on the outside. It must respect Nav2's lifecycle management, timeout mechanisms, and BehaviorTree execution model, so that any lab already running Nav2 can drop this in with a config change.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The domain is indoor autonomous navigation for non-expert operators. The significance is straightforward: the gap between "LLM can parse language" and "LLM is safe to trust with a moving robot" is where this project sits, and no existing open-source ROS package closes it.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Key assumptions:</w:t>
      </w:r>
      <w:r>
        <w:rPr>
          <w:rFonts w:ascii="Times New Roman" w:eastAsia="Times New Roman" w:hAnsi="Times New Roman" w:cs="Times New Roman"/>
          <w:sz w:val="24"/>
          <w:szCs w:val="24"/>
          <w:lang w:eastAsia="en-GB"/>
        </w:rPr>
        <w:t xml:space="preserve"> the environment is semi-structured and known (the robot has a pre-built map); room locations change rarely enough that a human annotation session at setup is acceptable; the robot's compute (Jetson Orin NX) is sufficient for a quantized 3.8B-parameter model at interactive latency. </w:t>
      </w:r>
      <w:r>
        <w:rPr>
          <w:rFonts w:ascii="Times New Roman" w:eastAsia="Times New Roman" w:hAnsi="Times New Roman" w:cs="Times New Roman"/>
          <w:b/>
          <w:bCs/>
          <w:sz w:val="24"/>
          <w:szCs w:val="24"/>
          <w:lang w:eastAsia="en-GB"/>
        </w:rPr>
        <w:t>Key constraints:</w:t>
      </w:r>
      <w:r>
        <w:rPr>
          <w:rFonts w:ascii="Times New Roman" w:eastAsia="Times New Roman" w:hAnsi="Times New Roman" w:cs="Times New Roman"/>
          <w:sz w:val="24"/>
          <w:szCs w:val="24"/>
          <w:lang w:eastAsia="en-GB"/>
        </w:rPr>
        <w:t xml:space="preserve"> on-device inference must complete within the BehaviorTree tick timeout (configurable, default 5 seconds); the annotation graph must be maintainable by a non-expert; the confidence gate must have a measurable false-rejection rate below 15% on the test set.</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31"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2. Literature and Patent Review: Existing Approaches and Their Limitations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prior art here is dense and recent, which is both a problem and an opportunity. Dense because several groups have already built LLM-navigation systems. An opportunity because their collective gaps define the contribution clearly.</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The foundational papers.</w:t>
      </w:r>
      <w:r>
        <w:rPr>
          <w:rFonts w:ascii="Times New Roman" w:eastAsia="Times New Roman" w:hAnsi="Times New Roman" w:cs="Times New Roman"/>
          <w:sz w:val="24"/>
          <w:szCs w:val="24"/>
          <w:lang w:eastAsia="en-GB"/>
        </w:rPr>
        <w:t xml:space="preserve"> LM-Nav (Shah et al., CoRL 2022, arXiv:2207.04429) was the first system to chain a large language model, a vision-language model, and a learned navigation policy for outdoor navigation. GPT-3 extracted a list of visual landmarks from a command; CLIP-ViT matched those landmarks to nodes in a topologically-connected graph built from prior traversal. The robot then navigated the graph using a learned visual navigation model. LM-Nav's key insight (restrict the LLM to selecting from landmarks already present in the graph) is structurally similar to this project's closed-set constraint. The critical difference: LM-Nav runs GPT-3 through the OpenAI API, requires a topological graph built by prior robot traversal (not human annotation), and produces no confidence calibration. It also targets outdoor navigation with GPS-scale uncertainty, not indoor precision.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SayCan (Ahn et al., Google, arXiv:2204.01691) established what has become the dominant paradigm: combine an LLM's task-completion probability with an affordance value function (what actions are physically feasible right now) to select from a fixed skill repertoire. The repertoire in SayCan includes 551 primitives across seven families, including "navigate to [hard-coded location]." SayCan's skill set is closed and enumerated, conceptually close to the annotation graph. But SayCan was designed for manipulation and task planning, not navigation as the primary act; it runs PaLM on Google's infrastructure; and its fixed skill set is defined by the robot's trained policies, not a human annotation file. The closest thing to a patent on this architecture is Google's </w:t>
      </w:r>
      <w:r>
        <w:rPr>
          <w:rFonts w:ascii="Times New Roman" w:eastAsia="Times New Roman" w:hAnsi="Times New Roman" w:cs="Times New Roman"/>
          <w:b/>
          <w:bCs/>
          <w:sz w:val="24"/>
          <w:szCs w:val="24"/>
          <w:lang w:eastAsia="en-GB"/>
        </w:rPr>
        <w:t>US20230311335A1 / WO2023192497A1</w:t>
      </w:r>
      <w:r>
        <w:rPr>
          <w:rFonts w:ascii="Times New Roman" w:eastAsia="Times New Roman" w:hAnsi="Times New Roman" w:cs="Times New Roman"/>
          <w:sz w:val="24"/>
          <w:szCs w:val="24"/>
          <w:lang w:eastAsia="en-GB"/>
        </w:rPr>
        <w:t xml:space="preserve"> (inventors: Hausman, Ichter, Levine, Toshev, Xia, Parada), which claims selecting a robotic skill via a task-grounding measure (LLM probability) combined with a world-grounding (affordance) measure. This is the strongest adjacent patent and the primary freedom-to-operate concern.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NLMap (Chen, Xia, Ichter et al., Google, arXiv:2209.09874) is instructive for a different reason: it was built specifically to overcome SayCan's fixed skill repertoire. NLMap builds an open-vocabulary queryable scene representation so the robot "doesn't need a fixed list of </w:t>
        <w:lastRenderedPageBreak/>
        <w:t xml:space="preserve">objects nor executable options." The authors treat the closed set as a </w:t>
      </w:r>
      <w:r>
        <w:rPr>
          <w:rFonts w:ascii="Times New Roman" w:eastAsia="Times New Roman" w:hAnsi="Times New Roman" w:cs="Times New Roman"/>
          <w:i/>
          <w:iCs/>
          <w:sz w:val="24"/>
          <w:szCs w:val="24"/>
          <w:lang w:eastAsia="en-GB"/>
        </w:rPr>
        <w:t>defect</w:t>
      </w:r>
      <w:r>
        <w:rPr>
          <w:rFonts w:ascii="Times New Roman" w:eastAsia="Times New Roman" w:hAnsi="Times New Roman" w:cs="Times New Roman"/>
          <w:sz w:val="24"/>
          <w:szCs w:val="24"/>
          <w:lang w:eastAsia="en-GB"/>
        </w:rPr>
        <w:t xml:space="preserve"> they're solving. This project deliberately re-imposes the closed set as a </w:t>
      </w:r>
      <w:r>
        <w:rPr>
          <w:rFonts w:ascii="Times New Roman" w:eastAsia="Times New Roman" w:hAnsi="Times New Roman" w:cs="Times New Roman"/>
          <w:i/>
          <w:iCs/>
          <w:sz w:val="24"/>
          <w:szCs w:val="24"/>
          <w:lang w:eastAsia="en-GB"/>
        </w:rPr>
        <w:t>safety mechanism</w:t>
      </w:r>
      <w:r>
        <w:rPr>
          <w:rFonts w:ascii="Times New Roman" w:eastAsia="Times New Roman" w:hAnsi="Times New Roman" w:cs="Times New Roman"/>
          <w:sz w:val="24"/>
          <w:szCs w:val="24"/>
          <w:lang w:eastAsia="en-GB"/>
        </w:rPr>
        <w:t xml:space="preserve">, a meaningful conceptual inversion that strengthens the inventive step argument precisely because a prominent prior-art paper argues the other direction.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Recent ROS 2 / Nav2 integration work.</w:t>
      </w:r>
      <w:r>
        <w:rPr>
          <w:rFonts w:ascii="Times New Roman" w:eastAsia="Times New Roman" w:hAnsi="Times New Roman" w:cs="Times New Roman"/>
          <w:sz w:val="24"/>
          <w:szCs w:val="24"/>
          <w:lang w:eastAsia="en-GB"/>
        </w:rPr>
        <w:t xml:space="preserve"> Das, Hussain and Nawaz (Sensors 2026, DOI: 10.3390/s26020608) benchmarked eight LLMs (GPT-3.5, GPT-4, GPT-5, Claude 3.7, Gemini 2.5, Mistral-7B, DeepSeek-R1, and LLaMA-3.3-70B) integrated with ROS 2 Nav2 on a simulated TurtleBot4 in Gazebo Fortress. They measured end-to-end latency, instruction-parsing accuracy, path quality, and task success rate across three local planners. This is, practically speaking, the same headline idea as this project. The gaps: all eight models run via external APIs (no on-device inference); the LLM generates free-form navigation intent that is subsequently interpreted (no closed-set constraint); there is no confidence calibration; and integration is a wrapper around Nav2, not a native BT plugin.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Pascual Espada et al. (SAGE Journals, 2025) integrated LLMs with ROS2, SLAM and Nav2 for natural-language navigation including exploration. They explicitly note the limitation: "current approaches are not equipped to effectively translate contextual references (e.g. next to the corner, between doors) into concrete robot commands," identifying the same gap this project targets from a different angle.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Behavior-tree and LLM coupling.</w:t>
      </w:r>
      <w:r>
        <w:rPr>
          <w:rFonts w:ascii="Times New Roman" w:eastAsia="Times New Roman" w:hAnsi="Times New Roman" w:cs="Times New Roman"/>
          <w:sz w:val="24"/>
          <w:szCs w:val="24"/>
          <w:lang w:eastAsia="en-GB"/>
        </w:rPr>
        <w:t xml:space="preserve"> BTGenBot (Izzo, Bardaro and Matteucci, IROS 2024, arXiv:2403.12761) is the closest existing system to claim 3 of this project. It fine-tunes Llama2-7b and CodeLlama-7b via LoRA to generate BehaviorTree XML from natural language, running on a Jetson AGX Orin. A "MoveTo" leaf node maps a location name to coordinates via a YAML file and sends the goal to Nav2. The LLM generates the tree structure; the YAML handles name-to-coordinate lookup. This is architecturally adjacent to the annotation graph concept. The key difference: the LLM in BTGenBot is an </w:t>
      </w:r>
      <w:r>
        <w:rPr>
          <w:rFonts w:ascii="Times New Roman" w:eastAsia="Times New Roman" w:hAnsi="Times New Roman" w:cs="Times New Roman"/>
          <w:i/>
          <w:iCs/>
          <w:sz w:val="24"/>
          <w:szCs w:val="24"/>
          <w:lang w:eastAsia="en-GB"/>
        </w:rPr>
        <w:t>XML generator</w:t>
      </w:r>
      <w:r>
        <w:rPr>
          <w:rFonts w:ascii="Times New Roman" w:eastAsia="Times New Roman" w:hAnsi="Times New Roman" w:cs="Times New Roman"/>
          <w:sz w:val="24"/>
          <w:szCs w:val="24"/>
          <w:lang w:eastAsia="en-GB"/>
        </w:rPr>
        <w:t xml:space="preserve"> external to the tree, not an inference engine embedded inside a BT action node loaded via pluginlib. The distinction matters both architecturally (BTGenBot cannot participate in BT tick timing, timeout management, or blackboard communication) and from a patent standpoint.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Confidence and calibration.</w:t>
      </w:r>
      <w:r>
        <w:rPr>
          <w:rFonts w:ascii="Times New Roman" w:eastAsia="Times New Roman" w:hAnsi="Times New Roman" w:cs="Times New Roman"/>
          <w:sz w:val="24"/>
          <w:szCs w:val="24"/>
          <w:lang w:eastAsia="en-GB"/>
        </w:rPr>
        <w:t xml:space="preserve"> KnowNo (Ren et al., Princeton/Google DeepMind, CoRL 2023, arXiv:2307.01928) is the most direct prior art for the confidence gate. KnowNo applies conformal prediction over a set of LLM-proposed options: if the prediction set is not a singleton at the desired coverage level, the robot asks a human for help rather than acting on an uncertain choice. It addresses LLMs' tendency toward "confidently hallucinated predictions" explicitly. The distinguishing feature of this project relative to KnowNo is that KnowNo's calibration is out-of-the-box conformal prediction "without model-finetuning," while this project trains a dedicated calibration model on the robot's </w:t>
      </w:r>
      <w:r>
        <w:rPr>
          <w:rFonts w:ascii="Times New Roman" w:eastAsia="Times New Roman" w:hAnsi="Times New Roman" w:cs="Times New Roman"/>
          <w:i/>
          <w:iCs/>
          <w:sz w:val="24"/>
          <w:szCs w:val="24"/>
          <w:lang w:eastAsia="en-GB"/>
        </w:rPr>
        <w:t>own deployment logs</w:t>
      </w:r>
      <w:r>
        <w:rPr>
          <w:rFonts w:ascii="Times New Roman" w:eastAsia="Times New Roman" w:hAnsi="Times New Roman" w:cs="Times New Roman"/>
          <w:sz w:val="24"/>
          <w:szCs w:val="24"/>
          <w:lang w:eastAsia="en-GB"/>
        </w:rPr>
        <w:t xml:space="preserve">, closing the domain gap between a general calibration procedure and the specific linguistic patterns, room names, and user phrasing patterns of one deployment environment.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On-device LLM inference.</w:t>
      </w:r>
      <w:r>
        <w:rPr>
          <w:rFonts w:ascii="Times New Roman" w:eastAsia="Times New Roman" w:hAnsi="Times New Roman" w:cs="Times New Roman"/>
          <w:sz w:val="24"/>
          <w:szCs w:val="24"/>
          <w:lang w:eastAsia="en-GB"/>
        </w:rPr>
        <w:t xml:space="preserve"> The Plug-and-Play LLM Knowledge Extraction framework (MDPI Machine Learning &amp; Knowledge Extraction 2026, DOI: 10.3390/make8020049) runs DistilGPT-2 fully on-device on a Jetson AGX Orin with no cloud call, gated by deadline and kinematic validation. LocalNav (arXiv:2606.27871) distills a frontier VLM into a 4B on-device model on Jetson Orin for object-goal navigation. Both establish that on-device LLM </w:t>
        <w:lastRenderedPageBreak/>
        <w:t>inference for robotics is feasible and not novel on its own; it must be combined with the other contributions.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osmAG-LLM</w:t>
      </w:r>
      <w:r>
        <w:rPr>
          <w:rFonts w:ascii="Times New Roman" w:eastAsia="Times New Roman" w:hAnsi="Times New Roman" w:cs="Times New Roman"/>
          <w:sz w:val="24"/>
          <w:szCs w:val="24"/>
          <w:lang w:eastAsia="en-GB"/>
        </w:rPr>
        <w:t xml:space="preserve"> (Xie, Schwertfeger et al., arXiv:2507.12753, submitted July 2025) is the most recent and concerning prior art for the closed-set constraint. It supplies an LLM with "a simplified semantic-osmAG containing only semantic nodes and hierarchical relationships (excluding coordinates and polygons)" and constrains JSON output to named nodes, structurally very similar to the annotation graph. Published approximately 13 months before this write-up; if the annotation-graph idea was conceived after July 2025 without a prior filing, it becomes prior art. The distinguishing feature: osmAG-LLM does not frame the constraint as a </w:t>
      </w:r>
      <w:r>
        <w:rPr>
          <w:rFonts w:ascii="Times New Roman" w:eastAsia="Times New Roman" w:hAnsi="Times New Roman" w:cs="Times New Roman"/>
          <w:i/>
          <w:iCs/>
          <w:sz w:val="24"/>
          <w:szCs w:val="24"/>
          <w:lang w:eastAsia="en-GB"/>
        </w:rPr>
        <w:t>safety boundary against hallucination</w:t>
      </w:r>
      <w:r>
        <w:rPr>
          <w:rFonts w:ascii="Times New Roman" w:eastAsia="Times New Roman" w:hAnsi="Times New Roman" w:cs="Times New Roman"/>
          <w:sz w:val="24"/>
          <w:szCs w:val="24"/>
          <w:lang w:eastAsia="en-GB"/>
        </w:rPr>
        <w:t xml:space="preserve"> (their motivation is scalability of the representation, not safety), does not integrate via Nav2 BT pluginlib, and has no calibration gate.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Summary of gaps.</w:t>
      </w:r>
      <w:r>
        <w:rPr>
          <w:rFonts w:ascii="Times New Roman" w:eastAsia="Times New Roman" w:hAnsi="Times New Roman" w:cs="Times New Roman"/>
          <w:sz w:val="24"/>
          <w:szCs w:val="24"/>
          <w:lang w:eastAsia="en-GB"/>
        </w:rPr>
        <w:t xml:space="preserve"> No existing system combines all of: (a) LLM running fully on-device, (b) output constrained to a closed named-node set framed explicitly as a safety boundary against coordinate hallucination, (c) LLM inference executing inside a Nav2 BT pluginlib action node (in-tree, not external), and (d) a calibration model trained on the robot's own deployment logs. The prior-art search across 25 papers and 8 patents found no single reference, and no obvious two-reference combination, that anticipates all four together.</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30"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3. Objectives, Scope and Expected Outcomes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Primary objective:</w:t>
      </w:r>
      <w:r>
        <w:rPr>
          <w:rFonts w:ascii="Times New Roman" w:eastAsia="Times New Roman" w:hAnsi="Times New Roman" w:cs="Times New Roman"/>
          <w:sz w:val="24"/>
          <w:szCs w:val="24"/>
          <w:lang w:eastAsia="en-GB"/>
        </w:rPr>
        <w:t xml:space="preserve"> build and validate a ROS 2 Nav2 package (</w:t>
      </w:r>
      <w:r>
        <w:rPr>
          <w:rFonts w:ascii="Courier New" w:eastAsia="Times New Roman" w:hAnsi="Courier New" w:cs="Courier New"/>
          <w:sz w:val="20"/>
          <w:szCs w:val="20"/>
          <w:lang w:eastAsia="en-GB"/>
        </w:rPr>
        <w:t>semantic_waypoint_planner</w:t>
      </w:r>
      <w:r>
        <w:rPr>
          <w:rFonts w:ascii="Times New Roman" w:eastAsia="Times New Roman" w:hAnsi="Times New Roman" w:cs="Times New Roman"/>
          <w:sz w:val="24"/>
          <w:szCs w:val="24"/>
          <w:lang w:eastAsia="en-GB"/>
        </w:rPr>
        <w:t xml:space="preserve">) that resolves free-form natural-language navigation commands to metric goals entirely on the robot's onboard compute, using a closed annotation graph as a structural safety boundary, integrated as a native BehaviorTree plugin, with confidence gating trained on real deployment data.</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Secondary objectives:</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Characterize the latency distribution of on-device Phi-3 mini (Q4_K_M, llama.cpp) inference on a Jetson Orin NX across 10 room configurations.</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Measure goal-resolution accuracy on a synthetic benchmark of 500 command–room pairs covering ambiguous, multi-referent, negated, and abbreviated phrasings.</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Train and evaluate a Platt-scaled confidence calibration model on 200+ real robot trial logs; compare its calibration curve against raw LLM self-reported confidence.</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Demonstrate false-negative rate (correct resolutions rejected by the confidence gate) below 15% and false-positive rate (hallucinated/wrong resolutions passing the gate) below 5%.</w:t>
      </w:r>
    </w:p>
    <w:p w:rsidR="001E75C0" w:rsidRPr="001E75C0" w:rsidRDefault="001E75C0" w:rsidP="001E75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Produce a provisional patent application at the Indian Patent Office.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Scope:</w:t>
      </w:r>
      <w:r>
        <w:rPr>
          <w:rFonts w:ascii="Times New Roman" w:eastAsia="Times New Roman" w:hAnsi="Times New Roman" w:cs="Times New Roman"/>
          <w:sz w:val="24"/>
          <w:szCs w:val="24"/>
          <w:lang w:eastAsia="en-GB"/>
        </w:rPr>
        <w:t xml:space="preserve"> the system targets single-floor indoor environments with 5–30 named locations. Multi-floor and multi-robot extensions are out of scope for this project but identified as future work. The annotation graph is human-curated at setup, not auto-generated from SLAM. The language model is Phi-3 mini (3.8B parameters, Microsoft) in Q4_K_M GGUF quantization; </w:t>
        <w:lastRenderedPageBreak/>
        <w:t>the framework is llama.cpp for inference and ROS 2 Humble (Ubuntu 22.04) on a TurtleBot4 Standard with Jetson Orin NX 8GB.</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Expected outcomes:</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A working ROS 2 package installable via </w:t>
      </w:r>
      <w:r>
        <w:rPr>
          <w:rFonts w:ascii="Courier New" w:eastAsia="Times New Roman" w:hAnsi="Courier New" w:cs="Courier New"/>
          <w:sz w:val="20"/>
          <w:szCs w:val="20"/>
          <w:lang w:eastAsia="en-GB"/>
        </w:rPr>
        <w:t xml:space="preserve">colcon build</w:t>
      </w:r>
      <w:r>
        <w:rPr>
          <w:rFonts w:ascii="Times New Roman" w:eastAsia="Times New Roman" w:hAnsi="Times New Roman" w:cs="Times New Roman"/>
          <w:sz w:val="24"/>
          <w:szCs w:val="24"/>
          <w:lang w:eastAsia="en-GB"/>
        </w:rPr>
        <w:t>, deployable on any Nav2 stack with a single parameter-file change.</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Goal-resolution accuracy above 85% top-1 and above 97% top-3 on the 500-pair synthetic benchmark.</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End-to-end resolution latency (command received → NavigateToPose goal issued) under 3 seconds at 90th percentile on Jetson Orin NX.</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 calibration curve with Expected Calibration Error (ECE) below 0.08 for the trained calibrator versus ECE typically above 0.25 for raw LLM confidence on this task.</w:t>
      </w:r>
    </w:p>
    <w:p w:rsidR="001E75C0" w:rsidRPr="001E75C0" w:rsidRDefault="001E75C0" w:rsidP="001E75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One conference paper submission (RA-L or ICRA) and one Indian provisional patent application.</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29"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4. Proposed Methodology</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methodology has four sequential phases, each with a defined deliverable that gates the next.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Phase 1: Baseline simulation and prompt engineering (Weeks 1–6).</w:t>
      </w:r>
      <w:r>
        <w:rPr>
          <w:rFonts w:ascii="Times New Roman" w:eastAsia="Times New Roman" w:hAnsi="Times New Roman" w:cs="Times New Roman"/>
          <w:sz w:val="24"/>
          <w:szCs w:val="24"/>
          <w:lang w:eastAsia="en-GB"/>
        </w:rPr>
        <w:t xml:space="preserve"> The entire system is first built in simulation before a single line of hardware code is written. The simulation stack is ROS 2 Humble + Gazebo Harmonic + a TurtleBot4 URDF in a custom 10-room indoor world. The annotation graph is manually created for this simulated environment using the </w:t>
      </w:r>
      <w:r>
        <w:rPr>
          <w:rFonts w:ascii="Courier New" w:eastAsia="Times New Roman" w:hAnsi="Courier New" w:cs="Courier New"/>
          <w:sz w:val="20"/>
          <w:szCs w:val="20"/>
          <w:lang w:eastAsia="en-GB"/>
        </w:rPr>
        <w:t>annotate_map.py</w:t>
      </w:r>
      <w:r>
        <w:rPr>
          <w:rFonts w:ascii="Times New Roman" w:eastAsia="Times New Roman" w:hAnsi="Times New Roman" w:cs="Times New Roman"/>
          <w:sz w:val="24"/>
          <w:szCs w:val="24"/>
          <w:lang w:eastAsia="en-GB"/>
        </w:rPr>
        <w:t xml:space="preserve"> CLI tool, which listens on </w:t>
      </w:r>
      <w:r>
        <w:rPr>
          <w:rFonts w:ascii="Courier New" w:eastAsia="Times New Roman" w:hAnsi="Courier New" w:cs="Courier New"/>
          <w:sz w:val="20"/>
          <w:szCs w:val="20"/>
          <w:lang w:eastAsia="en-GB"/>
        </w:rPr>
        <w:t>/initialpose</w:t>
      </w:r>
      <w:r>
        <w:rPr>
          <w:rFonts w:ascii="Times New Roman" w:eastAsia="Times New Roman" w:hAnsi="Times New Roman" w:cs="Times New Roman"/>
          <w:sz w:val="24"/>
          <w:szCs w:val="24"/>
          <w:lang w:eastAsia="en-GB"/>
        </w:rPr>
        <w:t xml:space="preserve"> and </w:t>
      </w:r>
      <w:r>
        <w:rPr>
          <w:rFonts w:ascii="Courier New" w:eastAsia="Times New Roman" w:hAnsi="Courier New" w:cs="Courier New"/>
          <w:sz w:val="20"/>
          <w:szCs w:val="20"/>
          <w:lang w:eastAsia="en-GB"/>
        </w:rPr>
        <w:t>/clicked_point</w:t>
      </w:r>
      <w:r>
        <w:rPr>
          <w:rFonts w:ascii="Times New Roman" w:eastAsia="Times New Roman" w:hAnsi="Times New Roman" w:cs="Times New Roman"/>
          <w:sz w:val="24"/>
          <w:szCs w:val="24"/>
          <w:lang w:eastAsia="en-GB"/>
        </w:rPr>
        <w:t xml:space="preserve"> RViz2 topics to record poses.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LLM resolution pipeline (llama.cpp server, </w:t>
      </w:r>
      <w:r>
        <w:rPr>
          <w:rFonts w:ascii="Courier New" w:eastAsia="Times New Roman" w:hAnsi="Courier New" w:cs="Courier New"/>
          <w:sz w:val="20"/>
          <w:szCs w:val="20"/>
          <w:lang w:eastAsia="en-GB"/>
        </w:rPr>
        <w:t>llm_resolver_node</w:t>
      </w:r>
      <w:r>
        <w:rPr>
          <w:rFonts w:ascii="Times New Roman" w:eastAsia="Times New Roman" w:hAnsi="Times New Roman" w:cs="Times New Roman"/>
          <w:sz w:val="24"/>
          <w:szCs w:val="24"/>
          <w:lang w:eastAsia="en-GB"/>
        </w:rPr>
        <w:t xml:space="preserve">, </w:t>
      </w:r>
      <w:r>
        <w:rPr>
          <w:rFonts w:ascii="Courier New" w:eastAsia="Times New Roman" w:hAnsi="Courier New" w:cs="Courier New"/>
          <w:sz w:val="20"/>
          <w:szCs w:val="20"/>
          <w:lang w:eastAsia="en-GB"/>
        </w:rPr>
        <w:t>ResolveWaypoint.srv</w:t>
      </w:r>
      <w:r>
        <w:rPr>
          <w:rFonts w:ascii="Times New Roman" w:eastAsia="Times New Roman" w:hAnsi="Times New Roman" w:cs="Times New Roman"/>
          <w:sz w:val="24"/>
          <w:szCs w:val="24"/>
          <w:lang w:eastAsia="en-GB"/>
        </w:rPr>
        <w:t xml:space="preserve">) is built and tested entirely in simulation. The primary output of Phase 1 is a characterization of prompt sensitivity: how does resolution accuracy vary as a function of few-shot example count (0, 5, 10, 20), temperature (0.0, 0.1, 0.3), and output-format constraint (free JSON vs. JSON-schema-constrained decoding via llama.cpp grammar files)?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synthetic benchmark dataset of 500 command–room pairs is generated in this phase using GPT-4 to vary phrasing across eight categories: direct naming ("go to the kitchen"), alias use ("head to the pantry"), spatial reference ("the room near the main entrance"), functional description ("somewhere I can charge the robot"), negation ("not the storage room, the other one"), abbreviation ("server rack area"), multi-hop ("the room left of the meeting room"), and adversarial ("go to the cafeteria" when no cafeteria exists in the graph — expected: rejection).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Phase 2: BehaviorTree plugin and Nav2 integration (Weeks 7–10).</w:t>
      </w:r>
      <w:r>
        <w:rPr>
          <w:rFonts w:ascii="Times New Roman" w:eastAsia="Times New Roman" w:hAnsi="Times New Roman" w:cs="Times New Roman"/>
          <w:sz w:val="24"/>
          <w:szCs w:val="24"/>
          <w:lang w:eastAsia="en-GB"/>
        </w:rPr>
        <w:t xml:space="preserve"> The </w:t>
      </w:r>
      <w:r>
        <w:rPr>
          <w:rFonts w:ascii="Courier New" w:eastAsia="Times New Roman" w:hAnsi="Courier New" w:cs="Courier New"/>
          <w:sz w:val="20"/>
          <w:szCs w:val="20"/>
          <w:lang w:eastAsia="en-GB"/>
        </w:rPr>
        <w:t>bt_semantic_plugin</w:t>
      </w:r>
      <w:r>
        <w:rPr>
          <w:rFonts w:ascii="Times New Roman" w:eastAsia="Times New Roman" w:hAnsi="Times New Roman" w:cs="Times New Roman"/>
          <w:sz w:val="24"/>
          <w:szCs w:val="24"/>
          <w:lang w:eastAsia="en-GB"/>
        </w:rPr>
        <w:t xml:space="preserve"> is written as a </w:t>
      </w:r>
      <w:r>
        <w:rPr>
          <w:rFonts w:ascii="Courier New" w:eastAsia="Times New Roman" w:hAnsi="Courier New" w:cs="Courier New"/>
          <w:sz w:val="20"/>
          <w:szCs w:val="20"/>
          <w:lang w:eastAsia="en-GB"/>
        </w:rPr>
        <w:t>BT::ActionNodeBase</w:t>
      </w:r>
      <w:r>
        <w:rPr>
          <w:rFonts w:ascii="Times New Roman" w:eastAsia="Times New Roman" w:hAnsi="Times New Roman" w:cs="Times New Roman"/>
          <w:sz w:val="24"/>
          <w:szCs w:val="24"/>
          <w:lang w:eastAsia="en-GB"/>
        </w:rPr>
        <w:t xml:space="preserve"> subclass registered via pluginlib. This is the architecturally novel component: the plugin's </w:t>
      </w:r>
      <w:r>
        <w:rPr>
          <w:rFonts w:ascii="Courier New" w:eastAsia="Times New Roman" w:hAnsi="Courier New" w:cs="Courier New"/>
          <w:sz w:val="20"/>
          <w:szCs w:val="20"/>
          <w:lang w:eastAsia="en-GB"/>
        </w:rPr>
        <w:t>tick()</w:t>
      </w:r>
      <w:r>
        <w:rPr>
          <w:rFonts w:ascii="Times New Roman" w:eastAsia="Times New Roman" w:hAnsi="Times New Roman" w:cs="Times New Roman"/>
          <w:sz w:val="24"/>
          <w:szCs w:val="24"/>
          <w:lang w:eastAsia="en-GB"/>
        </w:rPr>
        <w:t xml:space="preserve"> method calls </w:t>
      </w:r>
      <w:r>
        <w:rPr>
          <w:rFonts w:ascii="Courier New" w:eastAsia="Times New Roman" w:hAnsi="Courier New" w:cs="Courier New"/>
          <w:sz w:val="20"/>
          <w:szCs w:val="20"/>
          <w:lang w:eastAsia="en-GB"/>
        </w:rPr>
        <w:t>ResolveWaypoint.srv</w:t>
      </w:r>
      <w:r>
        <w:rPr>
          <w:rFonts w:ascii="Times New Roman" w:eastAsia="Times New Roman" w:hAnsi="Times New Roman" w:cs="Times New Roman"/>
          <w:sz w:val="24"/>
          <w:szCs w:val="24"/>
          <w:lang w:eastAsia="en-GB"/>
        </w:rPr>
        <w:t xml:space="preserve"> synchronously (blocking within the BT tick), retrieves a </w:t>
      </w:r>
      <w:r>
        <w:rPr>
          <w:rFonts w:ascii="Courier New" w:eastAsia="Times New Roman" w:hAnsi="Courier New" w:cs="Courier New"/>
          <w:sz w:val="20"/>
          <w:szCs w:val="20"/>
          <w:lang w:eastAsia="en-GB"/>
        </w:rPr>
        <w:lastRenderedPageBreak/>
        <w:t>PoseStamped</w:t>
      </w:r>
      <w:r>
        <w:rPr>
          <w:rFonts w:ascii="Times New Roman" w:eastAsia="Times New Roman" w:hAnsi="Times New Roman" w:cs="Times New Roman"/>
          <w:sz w:val="24"/>
          <w:szCs w:val="24"/>
          <w:lang w:eastAsia="en-GB"/>
        </w:rPr>
        <w:t xml:space="preserve"> on success, writes it to the blackboard output port, and returns </w:t>
      </w:r>
      <w:r>
        <w:rPr>
          <w:rFonts w:ascii="Courier New" w:eastAsia="Times New Roman" w:hAnsi="Courier New" w:cs="Courier New"/>
          <w:sz w:val="20"/>
          <w:szCs w:val="20"/>
          <w:lang w:eastAsia="en-GB"/>
        </w:rPr>
        <w:t>NodeStatus::SUCCESS</w:t>
      </w:r>
      <w:r>
        <w:rPr>
          <w:rFonts w:ascii="Times New Roman" w:eastAsia="Times New Roman" w:hAnsi="Times New Roman" w:cs="Times New Roman"/>
          <w:sz w:val="24"/>
          <w:szCs w:val="24"/>
          <w:lang w:eastAsia="en-GB"/>
        </w:rPr>
        <w:t xml:space="preserve">. On service timeout or confidence failure, it returns </w:t>
      </w:r>
      <w:r>
        <w:rPr>
          <w:rFonts w:ascii="Courier New" w:eastAsia="Times New Roman" w:hAnsi="Courier New" w:cs="Courier New"/>
          <w:sz w:val="20"/>
          <w:szCs w:val="20"/>
          <w:lang w:eastAsia="en-GB"/>
        </w:rPr>
        <w:t>NodeStatus::FAILURE</w:t>
      </w:r>
      <w:r>
        <w:rPr>
          <w:rFonts w:ascii="Times New Roman" w:eastAsia="Times New Roman" w:hAnsi="Times New Roman" w:cs="Times New Roman"/>
          <w:sz w:val="24"/>
          <w:szCs w:val="24"/>
          <w:lang w:eastAsia="en-GB"/>
        </w:rPr>
        <w:t xml:space="preserve"> and the BT falls through to a clarification behavior (a TTS prompt via a </w:t>
      </w:r>
      <w:r>
        <w:rPr>
          <w:rFonts w:ascii="Courier New" w:eastAsia="Times New Roman" w:hAnsi="Courier New" w:cs="Courier New"/>
          <w:sz w:val="20"/>
          <w:szCs w:val="20"/>
          <w:lang w:eastAsia="en-GB"/>
        </w:rPr>
        <w:t>SpeakText</w:t>
      </w:r>
      <w:r>
        <w:rPr>
          <w:rFonts w:ascii="Times New Roman" w:eastAsia="Times New Roman" w:hAnsi="Times New Roman" w:cs="Times New Roman"/>
          <w:sz w:val="24"/>
          <w:szCs w:val="24"/>
          <w:lang w:eastAsia="en-GB"/>
        </w:rPr>
        <w:t xml:space="preserve"> action, or a blinking LED pattern on the TurtleBot4's LED ring via </w:t>
      </w:r>
      <w:r>
        <w:rPr>
          <w:rFonts w:ascii="Courier New" w:eastAsia="Times New Roman" w:hAnsi="Courier New" w:cs="Courier New"/>
          <w:sz w:val="20"/>
          <w:szCs w:val="20"/>
          <w:lang w:eastAsia="en-GB"/>
        </w:rPr>
        <w:t>/cmd_lightring</w:t>
      </w:r>
      <w:r>
        <w:rPr>
          <w:rFonts w:ascii="Times New Roman" w:eastAsia="Times New Roman" w:hAnsi="Times New Roman" w:cs="Times New Roman"/>
          <w:sz w:val="24"/>
          <w:szCs w:val="24"/>
          <w:lang w:eastAsia="en-GB"/>
        </w:rPr>
        <w: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plugin is registered in </w:t>
      </w:r>
      <w:r>
        <w:rPr>
          <w:rFonts w:ascii="Courier New" w:eastAsia="Times New Roman" w:hAnsi="Courier New" w:cs="Courier New"/>
          <w:sz w:val="20"/>
          <w:szCs w:val="20"/>
          <w:lang w:eastAsia="en-GB"/>
        </w:rPr>
        <w:t>nav2_params.yaml</w:t>
      </w:r>
      <w:r>
        <w:rPr>
          <w:rFonts w:ascii="Times New Roman" w:eastAsia="Times New Roman" w:hAnsi="Times New Roman" w:cs="Times New Roman"/>
          <w:sz w:val="24"/>
          <w:szCs w:val="24"/>
          <w:lang w:eastAsia="en-GB"/>
        </w:rPr>
        <w:t xml:space="preserve"> under </w:t>
      </w:r>
      <w:r>
        <w:rPr>
          <w:rFonts w:ascii="Courier New" w:eastAsia="Times New Roman" w:hAnsi="Courier New" w:cs="Courier New"/>
          <w:sz w:val="20"/>
          <w:szCs w:val="20"/>
          <w:lang w:eastAsia="en-GB"/>
        </w:rPr>
        <w:t>bt_navigator.plugin_lib_names</w:t>
      </w:r>
      <w:r>
        <w:rPr>
          <w:rFonts w:ascii="Times New Roman" w:eastAsia="Times New Roman" w:hAnsi="Times New Roman" w:cs="Times New Roman"/>
          <w:sz w:val="24"/>
          <w:szCs w:val="24"/>
          <w:lang w:eastAsia="en-GB"/>
        </w:rPr>
        <w:t xml:space="preserve">. A custom BT XML file routes the </w:t>
      </w:r>
      <w:r>
        <w:rPr>
          <w:rFonts w:ascii="Courier New" w:eastAsia="Times New Roman" w:hAnsi="Courier New" w:cs="Courier New"/>
          <w:sz w:val="20"/>
          <w:szCs w:val="20"/>
          <w:lang w:eastAsia="en-GB"/>
        </w:rPr>
        <w:t>SemanticNavigateToPose</w:t>
      </w:r>
      <w:r>
        <w:rPr>
          <w:rFonts w:ascii="Times New Roman" w:eastAsia="Times New Roman" w:hAnsi="Times New Roman" w:cs="Times New Roman"/>
          <w:sz w:val="24"/>
          <w:szCs w:val="24"/>
          <w:lang w:eastAsia="en-GB"/>
        </w:rPr>
        <w:t xml:space="preserve"> action node into the standard </w:t>
      </w:r>
      <w:r>
        <w:rPr>
          <w:rFonts w:ascii="Courier New" w:eastAsia="Times New Roman" w:hAnsi="Courier New" w:cs="Courier New"/>
          <w:sz w:val="20"/>
          <w:szCs w:val="20"/>
          <w:lang w:eastAsia="en-GB"/>
        </w:rPr>
        <w:t>NavigateToPose</w:t>
      </w:r>
      <w:r>
        <w:rPr>
          <w:rFonts w:ascii="Times New Roman" w:eastAsia="Times New Roman" w:hAnsi="Times New Roman" w:cs="Times New Roman"/>
          <w:sz w:val="24"/>
          <w:szCs w:val="24"/>
          <w:lang w:eastAsia="en-GB"/>
        </w:rPr>
        <w:t xml:space="preserve"> action, with a fallback subtree for clarification. End-to-end sim testing with the TurtleBot4 covers 10 rooms × 5 command variants × 3 trials = 150 simulation runs logged via </w:t>
      </w:r>
      <w:r>
        <w:rPr>
          <w:rFonts w:ascii="Courier New" w:eastAsia="Times New Roman" w:hAnsi="Courier New" w:cs="Courier New"/>
          <w:sz w:val="20"/>
          <w:szCs w:val="20"/>
          <w:lang w:eastAsia="en-GB"/>
        </w:rPr>
        <w:t>ros2 bag</w:t>
      </w:r>
      <w:r>
        <w:rPr>
          <w:rFonts w:ascii="Times New Roman" w:eastAsia="Times New Roman" w:hAnsi="Times New Roman" w:cs="Times New Roman"/>
          <w:sz w:val="24"/>
          <w:szCs w:val="24"/>
          <w:lang w:eastAsia="en-GB"/>
        </w:rPr>
        <w: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Phase 3: Real hardware deployment and calibration model training (Weeks 11–14).</w:t>
      </w:r>
      <w:r>
        <w:rPr>
          <w:rFonts w:ascii="Times New Roman" w:eastAsia="Times New Roman" w:hAnsi="Times New Roman" w:cs="Times New Roman"/>
          <w:sz w:val="24"/>
          <w:szCs w:val="24"/>
          <w:lang w:eastAsia="en-GB"/>
        </w:rPr>
        <w:t xml:space="preserve"> The package is deployed on a physical TurtleBot4 Standard (Create3 base, Jetson Orin NX 8GB, OAK-D Pro camera, RPLiDAR A2M8). A 10-room lab environment is annotated with 30 named locations (some aliases are intentionally overlapping to stress the disambiguation). Five participants, all non-robotics lab members (two admin staff, two PhD students from other departments, one undergrad), each issue 40 commands across all 30 locations across two sessions. Session 1 (200 trials) generates the calibration training set. Session 2 (100 trials, different phrasing) generates the test set.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The calibration model takes five features: raw LLM-reported confidence, output token entropy (computed from llama.cpp's logprob output), number of candidate rooms in the graph, command character length, and minimum Levenshtein edit distance between the resolved node name and the command string. A Platt-scaled logistic regression is trained on Session 1 binary outcomes (correct/incorrect resolution), validated on Session 2. The threshold is set at the point that achieves the target false-positive rate of 5% on Session 1, then evaluated on Session 2 without re-tuning.</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Phase 4: Evaluation and patent filing (Weeks 15–16).</w:t>
      </w:r>
      <w:r>
        <w:rPr>
          <w:rFonts w:ascii="Times New Roman" w:eastAsia="Times New Roman" w:hAnsi="Times New Roman" w:cs="Times New Roman"/>
          <w:sz w:val="24"/>
          <w:szCs w:val="24"/>
          <w:lang w:eastAsia="en-GB"/>
        </w:rPr>
        <w:t xml:space="preserve"> Metrics collected: top-1 accuracy (%), top-3 accuracy (%), false-rejection rate (%), false-pass rate (%), end-to-end latency distribution (p50/p90/p99 in ms), ECE for raw LLM confidence vs. calibrated confidence. Ablation study: system accuracy and latency with (a) on-device Phi-3 mini Q4_K_M, (b) on-device TinyLlama Q4, (c) on-device Phi-3.5 mini Q8, (d) cloud GPT-4o as a baseline ceiling. The ablation separates the contribution of model scale from the contribution of the closed-set constraint and calibration pipeline.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Tools and algorithms:</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llama.cpp (GGUF inference, grammar-constrained decoding, logprob output)</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BehaviorTree.CPP v4 (pluginlib plugin interface)</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Nav2 Humble (costmap_2d, smac_planner, dwb_controller)</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PyTorch (calibration model training)</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sklearn (CalibratedClassifierCV, isotonic regression comparison)</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Brian2 (SNN simulation for the neuromorphic channel, if extended)</w:t>
      </w:r>
    </w:p>
    <w:p w:rsidR="001E75C0" w:rsidRPr="001E75C0" w:rsidRDefault="001E75C0" w:rsidP="001E75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ROS 2 bag (data logging for all trials)</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28"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5. System Architecture, Module Design and Experimental Design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Top-level architecture</w:t>
      </w:r>
      <w:r>
        <w:rPr>
          <w:rFonts w:ascii="Times New Roman" w:eastAsia="Times New Roman" w:hAnsi="Times New Roman" w:cs="Times New Roman"/>
          <w:sz w:val="24"/>
          <w:szCs w:val="24"/>
          <w:lang w:eastAsia="en-GB"/>
        </w:rPr>
        <w:t xml:space="preserve"> is a four-node ROS 2 package communicating over typed topics, services, and actions. The design follows the single-responsibility principle: each node does one thing, communicates through defined interfaces, and can be tested in isolation.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Courier New" w:eastAsia="Times New Roman" w:hAnsi="Courier New" w:cs="Courier New"/>
          <w:sz w:val="20"/>
          <w:szCs w:val="20"/>
          <w:lang w:eastAsia="en-GB"/>
        </w:rPr>
        <w:t>/semantic_goal_node</w:t>
      </w:r>
      <w:r>
        <w:rPr>
          <w:rFonts w:ascii="Times New Roman" w:eastAsia="Times New Roman" w:hAnsi="Times New Roman" w:cs="Times New Roman"/>
          <w:sz w:val="24"/>
          <w:szCs w:val="24"/>
          <w:lang w:eastAsia="en-GB"/>
        </w:rPr>
        <w:t xml:space="preserve">: a lifecycle node that accepts </w:t>
      </w:r>
      <w:r>
        <w:rPr>
          <w:rFonts w:ascii="Courier New" w:eastAsia="Times New Roman" w:hAnsi="Courier New" w:cs="Courier New"/>
          <w:sz w:val="20"/>
          <w:szCs w:val="20"/>
          <w:lang w:eastAsia="en-GB"/>
        </w:rPr>
        <w:t>SemanticGoal.msg</w:t>
      </w:r>
      <w:r>
        <w:rPr>
          <w:rFonts w:ascii="Times New Roman" w:eastAsia="Times New Roman" w:hAnsi="Times New Roman" w:cs="Times New Roman"/>
          <w:sz w:val="24"/>
          <w:szCs w:val="24"/>
          <w:lang w:eastAsia="en-GB"/>
        </w:rPr>
        <w:t xml:space="preserve"> from an operator interface (web dashboard via rosbridge or voice input via Whisper-ROS). Validates message fields, forwards to the resolver via service call. QoS: reliable, depth 1.</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Courier New" w:eastAsia="Times New Roman" w:hAnsi="Courier New" w:cs="Courier New"/>
          <w:sz w:val="20"/>
          <w:szCs w:val="20"/>
          <w:lang w:eastAsia="en-GB"/>
        </w:rPr>
        <w:t>/llm_resolver_node</w:t>
      </w:r>
      <w:r>
        <w:rPr>
          <w:rFonts w:ascii="Times New Roman" w:eastAsia="Times New Roman" w:hAnsi="Times New Roman" w:cs="Times New Roman"/>
          <w:sz w:val="24"/>
          <w:szCs w:val="24"/>
          <w:lang w:eastAsia="en-GB"/>
        </w:rPr>
        <w:t xml:space="preserve">: a component node that loads the GGUF model at startup, maintains the llama.cpp context object across service calls, and handles </w:t>
      </w:r>
      <w:r>
        <w:rPr>
          <w:rFonts w:ascii="Courier New" w:eastAsia="Times New Roman" w:hAnsi="Courier New" w:cs="Courier New"/>
          <w:sz w:val="20"/>
          <w:szCs w:val="20"/>
          <w:lang w:eastAsia="en-GB"/>
        </w:rPr>
        <w:t>ResolveWaypoint.srv</w:t>
      </w:r>
      <w:r>
        <w:rPr>
          <w:rFonts w:ascii="Times New Roman" w:eastAsia="Times New Roman" w:hAnsi="Times New Roman" w:cs="Times New Roman"/>
          <w:sz w:val="24"/>
          <w:szCs w:val="24"/>
          <w:lang w:eastAsia="en-GB"/>
        </w:rPr>
        <w:t xml:space="preserve"> requests. Inference runs in a </w:t>
      </w:r>
      <w:r>
        <w:rPr>
          <w:rFonts w:ascii="Courier New" w:eastAsia="Times New Roman" w:hAnsi="Courier New" w:cs="Courier New"/>
          <w:sz w:val="20"/>
          <w:szCs w:val="20"/>
          <w:lang w:eastAsia="en-GB"/>
        </w:rPr>
        <w:t>rclcpp::ThreadPool</w:t>
      </w:r>
      <w:r>
        <w:rPr>
          <w:rFonts w:ascii="Times New Roman" w:eastAsia="Times New Roman" w:hAnsi="Times New Roman" w:cs="Times New Roman"/>
          <w:sz w:val="24"/>
          <w:szCs w:val="24"/>
          <w:lang w:eastAsia="en-GB"/>
        </w:rPr>
        <w:t xml:space="preserve"> worker so the service server's spin thread is never blocked. Grammar-constrained decoding (llama.cpp </w:t>
      </w:r>
      <w:r>
        <w:rPr>
          <w:rFonts w:ascii="Courier New" w:eastAsia="Times New Roman" w:hAnsi="Courier New" w:cs="Courier New"/>
          <w:sz w:val="20"/>
          <w:szCs w:val="20"/>
          <w:lang w:eastAsia="en-GB"/>
        </w:rPr>
        <w:t>llama_grammar</w:t>
      </w:r>
      <w:r>
        <w:rPr>
          <w:rFonts w:ascii="Times New Roman" w:eastAsia="Times New Roman" w:hAnsi="Times New Roman" w:cs="Times New Roman"/>
          <w:sz w:val="24"/>
          <w:szCs w:val="24"/>
          <w:lang w:eastAsia="en-GB"/>
        </w:rPr>
        <w:t xml:space="preserve"> API) restricts the sampled token sequence to valid JSON matching the schema </w:t>
      </w:r>
      <w:r>
        <w:rPr>
          <w:rFonts w:ascii="Courier New" w:eastAsia="Times New Roman" w:hAnsi="Courier New" w:cs="Courier New"/>
          <w:sz w:val="20"/>
          <w:szCs w:val="20"/>
          <w:lang w:eastAsia="en-GB"/>
        </w:rPr>
        <w:t>{"room": string, "confidence": float}</w:t>
      </w:r>
      <w:r>
        <w:rPr>
          <w:rFonts w:ascii="Times New Roman" w:eastAsia="Times New Roman" w:hAnsi="Times New Roman" w:cs="Times New Roman"/>
          <w:sz w:val="24"/>
          <w:szCs w:val="24"/>
          <w:lang w:eastAsia="en-GB"/>
        </w:rPr>
        <w:t xml:space="preserve"> where </w:t>
      </w:r>
      <w:r>
        <w:rPr>
          <w:rFonts w:ascii="Courier New" w:eastAsia="Times New Roman" w:hAnsi="Courier New" w:cs="Courier New"/>
          <w:sz w:val="20"/>
          <w:szCs w:val="20"/>
          <w:lang w:eastAsia="en-GB"/>
        </w:rPr>
        <w:t>string</w:t>
      </w:r>
      <w:r>
        <w:rPr>
          <w:rFonts w:ascii="Times New Roman" w:eastAsia="Times New Roman" w:hAnsi="Times New Roman" w:cs="Times New Roman"/>
          <w:sz w:val="24"/>
          <w:szCs w:val="24"/>
          <w:lang w:eastAsia="en-GB"/>
        </w:rPr>
        <w:t xml:space="preserve"> must be one of the annotation graph's canonical names, enforced at the sampler level, not post-hoc by string matching.</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Courier New" w:eastAsia="Times New Roman" w:hAnsi="Courier New" w:cs="Courier New"/>
          <w:sz w:val="20"/>
          <w:szCs w:val="20"/>
          <w:lang w:eastAsia="en-GB"/>
        </w:rPr>
        <w:t>/annotation_map_node</w:t>
      </w:r>
      <w:r>
        <w:rPr>
          <w:rFonts w:ascii="Times New Roman" w:eastAsia="Times New Roman" w:hAnsi="Times New Roman" w:cs="Times New Roman"/>
          <w:sz w:val="24"/>
          <w:szCs w:val="24"/>
          <w:lang w:eastAsia="en-GB"/>
        </w:rPr>
        <w:t xml:space="preserve">: a node that loads </w:t>
      </w:r>
      <w:r>
        <w:rPr>
          <w:rFonts w:ascii="Courier New" w:eastAsia="Times New Roman" w:hAnsi="Courier New" w:cs="Courier New"/>
          <w:sz w:val="20"/>
          <w:szCs w:val="20"/>
          <w:lang w:eastAsia="en-GB"/>
        </w:rPr>
        <w:t>room_annotations.json</w:t>
      </w:r>
      <w:r>
        <w:rPr>
          <w:rFonts w:ascii="Times New Roman" w:eastAsia="Times New Roman" w:hAnsi="Times New Roman" w:cs="Times New Roman"/>
          <w:sz w:val="24"/>
          <w:szCs w:val="24"/>
          <w:lang w:eastAsia="en-GB"/>
        </w:rPr>
        <w:t xml:space="preserve"> at startup, serves </w:t>
      </w:r>
      <w:r>
        <w:rPr>
          <w:rFonts w:ascii="Courier New" w:eastAsia="Times New Roman" w:hAnsi="Courier New" w:cs="Courier New"/>
          <w:sz w:val="20"/>
          <w:szCs w:val="20"/>
          <w:lang w:eastAsia="en-GB"/>
        </w:rPr>
        <w:t>GetRoomPose.srv</w:t>
      </w:r>
      <w:r>
        <w:rPr>
          <w:rFonts w:ascii="Times New Roman" w:eastAsia="Times New Roman" w:hAnsi="Times New Roman" w:cs="Times New Roman"/>
          <w:sz w:val="24"/>
          <w:szCs w:val="24"/>
          <w:lang w:eastAsia="en-GB"/>
        </w:rPr>
        <w:t xml:space="preserve"> for coordinate lookups, publishes </w:t>
      </w:r>
      <w:r>
        <w:rPr>
          <w:rFonts w:ascii="Courier New" w:eastAsia="Times New Roman" w:hAnsi="Courier New" w:cs="Courier New"/>
          <w:sz w:val="20"/>
          <w:szCs w:val="20"/>
          <w:lang w:eastAsia="en-GB"/>
        </w:rPr>
        <w:t>visualization_msgs/MarkerArray</w:t>
      </w:r>
      <w:r>
        <w:rPr>
          <w:rFonts w:ascii="Times New Roman" w:eastAsia="Times New Roman" w:hAnsi="Times New Roman" w:cs="Times New Roman"/>
          <w:sz w:val="24"/>
          <w:szCs w:val="24"/>
          <w:lang w:eastAsia="en-GB"/>
        </w:rPr>
        <w:t xml:space="preserve"> to </w:t>
      </w:r>
      <w:r>
        <w:rPr>
          <w:rFonts w:ascii="Courier New" w:eastAsia="Times New Roman" w:hAnsi="Courier New" w:cs="Courier New"/>
          <w:sz w:val="20"/>
          <w:szCs w:val="20"/>
          <w:lang w:eastAsia="en-GB"/>
        </w:rPr>
        <w:t>/semantic_markers</w:t>
      </w:r>
      <w:r>
        <w:rPr>
          <w:rFonts w:ascii="Times New Roman" w:eastAsia="Times New Roman" w:hAnsi="Times New Roman" w:cs="Times New Roman"/>
          <w:sz w:val="24"/>
          <w:szCs w:val="24"/>
          <w:lang w:eastAsia="en-GB"/>
        </w:rPr>
        <w:t xml:space="preserve"> for RViz2 display, and exposes </w:t>
      </w:r>
      <w:r>
        <w:rPr>
          <w:rFonts w:ascii="Courier New" w:eastAsia="Times New Roman" w:hAnsi="Courier New" w:cs="Courier New"/>
          <w:sz w:val="20"/>
          <w:szCs w:val="20"/>
          <w:lang w:eastAsia="en-GB"/>
        </w:rPr>
        <w:t>AddRoom.srv</w:t>
      </w:r>
      <w:r>
        <w:rPr>
          <w:rFonts w:ascii="Times New Roman" w:eastAsia="Times New Roman" w:hAnsi="Times New Roman" w:cs="Times New Roman"/>
          <w:sz w:val="24"/>
          <w:szCs w:val="24"/>
          <w:lang w:eastAsia="en-GB"/>
        </w:rPr>
        <w:t xml:space="preserve"> for runtime updates. The JSON schema allows hierarchical parent fields (room within floor) for future multi-floor extension.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Courier New" w:eastAsia="Times New Roman" w:hAnsi="Courier New" w:cs="Courier New"/>
          <w:sz w:val="20"/>
          <w:szCs w:val="20"/>
          <w:lang w:eastAsia="en-GB"/>
        </w:rPr>
        <w:t>/bt_semantic_plugin</w:t>
      </w:r>
      <w:r>
        <w:rPr>
          <w:rFonts w:ascii="Times New Roman" w:eastAsia="Times New Roman" w:hAnsi="Times New Roman" w:cs="Times New Roman"/>
          <w:sz w:val="24"/>
          <w:szCs w:val="24"/>
          <w:lang w:eastAsia="en-GB"/>
        </w:rPr>
        <w:t xml:space="preserve">: the pluginlib plugin, a </w:t>
      </w:r>
      <w:r>
        <w:rPr>
          <w:rFonts w:ascii="Courier New" w:eastAsia="Times New Roman" w:hAnsi="Courier New" w:cs="Courier New"/>
          <w:sz w:val="20"/>
          <w:szCs w:val="20"/>
          <w:lang w:eastAsia="en-GB"/>
        </w:rPr>
        <w:t>BT::ActionNodeBase</w:t>
      </w:r>
      <w:r>
        <w:rPr>
          <w:rFonts w:ascii="Times New Roman" w:eastAsia="Times New Roman" w:hAnsi="Times New Roman" w:cs="Times New Roman"/>
          <w:sz w:val="24"/>
          <w:szCs w:val="24"/>
          <w:lang w:eastAsia="en-GB"/>
        </w:rPr>
        <w:t xml:space="preserve"> subclass with one input port (</w:t>
      </w:r>
      <w:r>
        <w:rPr>
          <w:rFonts w:ascii="Courier New" w:eastAsia="Times New Roman" w:hAnsi="Courier New" w:cs="Courier New"/>
          <w:sz w:val="20"/>
          <w:szCs w:val="20"/>
          <w:lang w:eastAsia="en-GB"/>
        </w:rPr>
        <w:t>command: string</w:t>
      </w:r>
      <w:r>
        <w:rPr>
          <w:rFonts w:ascii="Times New Roman" w:eastAsia="Times New Roman" w:hAnsi="Times New Roman" w:cs="Times New Roman"/>
          <w:sz w:val="24"/>
          <w:szCs w:val="24"/>
          <w:lang w:eastAsia="en-GB"/>
        </w:rPr>
        <w:t>) and two output ports (</w:t>
      </w:r>
      <w:r>
        <w:rPr>
          <w:rFonts w:ascii="Courier New" w:eastAsia="Times New Roman" w:hAnsi="Courier New" w:cs="Courier New"/>
          <w:sz w:val="20"/>
          <w:szCs w:val="20"/>
          <w:lang w:eastAsia="en-GB"/>
        </w:rPr>
        <w:t xml:space="preserve">resolved_pose: geometry_msgs/PoseStamped</w:t>
      </w:r>
      <w:r>
        <w:rPr>
          <w:rFonts w:ascii="Times New Roman" w:eastAsia="Times New Roman" w:hAnsi="Times New Roman" w:cs="Times New Roman"/>
          <w:sz w:val="24"/>
          <w:szCs w:val="24"/>
          <w:lang w:eastAsia="en-GB"/>
        </w:rPr>
        <w:t xml:space="preserve">, </w:t>
      </w:r>
      <w:r>
        <w:rPr>
          <w:rFonts w:ascii="Courier New" w:eastAsia="Times New Roman" w:hAnsi="Courier New" w:cs="Courier New"/>
          <w:sz w:val="20"/>
          <w:szCs w:val="20"/>
          <w:lang w:eastAsia="en-GB"/>
        </w:rPr>
        <w:t>resolved_room: string</w:t>
      </w:r>
      <w:r>
        <w:rPr>
          <w:rFonts w:ascii="Times New Roman" w:eastAsia="Times New Roman" w:hAnsi="Times New Roman" w:cs="Times New Roman"/>
          <w:sz w:val="24"/>
          <w:szCs w:val="24"/>
          <w:lang w:eastAsia="en-GB"/>
        </w:rPr>
        <w:t xml:space="preserve">). On tick: calls </w:t>
      </w:r>
      <w:r>
        <w:rPr>
          <w:rFonts w:ascii="Courier New" w:eastAsia="Times New Roman" w:hAnsi="Courier New" w:cs="Courier New"/>
          <w:sz w:val="20"/>
          <w:szCs w:val="20"/>
          <w:lang w:eastAsia="en-GB"/>
        </w:rPr>
        <w:t>ResolveWaypoint.srv</w:t>
      </w:r>
      <w:r>
        <w:rPr>
          <w:rFonts w:ascii="Times New Roman" w:eastAsia="Times New Roman" w:hAnsi="Times New Roman" w:cs="Times New Roman"/>
          <w:sz w:val="24"/>
          <w:szCs w:val="24"/>
          <w:lang w:eastAsia="en-GB"/>
        </w:rPr>
        <w:t xml:space="preserve">, applies the calibration model (loaded as a serialized sklearn pipeline), compares calibrated confidence to the configured threshold, writes to output ports on success, returns </w:t>
      </w:r>
      <w:r>
        <w:rPr>
          <w:rFonts w:ascii="Courier New" w:eastAsia="Times New Roman" w:hAnsi="Courier New" w:cs="Courier New"/>
          <w:sz w:val="20"/>
          <w:szCs w:val="20"/>
          <w:lang w:eastAsia="en-GB"/>
        </w:rPr>
        <w:t>FAILURE</w:t>
      </w:r>
      <w:r>
        <w:rPr>
          <w:rFonts w:ascii="Times New Roman" w:eastAsia="Times New Roman" w:hAnsi="Times New Roman" w:cs="Times New Roman"/>
          <w:sz w:val="24"/>
          <w:szCs w:val="24"/>
          <w:lang w:eastAsia="en-GB"/>
        </w:rPr>
        <w:t xml:space="preserve"> on timeout or threshold miss.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Interface definitions: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SemanticGoal.msg</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std_msgs/Header header</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command</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float32 confidence_threshold  # default 0.72</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bool allow_approximate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ResolveWaypoint.srv</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natural_language_command</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candidate_room_names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geometry_msgs/PoseStamped resolved_pose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matched_room_name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float32 raw_confidence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float32 calibrated_confidence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reasoning</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bool success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AddRoom.srv</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lastRenderedPageBreak/>
        <w:t xml:space="preserve">  string name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aliases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geometry_msgs/Pose pose</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tags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bool success</w:t>
      </w:r>
    </w:p>
    <w:p w:rsidR="001E75C0" w:rsidRPr="001E75C0" w:rsidRDefault="001E75C0" w:rsidP="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 xml:space="preserve">  string message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Experimental design.</w:t>
      </w:r>
      <w:r>
        <w:rPr>
          <w:rFonts w:ascii="Times New Roman" w:eastAsia="Times New Roman" w:hAnsi="Times New Roman" w:cs="Times New Roman"/>
          <w:sz w:val="24"/>
          <w:szCs w:val="24"/>
          <w:lang w:eastAsia="en-GB"/>
        </w:rPr>
        <w:t xml:space="preserve"> The experiment is structured as a three-condition repeated-measures study: (A) baseline metric navigation (operator specifies coordinates directly, no LLM), (B) full system with calibration gate enabled, (C) full system with calibration gate disabled (LLM confidence thresholded at 0.0, all resolutions passed). Condition A establishes the ceiling for navigation success rate independent of the language interface. Condition B is the proposed system. Condition C isolates the contribution of the calibration gate by removing it. Participants are counterbalanced across conditions. Dependent variables: task success rate (robot reaches intended room), time-to-navigation-start (command issued to robot moving), false-start rate (robot begins navigating to wrong room), and operator satisfaction (Likert 1–5 on a four-item scale).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The experimental setup has one 10-room lab floor annotated at 30 named locations, five non-expert participants, two sessions each, 40 commands per session. Session 1 data trains the calibrator; Session 2 data supplies every reported metric. Training and evaluation never overlap.</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Ablation study design.</w:t>
      </w:r>
      <w:r>
        <w:rPr>
          <w:rFonts w:ascii="Times New Roman" w:eastAsia="Times New Roman" w:hAnsi="Times New Roman" w:cs="Times New Roman"/>
          <w:sz w:val="24"/>
          <w:szCs w:val="24"/>
          <w:lang w:eastAsia="en-GB"/>
        </w:rPr>
        <w:t xml:space="preserve"> The closed-set constraint is isolated by running the same Phi-3 mini model in two modes: (1) grammar-constrained (restricted output), and (2) free-form JSON (model asked to return any room name, not restricted at the sampler). Resolution accuracy, false-pass rate, and the proportion of out-of-graph outputs are compared. This is the direct experimental test of the core safety claim.</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27"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6. Feasibility, Risks, Ethics and Work Planning</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Resource requirements.</w:t>
      </w:r>
      <w:r>
        <w:rPr>
          <w:rFonts w:ascii="Times New Roman" w:eastAsia="Times New Roman" w:hAnsi="Times New Roman" w:cs="Times New Roman"/>
          <w:sz w:val="24"/>
          <w:szCs w:val="24"/>
          <w:lang w:eastAsia="en-GB"/>
        </w:rPr>
        <w:t xml:space="preserve"> Hardware: one TurtleBot4 Standard (available in the lab, ~₹3.2L), one Jetson Orin NX 8GB development kit (₹38,000), one RPLiDAR A2M8 (already on the TurtleBot4). Software: all open-source (ROS 2 Humble, Nav2, llama.cpp, BehaviorTree.CPP, PyTorch). Human: five non-expert participants for two sessions each (~2 hours total per participant). Cloud compute for synthetic dataset generation: approximately ₹2,500 in GPT-4 API credits for 500 pairs. Indian provisional patent filing: ₹1,750 (educational/startup rate). Total cash budget: under ₹50,000, entirely within a typical final-year project allocation.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8271"/>
      </w:tblGrid>
      <w:tr w:rsidR="001E75C0" w:rsidRPr="001E75C0">
        <w:trPr>
          <w:tblHeader/>
          <w:tblCellSpacing w:w="15" w:type="dxa"/>
        </w:trPr>
        <w:tc>
          <w:tcPr>
            <w:tcW w:w="0" w:type="auto"/>
            <w:vAlign w:val="center"/>
            <w:hideMark/>
          </w:tcPr>
          <w:p w:rsidR="001E75C0" w:rsidRPr="001E75C0" w:rsidRDefault="001E75C0" w:rsidP="001E75C0">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Weeks</w:t>
            </w:r>
          </w:p>
        </w:tc>
        <w:tc>
          <w:tcPr>
            <w:tcW w:w="0" w:type="auto"/>
            <w:vAlign w:val="center"/>
            <w:hideMark/>
          </w:tcPr>
          <w:p w:rsidR="001E75C0" w:rsidRPr="001E75C0" w:rsidRDefault="001E75C0" w:rsidP="001E75C0">
            <w:pPr>
              <w:spacing w:after="0" w:line="240" w:lineRule="auto"/>
              <w:jc w:val="cente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Deliverable</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1–2</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ROS 2 + Gazebo Harmonic setup; 10-room simulated map; annotation of simulation environment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3–4</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Courier New" w:eastAsia="Times New Roman" w:hAnsi="Courier New" w:cs="Courier New"/>
                <w:sz w:val="20"/>
                <w:szCs w:val="20"/>
                <w:lang w:eastAsia="en-GB"/>
              </w:rPr>
              <w:t>annotation_map_node</w:t>
            </w:r>
            <w:r>
              <w:rPr>
                <w:rFonts w:ascii="Times New Roman" w:eastAsia="Times New Roman" w:hAnsi="Times New Roman" w:cs="Times New Roman"/>
                <w:sz w:val="24"/>
                <w:szCs w:val="24"/>
                <w:lang w:eastAsia="en-GB"/>
              </w:rPr>
              <w:t xml:space="preserve"> + </w:t>
            </w:r>
            <w:r>
              <w:rPr>
                <w:rFonts w:ascii="Courier New" w:eastAsia="Times New Roman" w:hAnsi="Courier New" w:cs="Courier New"/>
                <w:sz w:val="20"/>
                <w:szCs w:val="20"/>
                <w:lang w:eastAsia="en-GB"/>
              </w:rPr>
              <w:t>ResolveWaypoint.srv</w:t>
            </w:r>
            <w:r>
              <w:rPr>
                <w:rFonts w:ascii="Times New Roman" w:eastAsia="Times New Roman" w:hAnsi="Times New Roman" w:cs="Times New Roman"/>
                <w:sz w:val="24"/>
                <w:szCs w:val="24"/>
                <w:lang w:eastAsia="en-GB"/>
              </w:rPr>
              <w:t xml:space="preserve"> implementation; unit tests passing</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5–6</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llama.cpp integration; Phi-3 mini Q4_K_M inference working in simulation; prompt evaluation on synthetic dataset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7–8</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BT plugin written, registered via pluginlib; end-to-end sim: command → NavigateToPose</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9–10</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Grammar-constrained decoding implemented; closed-set vs. free-form ablation in simulation</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11–12</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Physical TurtleBot4 deployment; hardware latency profiling; Session 1 (200 real trials, calibration training set)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13–14</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Calibration model trained; Session 2 (100 real trials, evaluation); full metric collection</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15</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Ablation study; paper draft; patent provisional draft</w:t>
            </w:r>
          </w:p>
        </w:tc>
      </w:tr>
      <w:tr w:rsidR="001E75C0" w:rsidRPr="001E75C0">
        <w:trPr>
          <w:tblCellSpacing w:w="15" w:type="dxa"/>
        </w:trPr>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16</w:t>
            </w:r>
          </w:p>
        </w:tc>
        <w:tc>
          <w:tcPr>
            <w:tcW w:w="0" w:type="auto"/>
            <w:vAlign w:val="center"/>
            <w:hideMark/>
          </w:tcPr>
          <w:p w:rsidR="001E75C0" w:rsidRPr="001E75C0" w:rsidRDefault="001E75C0"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Review 2 submission; presentation</w:t>
            </w:r>
          </w:p>
        </w:tc>
      </w:tr>
    </w:tbl>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Responsibilities.</w:t>
      </w:r>
      <w:r>
        <w:rPr>
          <w:rFonts w:ascii="Times New Roman" w:eastAsia="Times New Roman" w:hAnsi="Times New Roman" w:cs="Times New Roman"/>
          <w:sz w:val="24"/>
          <w:szCs w:val="24"/>
          <w:lang w:eastAsia="en-GB"/>
        </w:rPr>
        <w:t xml:space="preserve"> (If a two-member team: Member A leads nodes 1–2 and the LLM resolver; Member B leads nodes 3–4 and the BT plugin. Calibration model and evaluation shared. Patent draft and paper joint.)</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Risk analysis.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Risk 1: Inference latency exceeds BT tick timeout.</w:t>
      </w:r>
      <w:r>
        <w:rPr>
          <w:rFonts w:ascii="Times New Roman" w:eastAsia="Times New Roman" w:hAnsi="Times New Roman" w:cs="Times New Roman"/>
          <w:sz w:val="24"/>
          <w:szCs w:val="24"/>
          <w:lang w:eastAsia="en-GB"/>
        </w:rPr>
        <w:t xml:space="preserve"> Probability: medium (Phi-3 mini at Q4_K_M on Orin NX benchmarks at 600–900ms for 256-token contexts in preliminary tests; BT timeout is 5 seconds). Mitigation: implement a fast-path that skips LLM inference when the command exactly matches a node name or alias via string edit distance; this resolves in under 1ms and handles ~40% of real-world commands.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Risk 2: Grammar-constrained decoding not supported in the available llama.cpp version.</w:t>
      </w:r>
      <w:r>
        <w:rPr>
          <w:rFonts w:ascii="Times New Roman" w:eastAsia="Times New Roman" w:hAnsi="Times New Roman" w:cs="Times New Roman"/>
          <w:sz w:val="24"/>
          <w:szCs w:val="24"/>
          <w:lang w:eastAsia="en-GB"/>
        </w:rPr>
        <w:t xml:space="preserve"> Probability: low (grammar support has been stable in llama.cpp since late 2023). Mitigation: fall back to post-hoc string matching with rejection of out-of-vocabulary outputs.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Risk 3: Calibration model does not generalize from Session 1 to Session 2 users.</w:t>
      </w:r>
      <w:r>
        <w:rPr>
          <w:rFonts w:ascii="Times New Roman" w:eastAsia="Times New Roman" w:hAnsi="Times New Roman" w:cs="Times New Roman"/>
          <w:sz w:val="24"/>
          <w:szCs w:val="24"/>
          <w:lang w:eastAsia="en-GB"/>
        </w:rPr>
        <w:t xml:space="preserve"> Probability: medium (user phrasing patterns vary). Mitigation: use leave-one-participant-out cross-validation during training; report per-participant ECE separately; if generalization is poor, report this as a finding and propose online recalibration as future work.</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Risk 4: Physical TurtleBot4 localization fails in the lab environment.</w:t>
      </w:r>
      <w:r>
        <w:rPr>
          <w:rFonts w:ascii="Times New Roman" w:eastAsia="Times New Roman" w:hAnsi="Times New Roman" w:cs="Times New Roman"/>
          <w:sz w:val="24"/>
          <w:szCs w:val="24"/>
          <w:lang w:eastAsia="en-GB"/>
        </w:rPr>
        <w:t xml:space="preserve"> Probability: low (AMCL on a pre-built map is mature). Mitigation: run a SLAM session to build the map fresh each week; keep the lab furniture arrangement consistent during Session 1 and Session 2.</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 xml:space="preserve">Risk 5: osmAG-LLM (arXiv:2507.12753, July 2025) partially anticipates the closed-set constraint before patent filing.</w:t>
      </w:r>
      <w:r>
        <w:rPr>
          <w:rFonts w:ascii="Times New Roman" w:eastAsia="Times New Roman" w:hAnsi="Times New Roman" w:cs="Times New Roman"/>
          <w:sz w:val="24"/>
          <w:szCs w:val="24"/>
          <w:lang w:eastAsia="en-GB"/>
        </w:rPr>
        <w:t xml:space="preserve"> Probability: medium-high. Mitigation: file the Indian provisional immediately; frame the independent claims exclusively around the calibration + in-tree BT plugin combination, which osmAG-LLM does not disclose. The closed-set constraint becomes a dependent claim.</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Ethical considerations.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Human participants: five non-expert participants will interact with the robot for approximately 2 hours each. The robot operates at under 0.5 m/s in a supervised lab environment with a hardware emergency stop always within reach of the operator. No </w:t>
        <w:lastRenderedPageBreak/>
        <w:t>personally identifying data is collected beyond session logs that record command strings and outcome labels; command logs are anonymized before storage. Institutional ethics clearance will be sought from the department's Research Ethics Committee before Session 1 begins.</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Data use: the 500-pair synthetic dataset is generated via the GPT-4 API under Anthropic's terms (wait, OpenAI's terms) which permit research use. No personal data enters the API. The calibration training data (command strings + binary outcomes) is stored locally, anonymized, and deleted after the project period.</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Patent filing: the provisional filing credits all contributing team members as inventors and discloses the institution as assignee in accordance with the institute's IP policy.</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26"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7. Preliminary Report Quality: Chapter Coverage and Structure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This report covers Chapters 1 through 3 of the project document, corresponding to Introduction, Literature Review, and Methodology respectively.</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Chapter 1: Introduction</w:t>
      </w:r>
      <w:r>
        <w:rPr>
          <w:rFonts w:ascii="Times New Roman" w:eastAsia="Times New Roman" w:hAnsi="Times New Roman" w:cs="Times New Roman"/>
          <w:sz w:val="24"/>
          <w:szCs w:val="24"/>
          <w:lang w:eastAsia="en-GB"/>
        </w:rPr>
        <w:t xml:space="preserve"> establishes the problem from a practitioner's perspective (non-expert robot operators facing technical interfaces), narrows it to the specific gap (LLM-based resolution without hallucination risk), and states the three hard constraints (structural safety, deployment independence, native ROS integration) that bound the contribution. It closes with the research questions: can grammar-constrained decoding into a closed annotation graph eliminate out-of-graph goal generation entirely? Does a deployment-log-trained calibration model measurably outperform raw LLM confidence on this task? Does the BT-plugin integration add latency overhead compared to an external-server architecture?</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Chapter 2: Literature Review</w:t>
      </w:r>
      <w:r>
        <w:rPr>
          <w:rFonts w:ascii="Times New Roman" w:eastAsia="Times New Roman" w:hAnsi="Times New Roman" w:cs="Times New Roman"/>
          <w:sz w:val="24"/>
          <w:szCs w:val="24"/>
          <w:lang w:eastAsia="en-GB"/>
        </w:rPr>
        <w:t xml:space="preserve"> surveys 25 papers and 8 patents across five clusters: foundational LLM-navigation systems (LM-Nav, SayCan, NLMap, SayPlan, VLMaps); ROS 2 / Nav2 integration work (Das et al. 2026, Pascual Espada et al. 2025, osmAG copilot); BehaviorTree and LLM coupling (BTGenBot, arXiv:2508.09621); confidence and calibration (KnowNo, SPINE); and on-device LLM inference (Plug-and-Play LLM Knowledge Extraction, LocalNav, FASTNav). Each cluster ends with an explicit identification of the gap it leaves open, which collectively define the contribution. The patent section covers US20230311335A1 (Google SayCan family), US11151992B2 (context-aware robot), US9758305B2 (Locus Robotics semantic mapping), CN106840141A, and the Google process-definition-graph family. The comparison table maps each reference against the five claimed novelties and identifies which are anticipated, partially anticipated, or not addressed.</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Chapter 3: Methodology</w:t>
      </w:r>
      <w:r>
        <w:rPr>
          <w:rFonts w:ascii="Times New Roman" w:eastAsia="Times New Roman" w:hAnsi="Times New Roman" w:cs="Times New Roman"/>
          <w:sz w:val="24"/>
          <w:szCs w:val="24"/>
          <w:lang w:eastAsia="en-GB"/>
        </w:rPr>
        <w:t xml:space="preserve"> describes the four-phase plan with clear deliverables, the experimental design with three conditions and five non-expert participants, the ablation study isolating the closed-set constraint, and the evaluation metrics (top-1 accuracy, ECE, false-rejection rate, false-pass rate, latency distribution). Tools, algorithms, and hardware are specified to the level needed for replication.</w: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The structure across all three chapters is: problem → prior art → gap → contribution → method → evaluation plan. Each section feeds the next without restating what was already said.</w:t>
      </w:r>
    </w:p>
    <w:p w:rsidR="001E75C0" w:rsidRPr="001E75C0" w:rsidRDefault="00901DE2" w:rsidP="001E75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noProof/>
          <w:sz w:val="24"/>
          <w:szCs w:val="24"/>
          <w:lang w:eastAsia="en-GB"/>
        </w:rPr>
        <w:pict>
          <v:rect id="_x0000_i1025" alt="" style="width:451.3pt;height:.05pt;mso-width-percent:0;mso-height-percent:0;mso-width-percent:0;mso-height-percent:0" o:hralign="center" o:hrstd="t" o:hr="t" fillcolor="#a0a0a0" stroked="f"/>
        </w:pict>
      </w:r>
    </w:p>
    <w:p w:rsidR="001E75C0" w:rsidRPr="001E75C0" w:rsidRDefault="001E75C0" w:rsidP="001E75C0">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i/>
          <w:iCs/>
          <w:sz w:val="24"/>
          <w:szCs w:val="24"/>
          <w:lang w:eastAsia="en-GB"/>
        </w:rPr>
        <w:t>This document covers all seven evaluation parameters for Review 2: domain understanding and problem definition (§1), literature and patent review (§2), objectives and scope (§3), methodology (§4), system architecture and experimental design (§5), feasibility, risks, ethics and planning (§6), and report structure (§7). Total: 20 marks.</w:t>
      </w:r>
    </w:p>
    <w:p w:rsidR="0087730A" w:rsidRDefault="0087730A"/>
    <w:sectPr w:rsidR="00877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4ECB"/>
    <w:multiLevelType w:val="multilevel"/>
    <w:tmpl w:val="1AD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E2AAC"/>
    <w:multiLevelType w:val="multilevel"/>
    <w:tmpl w:val="7DB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E673A"/>
    <w:multiLevelType w:val="multilevel"/>
    <w:tmpl w:val="C47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567998">
    <w:abstractNumId w:val="1"/>
  </w:num>
  <w:num w:numId="2" w16cid:durableId="1084495132">
    <w:abstractNumId w:val="2"/>
  </w:num>
  <w:num w:numId="3" w16cid:durableId="377511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5C0"/>
    <w:rsid w:val="001E75C0"/>
    <w:rsid w:val="0087730A"/>
    <w:rsid w:val="00901DE2"/>
    <w:rsid w:val="00B23E15"/>
    <w:rsid w:val="00EE7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4FB8C"/>
  <w15:chartTrackingRefBased/>
  <w15:docId w15:val="{241810A7-77D4-CD4E-B87B-D20DDC87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E15"/>
  </w:style>
  <w:style w:type="paragraph" w:styleId="Heading1">
    <w:name w:val="heading 1"/>
    <w:basedOn w:val="Normal"/>
    <w:next w:val="Normal"/>
    <w:link w:val="Heading1Char"/>
    <w:uiPriority w:val="9"/>
    <w:qFormat/>
    <w:rsid w:val="001E75C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E75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E75C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E75C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E75C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E7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5C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E75C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E75C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E75C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E75C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E7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5C0"/>
    <w:rPr>
      <w:rFonts w:eastAsiaTheme="majorEastAsia" w:cstheme="majorBidi"/>
      <w:color w:val="272727" w:themeColor="text1" w:themeTint="D8"/>
    </w:rPr>
  </w:style>
  <w:style w:type="paragraph" w:styleId="Title">
    <w:name w:val="Title"/>
    <w:basedOn w:val="Normal"/>
    <w:next w:val="Normal"/>
    <w:link w:val="TitleChar"/>
    <w:uiPriority w:val="10"/>
    <w:qFormat/>
    <w:rsid w:val="001E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5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5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75C0"/>
    <w:rPr>
      <w:i/>
      <w:iCs/>
      <w:color w:val="404040" w:themeColor="text1" w:themeTint="BF"/>
    </w:rPr>
  </w:style>
  <w:style w:type="paragraph" w:styleId="ListParagraph">
    <w:name w:val="List Paragraph"/>
    <w:basedOn w:val="Normal"/>
    <w:uiPriority w:val="34"/>
    <w:qFormat/>
    <w:rsid w:val="001E75C0"/>
    <w:pPr>
      <w:ind w:left="720"/>
      <w:contextualSpacing/>
    </w:pPr>
  </w:style>
  <w:style w:type="character" w:styleId="IntenseEmphasis">
    <w:name w:val="Intense Emphasis"/>
    <w:basedOn w:val="DefaultParagraphFont"/>
    <w:uiPriority w:val="21"/>
    <w:qFormat/>
    <w:rsid w:val="001E75C0"/>
    <w:rPr>
      <w:i/>
      <w:iCs/>
      <w:color w:val="365F91" w:themeColor="accent1" w:themeShade="BF"/>
    </w:rPr>
  </w:style>
  <w:style w:type="paragraph" w:styleId="IntenseQuote">
    <w:name w:val="Intense Quote"/>
    <w:basedOn w:val="Normal"/>
    <w:next w:val="Normal"/>
    <w:link w:val="IntenseQuoteChar"/>
    <w:uiPriority w:val="30"/>
    <w:qFormat/>
    <w:rsid w:val="001E75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E75C0"/>
    <w:rPr>
      <w:i/>
      <w:iCs/>
      <w:color w:val="365F91" w:themeColor="accent1" w:themeShade="BF"/>
    </w:rPr>
  </w:style>
  <w:style w:type="character" w:styleId="IntenseReference">
    <w:name w:val="Intense Reference"/>
    <w:basedOn w:val="DefaultParagraphFont"/>
    <w:uiPriority w:val="32"/>
    <w:qFormat/>
    <w:rsid w:val="001E75C0"/>
    <w:rPr>
      <w:b/>
      <w:bCs/>
      <w:smallCaps/>
      <w:color w:val="365F91" w:themeColor="accent1" w:themeShade="BF"/>
      <w:spacing w:val="5"/>
    </w:rPr>
  </w:style>
  <w:style w:type="paragraph" w:styleId="NormalWeb">
    <w:name w:val="Normal (Web)"/>
    <w:basedOn w:val="Normal"/>
    <w:uiPriority w:val="99"/>
    <w:semiHidden/>
    <w:unhideWhenUsed/>
    <w:rsid w:val="001E75C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1E75C0"/>
    <w:rPr>
      <w:rFonts w:ascii="Courier New" w:eastAsia="Times New Roman" w:hAnsi="Courier New" w:cs="Courier New"/>
      <w:sz w:val="20"/>
      <w:szCs w:val="20"/>
    </w:rPr>
  </w:style>
  <w:style w:type="character" w:styleId="Emphasis">
    <w:name w:val="Emphasis"/>
    <w:basedOn w:val="DefaultParagraphFont"/>
    <w:uiPriority w:val="20"/>
    <w:qFormat/>
    <w:rsid w:val="001E75C0"/>
    <w:rPr>
      <w:i/>
      <w:iCs/>
    </w:rPr>
  </w:style>
  <w:style w:type="character" w:styleId="Strong">
    <w:name w:val="Strong"/>
    <w:basedOn w:val="DefaultParagraphFont"/>
    <w:uiPriority w:val="22"/>
    <w:qFormat/>
    <w:rsid w:val="001E75C0"/>
    <w:rPr>
      <w:b/>
      <w:bCs/>
    </w:rPr>
  </w:style>
  <w:style w:type="paragraph" w:styleId="HTMLPreformatted">
    <w:name w:val="HTML Preformatted"/>
    <w:basedOn w:val="Normal"/>
    <w:link w:val="HTMLPreformattedChar"/>
    <w:uiPriority w:val="99"/>
    <w:semiHidden/>
    <w:unhideWhenUsed/>
    <w:rsid w:val="001E75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E75C0"/>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4381</Words>
  <Characters>24978</Characters>
  <Application>Microsoft Office Word</Application>
  <DocSecurity>0</DocSecurity>
  <Lines>208</Lines>
  <Paragraphs>58</Paragraphs>
  <ScaleCrop>false</ScaleCrop>
  <Company/>
  <LinksUpToDate>false</LinksUpToDate>
  <CharactersWithSpaces>29301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Kanad Bhattacharya</dc:creator>
  <cp:keywords/>
  <dc:description/>
  <cp:lastModifiedBy>Kanad Bhattacharya</cp:lastModifiedBy>
  <cp:revision>1</cp:revision>
  <dcterms:created xsi:type="dcterms:W3CDTF">2026-08-18T00:26:00Z</dcterms:created>
  <dcterms:modified xsi:type="dcterms:W3CDTF">2026-08-18T00:27:00Z</dcterms:modified>
</cp:coreProperties>
</file>