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329F" w14:textId="77777777" w:rsidR="00262F29" w:rsidRPr="00F9402A" w:rsidRDefault="00000000">
      <w:pPr>
        <w:pStyle w:val="Title"/>
        <w:jc w:val="center"/>
        <w:rPr>
          <w:rFonts w:cstheme="majorHAnsi"/>
        </w:rPr>
      </w:pPr>
      <w:r w:rsidRPr="00F9402A">
        <w:rPr>
          <w:rFonts w:cstheme="majorHAnsi"/>
        </w:rPr>
        <w:t>Q4 – Reflection and Next Steps</w:t>
      </w:r>
      <w:r w:rsidRPr="00F9402A">
        <w:rPr>
          <w:rFonts w:cstheme="majorHAnsi"/>
        </w:rPr>
        <w:br/>
        <w:t>Mira: AI Project Management Assistant</w:t>
      </w:r>
    </w:p>
    <w:p w14:paraId="31A9E8D6" w14:textId="77777777" w:rsidR="00262F29" w:rsidRPr="00F9402A" w:rsidRDefault="00000000">
      <w:pPr>
        <w:pStyle w:val="Heading1"/>
        <w:rPr>
          <w:rFonts w:cstheme="majorHAnsi"/>
        </w:rPr>
      </w:pPr>
      <w:r w:rsidRPr="00F9402A">
        <w:rPr>
          <w:rFonts w:cstheme="majorHAnsi"/>
        </w:rPr>
        <w:t>1. Reflection</w:t>
      </w:r>
    </w:p>
    <w:p w14:paraId="5E5622F2" w14:textId="5E1CFEBD" w:rsidR="00262F29" w:rsidRPr="00F9402A" w:rsidRDefault="00000000">
      <w:pPr>
        <w:rPr>
          <w:rFonts w:asciiTheme="majorHAnsi" w:hAnsiTheme="majorHAnsi" w:cstheme="majorHAnsi"/>
        </w:rPr>
      </w:pPr>
      <w:r w:rsidRPr="00F9402A">
        <w:rPr>
          <w:rFonts w:asciiTheme="majorHAnsi" w:hAnsiTheme="majorHAnsi" w:cstheme="majorHAnsi"/>
        </w:rPr>
        <w:t>The development of Mira demonstrated that a multi-agent architecture can effectively support common Project Management and Technical Program Management activities such as project planning, risk assessment, status reporting</w:t>
      </w:r>
      <w:r w:rsidR="00F9402A">
        <w:rPr>
          <w:rFonts w:asciiTheme="majorHAnsi" w:hAnsiTheme="majorHAnsi" w:cstheme="majorHAnsi"/>
        </w:rPr>
        <w:t>,</w:t>
      </w:r>
      <w:r w:rsidRPr="00F9402A">
        <w:rPr>
          <w:rFonts w:asciiTheme="majorHAnsi" w:hAnsiTheme="majorHAnsi" w:cstheme="majorHAnsi"/>
        </w:rPr>
        <w:t xml:space="preserve"> and milestone tracking. Rather than relying on a single prompt, specialized agents produced responses that were more focused and easier to maintain. Confidence-based routing significantly reduced hallucinations by encouraging agents to request additional information when the available context was insufficient.</w:t>
      </w:r>
    </w:p>
    <w:p w14:paraId="29878983" w14:textId="77777777" w:rsidR="00262F29" w:rsidRPr="00F9402A" w:rsidRDefault="00000000">
      <w:pPr>
        <w:pStyle w:val="Heading1"/>
        <w:rPr>
          <w:rFonts w:cstheme="majorHAnsi"/>
        </w:rPr>
      </w:pPr>
      <w:r w:rsidRPr="00F9402A">
        <w:rPr>
          <w:rFonts w:cstheme="majorHAnsi"/>
        </w:rPr>
        <w:t>2. Trace Findings and Observability</w:t>
      </w:r>
    </w:p>
    <w:p w14:paraId="4FB33A22" w14:textId="7E6DE848" w:rsidR="00262F29" w:rsidRPr="00F9402A" w:rsidRDefault="00000000">
      <w:pPr>
        <w:rPr>
          <w:rFonts w:asciiTheme="majorHAnsi" w:hAnsiTheme="majorHAnsi" w:cstheme="majorHAnsi"/>
        </w:rPr>
      </w:pPr>
      <w:r w:rsidRPr="00F9402A">
        <w:rPr>
          <w:rFonts w:asciiTheme="majorHAnsi" w:hAnsiTheme="majorHAnsi" w:cstheme="majorHAnsi"/>
        </w:rPr>
        <w:t>Langfuse was integrated to provide AI observability, while Supabase was used for audit logging. During execution of the baseline dataset, Langfuse captured intent classification, confidence scores, selected agent, model information</w:t>
      </w:r>
      <w:r w:rsidR="0035282D">
        <w:rPr>
          <w:rFonts w:asciiTheme="majorHAnsi" w:hAnsiTheme="majorHAnsi" w:cstheme="majorHAnsi"/>
        </w:rPr>
        <w:t>,</w:t>
      </w:r>
      <w:r w:rsidRPr="00F9402A">
        <w:rPr>
          <w:rFonts w:asciiTheme="majorHAnsi" w:hAnsiTheme="majorHAnsi" w:cstheme="majorHAnsi"/>
        </w:rPr>
        <w:t xml:space="preserve"> and generated responses. These traces helped validate routing decisions, analyze prompt behavior</w:t>
      </w:r>
      <w:r w:rsidR="0035282D">
        <w:rPr>
          <w:rFonts w:asciiTheme="majorHAnsi" w:hAnsiTheme="majorHAnsi" w:cstheme="majorHAnsi"/>
        </w:rPr>
        <w:t>,</w:t>
      </w:r>
      <w:r w:rsidRPr="00F9402A">
        <w:rPr>
          <w:rFonts w:asciiTheme="majorHAnsi" w:hAnsiTheme="majorHAnsi" w:cstheme="majorHAnsi"/>
        </w:rPr>
        <w:t xml:space="preserve"> and identify scenarios requiring further improvements. The baseline evaluation demonstrated strong routing performance while exposing a small number of temporal reasoning limitations.</w:t>
      </w:r>
    </w:p>
    <w:p w14:paraId="29CA187F" w14:textId="77777777" w:rsidR="00262F29" w:rsidRPr="00F9402A" w:rsidRDefault="00000000">
      <w:pPr>
        <w:pStyle w:val="Heading1"/>
        <w:rPr>
          <w:rFonts w:cstheme="majorHAnsi"/>
        </w:rPr>
      </w:pPr>
      <w:r w:rsidRPr="00F9402A">
        <w:rPr>
          <w:rFonts w:cstheme="majorHAnsi"/>
        </w:rPr>
        <w:t>3. Key Evaluation Findings</w:t>
      </w:r>
    </w:p>
    <w:tbl>
      <w:tblPr>
        <w:tblStyle w:val="TableGrid"/>
        <w:tblW w:w="0" w:type="auto"/>
        <w:tblLook w:val="04A0" w:firstRow="1" w:lastRow="0" w:firstColumn="1" w:lastColumn="0" w:noHBand="0" w:noVBand="1"/>
      </w:tblPr>
      <w:tblGrid>
        <w:gridCol w:w="4320"/>
        <w:gridCol w:w="4320"/>
      </w:tblGrid>
      <w:tr w:rsidR="00262F29" w:rsidRPr="00F9402A" w14:paraId="38917F82" w14:textId="77777777">
        <w:tc>
          <w:tcPr>
            <w:tcW w:w="4320" w:type="dxa"/>
          </w:tcPr>
          <w:p w14:paraId="491A9A6D" w14:textId="77777777" w:rsidR="00262F29" w:rsidRPr="00F9402A" w:rsidRDefault="00000000">
            <w:pPr>
              <w:rPr>
                <w:rFonts w:asciiTheme="majorHAnsi" w:hAnsiTheme="majorHAnsi" w:cstheme="majorHAnsi"/>
              </w:rPr>
            </w:pPr>
            <w:r w:rsidRPr="00F9402A">
              <w:rPr>
                <w:rFonts w:asciiTheme="majorHAnsi" w:hAnsiTheme="majorHAnsi" w:cstheme="majorHAnsi"/>
              </w:rPr>
              <w:t>Observation</w:t>
            </w:r>
          </w:p>
        </w:tc>
        <w:tc>
          <w:tcPr>
            <w:tcW w:w="4320" w:type="dxa"/>
          </w:tcPr>
          <w:p w14:paraId="1CA31CB8" w14:textId="77777777" w:rsidR="00262F29" w:rsidRPr="00F9402A" w:rsidRDefault="00000000">
            <w:pPr>
              <w:rPr>
                <w:rFonts w:asciiTheme="majorHAnsi" w:hAnsiTheme="majorHAnsi" w:cstheme="majorHAnsi"/>
              </w:rPr>
            </w:pPr>
            <w:r w:rsidRPr="00F9402A">
              <w:rPr>
                <w:rFonts w:asciiTheme="majorHAnsi" w:hAnsiTheme="majorHAnsi" w:cstheme="majorHAnsi"/>
              </w:rPr>
              <w:t>Finding</w:t>
            </w:r>
          </w:p>
        </w:tc>
      </w:tr>
      <w:tr w:rsidR="00262F29" w:rsidRPr="00F9402A" w14:paraId="6861AAE3" w14:textId="77777777">
        <w:tc>
          <w:tcPr>
            <w:tcW w:w="4320" w:type="dxa"/>
          </w:tcPr>
          <w:p w14:paraId="40D56EB3" w14:textId="77777777" w:rsidR="00262F29" w:rsidRPr="00F9402A" w:rsidRDefault="00000000">
            <w:pPr>
              <w:rPr>
                <w:rFonts w:asciiTheme="majorHAnsi" w:hAnsiTheme="majorHAnsi" w:cstheme="majorHAnsi"/>
              </w:rPr>
            </w:pPr>
            <w:r w:rsidRPr="00F9402A">
              <w:rPr>
                <w:rFonts w:asciiTheme="majorHAnsi" w:hAnsiTheme="majorHAnsi" w:cstheme="majorHAnsi"/>
              </w:rPr>
              <w:t>Intent Classification</w:t>
            </w:r>
          </w:p>
        </w:tc>
        <w:tc>
          <w:tcPr>
            <w:tcW w:w="4320" w:type="dxa"/>
          </w:tcPr>
          <w:p w14:paraId="5704A603" w14:textId="77777777" w:rsidR="00262F29" w:rsidRPr="00F9402A" w:rsidRDefault="00000000">
            <w:pPr>
              <w:rPr>
                <w:rFonts w:asciiTheme="majorHAnsi" w:hAnsiTheme="majorHAnsi" w:cstheme="majorHAnsi"/>
              </w:rPr>
            </w:pPr>
            <w:r w:rsidRPr="00F9402A">
              <w:rPr>
                <w:rFonts w:asciiTheme="majorHAnsi" w:hAnsiTheme="majorHAnsi" w:cstheme="majorHAnsi"/>
              </w:rPr>
              <w:t>Correctly routed all baseline evaluation scenarios to the appropriate specialized agent.</w:t>
            </w:r>
          </w:p>
        </w:tc>
      </w:tr>
      <w:tr w:rsidR="00262F29" w:rsidRPr="00F9402A" w14:paraId="39C7ED70" w14:textId="77777777">
        <w:tc>
          <w:tcPr>
            <w:tcW w:w="4320" w:type="dxa"/>
          </w:tcPr>
          <w:p w14:paraId="05E5B297" w14:textId="77777777" w:rsidR="00262F29" w:rsidRPr="00F9402A" w:rsidRDefault="00000000">
            <w:pPr>
              <w:rPr>
                <w:rFonts w:asciiTheme="majorHAnsi" w:hAnsiTheme="majorHAnsi" w:cstheme="majorHAnsi"/>
              </w:rPr>
            </w:pPr>
            <w:r w:rsidRPr="00F9402A">
              <w:rPr>
                <w:rFonts w:asciiTheme="majorHAnsi" w:hAnsiTheme="majorHAnsi" w:cstheme="majorHAnsi"/>
              </w:rPr>
              <w:t>Prompt Engineering</w:t>
            </w:r>
          </w:p>
        </w:tc>
        <w:tc>
          <w:tcPr>
            <w:tcW w:w="4320" w:type="dxa"/>
          </w:tcPr>
          <w:p w14:paraId="58010273" w14:textId="77777777" w:rsidR="00262F29" w:rsidRPr="00F9402A" w:rsidRDefault="00000000">
            <w:pPr>
              <w:rPr>
                <w:rFonts w:asciiTheme="majorHAnsi" w:hAnsiTheme="majorHAnsi" w:cstheme="majorHAnsi"/>
              </w:rPr>
            </w:pPr>
            <w:r w:rsidRPr="00F9402A">
              <w:rPr>
                <w:rFonts w:asciiTheme="majorHAnsi" w:hAnsiTheme="majorHAnsi" w:cstheme="majorHAnsi"/>
              </w:rPr>
              <w:t>Iterative prompt refinement reduced unsupported and hallucinated responses.</w:t>
            </w:r>
          </w:p>
        </w:tc>
      </w:tr>
      <w:tr w:rsidR="00262F29" w:rsidRPr="00F9402A" w14:paraId="39266A63" w14:textId="77777777">
        <w:tc>
          <w:tcPr>
            <w:tcW w:w="4320" w:type="dxa"/>
          </w:tcPr>
          <w:p w14:paraId="45ECBE99" w14:textId="77777777" w:rsidR="00262F29" w:rsidRPr="00F9402A" w:rsidRDefault="00000000">
            <w:pPr>
              <w:rPr>
                <w:rFonts w:asciiTheme="majorHAnsi" w:hAnsiTheme="majorHAnsi" w:cstheme="majorHAnsi"/>
              </w:rPr>
            </w:pPr>
            <w:r w:rsidRPr="00F9402A">
              <w:rPr>
                <w:rFonts w:asciiTheme="majorHAnsi" w:hAnsiTheme="majorHAnsi" w:cstheme="majorHAnsi"/>
              </w:rPr>
              <w:t>Risk Agent</w:t>
            </w:r>
          </w:p>
        </w:tc>
        <w:tc>
          <w:tcPr>
            <w:tcW w:w="4320" w:type="dxa"/>
          </w:tcPr>
          <w:p w14:paraId="2658D66A" w14:textId="231C02A0" w:rsidR="00262F29" w:rsidRPr="00F9402A" w:rsidRDefault="00000000">
            <w:pPr>
              <w:rPr>
                <w:rFonts w:asciiTheme="majorHAnsi" w:hAnsiTheme="majorHAnsi" w:cstheme="majorHAnsi"/>
              </w:rPr>
            </w:pPr>
            <w:r w:rsidRPr="00F9402A">
              <w:rPr>
                <w:rFonts w:asciiTheme="majorHAnsi" w:hAnsiTheme="majorHAnsi" w:cstheme="majorHAnsi"/>
              </w:rPr>
              <w:t xml:space="preserve">Classical RAG improved </w:t>
            </w:r>
            <w:r w:rsidR="00D32218">
              <w:rPr>
                <w:rFonts w:asciiTheme="majorHAnsi" w:hAnsiTheme="majorHAnsi" w:cstheme="majorHAnsi"/>
              </w:rPr>
              <w:t xml:space="preserve">the </w:t>
            </w:r>
            <w:r w:rsidRPr="00F9402A">
              <w:rPr>
                <w:rFonts w:asciiTheme="majorHAnsi" w:hAnsiTheme="majorHAnsi" w:cstheme="majorHAnsi"/>
              </w:rPr>
              <w:t>retrieval of unstructured risk knowledge and produced more grounded recommendations.</w:t>
            </w:r>
          </w:p>
        </w:tc>
      </w:tr>
      <w:tr w:rsidR="00262F29" w:rsidRPr="00F9402A" w14:paraId="485F6C26" w14:textId="77777777">
        <w:tc>
          <w:tcPr>
            <w:tcW w:w="4320" w:type="dxa"/>
          </w:tcPr>
          <w:p w14:paraId="11CC358E" w14:textId="77777777" w:rsidR="00262F29" w:rsidRPr="00F9402A" w:rsidRDefault="00000000">
            <w:pPr>
              <w:rPr>
                <w:rFonts w:asciiTheme="majorHAnsi" w:hAnsiTheme="majorHAnsi" w:cstheme="majorHAnsi"/>
              </w:rPr>
            </w:pPr>
            <w:r w:rsidRPr="00F9402A">
              <w:rPr>
                <w:rFonts w:asciiTheme="majorHAnsi" w:hAnsiTheme="majorHAnsi" w:cstheme="majorHAnsi"/>
              </w:rPr>
              <w:t>Temporal Reasoning</w:t>
            </w:r>
          </w:p>
        </w:tc>
        <w:tc>
          <w:tcPr>
            <w:tcW w:w="4320" w:type="dxa"/>
          </w:tcPr>
          <w:p w14:paraId="622F370A" w14:textId="77777777" w:rsidR="00262F29" w:rsidRPr="00F9402A" w:rsidRDefault="00000000">
            <w:pPr>
              <w:rPr>
                <w:rFonts w:asciiTheme="majorHAnsi" w:hAnsiTheme="majorHAnsi" w:cstheme="majorHAnsi"/>
              </w:rPr>
            </w:pPr>
            <w:r w:rsidRPr="00F9402A">
              <w:rPr>
                <w:rFonts w:asciiTheme="majorHAnsi" w:hAnsiTheme="majorHAnsi" w:cstheme="majorHAnsi"/>
              </w:rPr>
              <w:t>Queries involving relative dates (e.g., 'next two weeks') highlighted the need for runtime date awareness.</w:t>
            </w:r>
          </w:p>
        </w:tc>
      </w:tr>
      <w:tr w:rsidR="00262F29" w:rsidRPr="00F9402A" w14:paraId="17F66A0A" w14:textId="77777777">
        <w:tc>
          <w:tcPr>
            <w:tcW w:w="4320" w:type="dxa"/>
          </w:tcPr>
          <w:p w14:paraId="0FC4CEC4" w14:textId="77777777" w:rsidR="00262F29" w:rsidRPr="00F9402A" w:rsidRDefault="00000000">
            <w:pPr>
              <w:rPr>
                <w:rFonts w:asciiTheme="majorHAnsi" w:hAnsiTheme="majorHAnsi" w:cstheme="majorHAnsi"/>
              </w:rPr>
            </w:pPr>
            <w:r w:rsidRPr="00F9402A">
              <w:rPr>
                <w:rFonts w:asciiTheme="majorHAnsi" w:hAnsiTheme="majorHAnsi" w:cstheme="majorHAnsi"/>
              </w:rPr>
              <w:t>Observability</w:t>
            </w:r>
          </w:p>
        </w:tc>
        <w:tc>
          <w:tcPr>
            <w:tcW w:w="4320" w:type="dxa"/>
          </w:tcPr>
          <w:p w14:paraId="0C3CEA55" w14:textId="77777777" w:rsidR="00262F29" w:rsidRPr="00F9402A" w:rsidRDefault="00000000">
            <w:pPr>
              <w:rPr>
                <w:rFonts w:asciiTheme="majorHAnsi" w:hAnsiTheme="majorHAnsi" w:cstheme="majorHAnsi"/>
              </w:rPr>
            </w:pPr>
            <w:r w:rsidRPr="00F9402A">
              <w:rPr>
                <w:rFonts w:asciiTheme="majorHAnsi" w:hAnsiTheme="majorHAnsi" w:cstheme="majorHAnsi"/>
              </w:rPr>
              <w:t>Langfuse traces simplified debugging and evaluation by exposing routing and response details.</w:t>
            </w:r>
          </w:p>
        </w:tc>
      </w:tr>
    </w:tbl>
    <w:p w14:paraId="634ECD15" w14:textId="77777777" w:rsidR="00262F29" w:rsidRPr="00F9402A" w:rsidRDefault="00000000">
      <w:pPr>
        <w:pStyle w:val="Heading1"/>
        <w:rPr>
          <w:rFonts w:cstheme="majorHAnsi"/>
        </w:rPr>
      </w:pPr>
      <w:r w:rsidRPr="00F9402A">
        <w:rPr>
          <w:rFonts w:cstheme="majorHAnsi"/>
        </w:rPr>
        <w:lastRenderedPageBreak/>
        <w:t>4. Improvement Plan</w:t>
      </w:r>
    </w:p>
    <w:p w14:paraId="611E9B75"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Introduce a hybrid retrieval architecture that bypasses the LLM for simple lookup queries, reducing cost and latency.</w:t>
      </w:r>
    </w:p>
    <w:p w14:paraId="6E3EC8DE"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Add runtime date awareness to improve temporal reasoning for milestone and deadline-related questions.</w:t>
      </w:r>
    </w:p>
    <w:p w14:paraId="79ACE607"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Expand the knowledge base and enhance document chunking strategies for improved retrieval quality.</w:t>
      </w:r>
    </w:p>
    <w:p w14:paraId="7901A4A2"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Leverage advanced Langfuse capabilities such as prompt versioning, automated evaluation datasets and regression testing.</w:t>
      </w:r>
    </w:p>
    <w:p w14:paraId="4F15D210"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Integrate enterprise project management platforms such as Jira or Azure DevOps for real-time project data.</w:t>
      </w:r>
    </w:p>
    <w:p w14:paraId="1328895B" w14:textId="77777777" w:rsidR="00262F29" w:rsidRPr="00F9402A" w:rsidRDefault="00000000">
      <w:pPr>
        <w:pStyle w:val="Heading1"/>
        <w:rPr>
          <w:rFonts w:cstheme="majorHAnsi"/>
        </w:rPr>
      </w:pPr>
      <w:r w:rsidRPr="00F9402A">
        <w:rPr>
          <w:rFonts w:cstheme="majorHAnsi"/>
        </w:rPr>
        <w:t>5. Evaluation and Fine-Tuning Strategy</w:t>
      </w:r>
    </w:p>
    <w:p w14:paraId="152A1DDC" w14:textId="427E1B24" w:rsidR="00262F29" w:rsidRPr="00F9402A" w:rsidRDefault="00000000">
      <w:pPr>
        <w:rPr>
          <w:rFonts w:asciiTheme="majorHAnsi" w:hAnsiTheme="majorHAnsi" w:cstheme="majorHAnsi"/>
        </w:rPr>
      </w:pPr>
      <w:r w:rsidRPr="00F9402A">
        <w:rPr>
          <w:rFonts w:asciiTheme="majorHAnsi" w:hAnsiTheme="majorHAnsi" w:cstheme="majorHAnsi"/>
        </w:rPr>
        <w:t>The current solution was evaluated using a baseline dataset of twelve representative PM/TPM scenarios. Responses were manually reviewed and classified as Pass or Fail, enabling iterative prompt refinement. As future work, evaluation datasets can be automated within Langfuse to continuously monitor regressions, compare prompt versions</w:t>
      </w:r>
      <w:r w:rsidR="0079023E">
        <w:rPr>
          <w:rFonts w:asciiTheme="majorHAnsi" w:hAnsiTheme="majorHAnsi" w:cstheme="majorHAnsi"/>
        </w:rPr>
        <w:t>,</w:t>
      </w:r>
      <w:r w:rsidRPr="00F9402A">
        <w:rPr>
          <w:rFonts w:asciiTheme="majorHAnsi" w:hAnsiTheme="majorHAnsi" w:cstheme="majorHAnsi"/>
        </w:rPr>
        <w:t xml:space="preserve"> and track quality metrics. Production fine-tuning would only be considered after collecting sufficient domain-specific interaction data and validating that prompt engineering and retrieval improvements are no longer sufficient.</w:t>
      </w:r>
    </w:p>
    <w:p w14:paraId="0BC84470" w14:textId="77777777" w:rsidR="00262F29" w:rsidRPr="00F9402A" w:rsidRDefault="00000000">
      <w:pPr>
        <w:pStyle w:val="Heading1"/>
        <w:rPr>
          <w:rFonts w:cstheme="majorHAnsi"/>
        </w:rPr>
      </w:pPr>
      <w:r w:rsidRPr="00F9402A">
        <w:rPr>
          <w:rFonts w:cstheme="majorHAnsi"/>
        </w:rPr>
        <w:t>6. Privacy and Security Considerations</w:t>
      </w:r>
    </w:p>
    <w:p w14:paraId="1CF6230E"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Restrict the knowledge base to approved organizational documents.</w:t>
      </w:r>
    </w:p>
    <w:p w14:paraId="29AB8390"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Exclude confidential or personally identifiable information from prompts whenever possible.</w:t>
      </w:r>
    </w:p>
    <w:p w14:paraId="33E2FCFC"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Maintain audit logs for traceability while enforcing appropriate access controls.</w:t>
      </w:r>
    </w:p>
    <w:p w14:paraId="261028F0"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Apply role-based access to project information and AI-generated outputs.</w:t>
      </w:r>
    </w:p>
    <w:p w14:paraId="54FF4D69" w14:textId="77777777" w:rsidR="00262F29" w:rsidRPr="00F9402A" w:rsidRDefault="00000000">
      <w:pPr>
        <w:pStyle w:val="ListBullet"/>
        <w:rPr>
          <w:rFonts w:asciiTheme="majorHAnsi" w:hAnsiTheme="majorHAnsi" w:cstheme="majorHAnsi"/>
        </w:rPr>
      </w:pPr>
      <w:r w:rsidRPr="00F9402A">
        <w:rPr>
          <w:rFonts w:asciiTheme="majorHAnsi" w:hAnsiTheme="majorHAnsi" w:cstheme="majorHAnsi"/>
        </w:rPr>
        <w:t>Review AI-generated recommendations before making project decisions.</w:t>
      </w:r>
    </w:p>
    <w:p w14:paraId="6149A742" w14:textId="77777777" w:rsidR="00262F29" w:rsidRPr="00F9402A" w:rsidRDefault="00000000">
      <w:pPr>
        <w:pStyle w:val="Heading1"/>
        <w:rPr>
          <w:rFonts w:cstheme="majorHAnsi"/>
        </w:rPr>
      </w:pPr>
      <w:r w:rsidRPr="00F9402A">
        <w:rPr>
          <w:rFonts w:cstheme="majorHAnsi"/>
        </w:rPr>
        <w:t>7. Rollout Strategy for 10 PMs/TPMs</w:t>
      </w:r>
    </w:p>
    <w:p w14:paraId="61A28151" w14:textId="0432165C" w:rsidR="00262F29" w:rsidRPr="00F9402A" w:rsidRDefault="00000000">
      <w:pPr>
        <w:rPr>
          <w:rFonts w:asciiTheme="majorHAnsi" w:hAnsiTheme="majorHAnsi" w:cstheme="majorHAnsi"/>
        </w:rPr>
      </w:pPr>
      <w:r w:rsidRPr="00F9402A">
        <w:rPr>
          <w:rFonts w:asciiTheme="majorHAnsi" w:hAnsiTheme="majorHAnsi" w:cstheme="majorHAnsi"/>
        </w:rPr>
        <w:t>A phased rollout is recommended, beginning with a pilot involving approximately ten Project Managers and Technical Program Managers representing different delivery teams. During the pilot, user feedback, Langfuse traces</w:t>
      </w:r>
      <w:r w:rsidR="009750B2">
        <w:rPr>
          <w:rFonts w:asciiTheme="majorHAnsi" w:hAnsiTheme="majorHAnsi" w:cstheme="majorHAnsi"/>
        </w:rPr>
        <w:t>,</w:t>
      </w:r>
      <w:r w:rsidRPr="00F9402A">
        <w:rPr>
          <w:rFonts w:asciiTheme="majorHAnsi" w:hAnsiTheme="majorHAnsi" w:cstheme="majorHAnsi"/>
        </w:rPr>
        <w:t xml:space="preserve"> and audit logs should be monitored to assess routing accuracy, response quality</w:t>
      </w:r>
      <w:r w:rsidR="009750B2">
        <w:rPr>
          <w:rFonts w:asciiTheme="majorHAnsi" w:hAnsiTheme="majorHAnsi" w:cstheme="majorHAnsi"/>
        </w:rPr>
        <w:t>,</w:t>
      </w:r>
      <w:r w:rsidRPr="00F9402A">
        <w:rPr>
          <w:rFonts w:asciiTheme="majorHAnsi" w:hAnsiTheme="majorHAnsi" w:cstheme="majorHAnsi"/>
        </w:rPr>
        <w:t xml:space="preserve"> and adoption. Prompt refinements and knowledge base improvements should be incorporated before expanding the solution to additional teams. </w:t>
      </w:r>
      <w:r w:rsidR="009750B2">
        <w:rPr>
          <w:rFonts w:asciiTheme="majorHAnsi" w:hAnsiTheme="majorHAnsi" w:cstheme="majorHAnsi"/>
        </w:rPr>
        <w:t>The success</w:t>
      </w:r>
      <w:r w:rsidRPr="00F9402A">
        <w:rPr>
          <w:rFonts w:asciiTheme="majorHAnsi" w:hAnsiTheme="majorHAnsi" w:cstheme="majorHAnsi"/>
        </w:rPr>
        <w:t xml:space="preserve"> of the pilot should be measured through user satisfaction, reduction in manual effort, quality of generated artefacts</w:t>
      </w:r>
      <w:r w:rsidR="009750B2">
        <w:rPr>
          <w:rFonts w:asciiTheme="majorHAnsi" w:hAnsiTheme="majorHAnsi" w:cstheme="majorHAnsi"/>
        </w:rPr>
        <w:t>,</w:t>
      </w:r>
      <w:r w:rsidRPr="00F9402A">
        <w:rPr>
          <w:rFonts w:asciiTheme="majorHAnsi" w:hAnsiTheme="majorHAnsi" w:cstheme="majorHAnsi"/>
        </w:rPr>
        <w:t xml:space="preserve"> and overall adoption.</w:t>
      </w:r>
    </w:p>
    <w:p w14:paraId="0479E46F" w14:textId="77777777" w:rsidR="00744743" w:rsidRDefault="00744743">
      <w:pPr>
        <w:rPr>
          <w:rFonts w:asciiTheme="majorHAnsi" w:hAnsiTheme="majorHAnsi" w:cstheme="majorHAnsi"/>
        </w:rPr>
      </w:pPr>
    </w:p>
    <w:p w14:paraId="4E6AF1FD" w14:textId="2F50C7B6" w:rsidR="00744743" w:rsidRPr="00F9402A" w:rsidRDefault="00097E86" w:rsidP="00744743">
      <w:pPr>
        <w:pStyle w:val="Heading1"/>
        <w:rPr>
          <w:rFonts w:cstheme="majorHAnsi"/>
        </w:rPr>
      </w:pPr>
      <w:r>
        <w:rPr>
          <w:rFonts w:cstheme="majorHAnsi"/>
        </w:rPr>
        <w:lastRenderedPageBreak/>
        <w:t>8</w:t>
      </w:r>
      <w:r w:rsidR="00744743" w:rsidRPr="00F9402A">
        <w:rPr>
          <w:rFonts w:cstheme="majorHAnsi"/>
        </w:rPr>
        <w:t>. Conclusion</w:t>
      </w:r>
    </w:p>
    <w:p w14:paraId="77D266ED" w14:textId="77777777" w:rsidR="00744743" w:rsidRPr="00F9402A" w:rsidRDefault="00744743" w:rsidP="00744743">
      <w:pPr>
        <w:rPr>
          <w:rFonts w:asciiTheme="majorHAnsi" w:hAnsiTheme="majorHAnsi" w:cstheme="majorHAnsi"/>
        </w:rPr>
      </w:pPr>
      <w:r w:rsidRPr="00F9402A">
        <w:rPr>
          <w:rFonts w:asciiTheme="majorHAnsi" w:hAnsiTheme="majorHAnsi" w:cstheme="majorHAnsi"/>
        </w:rPr>
        <w:t>Mira demonstrates how a thoughtfully designed multi-agent AI assistant can improve PM/TPM productivity while maintaining transparency through audit logging and observability. The project also highlights the importance of structured evaluation, prompt engineering</w:t>
      </w:r>
      <w:r>
        <w:rPr>
          <w:rFonts w:asciiTheme="majorHAnsi" w:hAnsiTheme="majorHAnsi" w:cstheme="majorHAnsi"/>
        </w:rPr>
        <w:t>,</w:t>
      </w:r>
      <w:r w:rsidRPr="00F9402A">
        <w:rPr>
          <w:rFonts w:asciiTheme="majorHAnsi" w:hAnsiTheme="majorHAnsi" w:cstheme="majorHAnsi"/>
        </w:rPr>
        <w:t xml:space="preserve"> and targeted use of Retrieval-Augmented Generation. With additional enterprise integrations, automated evaluation</w:t>
      </w:r>
      <w:r>
        <w:rPr>
          <w:rFonts w:asciiTheme="majorHAnsi" w:hAnsiTheme="majorHAnsi" w:cstheme="majorHAnsi"/>
        </w:rPr>
        <w:t>,</w:t>
      </w:r>
      <w:r w:rsidRPr="00F9402A">
        <w:rPr>
          <w:rFonts w:asciiTheme="majorHAnsi" w:hAnsiTheme="majorHAnsi" w:cstheme="majorHAnsi"/>
        </w:rPr>
        <w:t xml:space="preserve"> and broader knowledge sources, Mira can evolve into a scalable AI assistant supporting project delivery across an organization.</w:t>
      </w:r>
    </w:p>
    <w:p w14:paraId="6D7C2381" w14:textId="77777777" w:rsidR="00744743" w:rsidRPr="00F9402A" w:rsidRDefault="00744743">
      <w:pPr>
        <w:rPr>
          <w:rFonts w:asciiTheme="majorHAnsi" w:hAnsiTheme="majorHAnsi" w:cstheme="majorHAnsi"/>
        </w:rPr>
      </w:pPr>
    </w:p>
    <w:sectPr w:rsidR="00744743" w:rsidRPr="00F940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070060">
    <w:abstractNumId w:val="8"/>
  </w:num>
  <w:num w:numId="2" w16cid:durableId="319313697">
    <w:abstractNumId w:val="6"/>
  </w:num>
  <w:num w:numId="3" w16cid:durableId="199974147">
    <w:abstractNumId w:val="5"/>
  </w:num>
  <w:num w:numId="4" w16cid:durableId="464734506">
    <w:abstractNumId w:val="4"/>
  </w:num>
  <w:num w:numId="5" w16cid:durableId="78067799">
    <w:abstractNumId w:val="7"/>
  </w:num>
  <w:num w:numId="6" w16cid:durableId="1278214501">
    <w:abstractNumId w:val="3"/>
  </w:num>
  <w:num w:numId="7" w16cid:durableId="1213737434">
    <w:abstractNumId w:val="2"/>
  </w:num>
  <w:num w:numId="8" w16cid:durableId="252400161">
    <w:abstractNumId w:val="1"/>
  </w:num>
  <w:num w:numId="9" w16cid:durableId="116551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86"/>
    <w:rsid w:val="0015074B"/>
    <w:rsid w:val="00183424"/>
    <w:rsid w:val="00262F29"/>
    <w:rsid w:val="0029639D"/>
    <w:rsid w:val="00326F90"/>
    <w:rsid w:val="0035282D"/>
    <w:rsid w:val="00531298"/>
    <w:rsid w:val="00744743"/>
    <w:rsid w:val="0079023E"/>
    <w:rsid w:val="009750B2"/>
    <w:rsid w:val="00AA1D8D"/>
    <w:rsid w:val="00B3469B"/>
    <w:rsid w:val="00B47730"/>
    <w:rsid w:val="00CB0664"/>
    <w:rsid w:val="00D32218"/>
    <w:rsid w:val="00F94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BD1F062-5343-4E55-B6DF-1608EC13D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 Kanadkhedkar</cp:lastModifiedBy>
  <cp:revision>9</cp:revision>
  <dcterms:created xsi:type="dcterms:W3CDTF">2013-12-23T23:15:00Z</dcterms:created>
  <dcterms:modified xsi:type="dcterms:W3CDTF">2026-07-05T14:10:00Z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285289bc-0ebf-4ff7-bb83-4064dc6bb3ca</vt:lpwstr>
  </property>
</Properties>
</file>