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C71C" w14:textId="77777777" w:rsidR="007F1AB5" w:rsidRPr="006B67F0" w:rsidRDefault="00000000">
      <w:pPr>
        <w:pStyle w:val="Title"/>
        <w:jc w:val="center"/>
        <w:rPr>
          <w:rFonts w:cstheme="majorHAnsi"/>
        </w:rPr>
      </w:pPr>
      <w:r w:rsidRPr="006B67F0">
        <w:rPr>
          <w:rFonts w:cstheme="majorHAnsi"/>
        </w:rPr>
        <w:t>Cost Analysis and Evaluation Strategy</w:t>
      </w:r>
      <w:r w:rsidRPr="006B67F0">
        <w:rPr>
          <w:rFonts w:cstheme="majorHAnsi"/>
        </w:rPr>
        <w:br/>
        <w:t>Mira – AI Project Management Assistant</w:t>
      </w:r>
    </w:p>
    <w:p w14:paraId="4E436E33" w14:textId="77777777" w:rsidR="007F1AB5" w:rsidRPr="006B67F0" w:rsidRDefault="00000000">
      <w:pPr>
        <w:pStyle w:val="Heading1"/>
        <w:rPr>
          <w:rFonts w:cstheme="majorHAnsi"/>
        </w:rPr>
      </w:pPr>
      <w:r w:rsidRPr="006B67F0">
        <w:rPr>
          <w:rFonts w:cstheme="majorHAnsi"/>
        </w:rPr>
        <w:t>Purpose</w:t>
      </w:r>
    </w:p>
    <w:p w14:paraId="0BE787C7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This document describes the evaluation methodology and cost analysis used to validate the Mira AI Project Management Assistant. The solution was evaluated using a structured baseline dataset and monitored using Langfuse for observability while Supabase provided audit logging for every user interaction.</w:t>
      </w:r>
    </w:p>
    <w:p w14:paraId="4C508A53" w14:textId="77777777" w:rsidR="007F1AB5" w:rsidRPr="006B67F0" w:rsidRDefault="00000000">
      <w:pPr>
        <w:pStyle w:val="Heading1"/>
        <w:rPr>
          <w:rFonts w:cstheme="majorHAnsi"/>
        </w:rPr>
      </w:pPr>
      <w:r w:rsidRPr="006B67F0">
        <w:rPr>
          <w:rFonts w:cstheme="majorHAnsi"/>
        </w:rPr>
        <w:t>1. Evaluation Strategy</w:t>
      </w:r>
    </w:p>
    <w:p w14:paraId="48D7725C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t>Intent Classification Accuracy</w:t>
      </w:r>
    </w:p>
    <w:p w14:paraId="0C4B15F5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Objective: </w:t>
      </w:r>
      <w:r w:rsidRPr="006B67F0">
        <w:rPr>
          <w:rFonts w:asciiTheme="majorHAnsi" w:hAnsiTheme="majorHAnsi" w:cstheme="majorHAnsi"/>
        </w:rPr>
        <w:t>Verify that user requests are routed to the correct specialist agent.</w:t>
      </w:r>
    </w:p>
    <w:p w14:paraId="37960603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>Method / Validation:</w:t>
      </w:r>
    </w:p>
    <w:p w14:paraId="117168CD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Compare the selected agent with the expected agent for each baseline test case.</w:t>
      </w:r>
    </w:p>
    <w:p w14:paraId="46CE2D6E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Validate that only one specialist agent is invoked for each request.</w:t>
      </w:r>
    </w:p>
    <w:p w14:paraId="6EB1AE33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Success Criteria: Correct intent detection and correct agent routing.</w:t>
      </w:r>
    </w:p>
    <w:p w14:paraId="3174C12E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t>Response Quality</w:t>
      </w:r>
    </w:p>
    <w:p w14:paraId="6723D5DA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Objective: </w:t>
      </w:r>
      <w:r w:rsidRPr="006B67F0">
        <w:rPr>
          <w:rFonts w:asciiTheme="majorHAnsi" w:hAnsiTheme="majorHAnsi" w:cstheme="majorHAnsi"/>
        </w:rPr>
        <w:t>Assess whether responses satisfy the user's request.</w:t>
      </w:r>
    </w:p>
    <w:p w14:paraId="64D00BB9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>Method / Validation:</w:t>
      </w:r>
    </w:p>
    <w:p w14:paraId="1C5E97E5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Compare generated responses with expected outcomes.</w:t>
      </w:r>
    </w:p>
    <w:p w14:paraId="73F5DDF1" w14:textId="5552BB08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Verify completeness, relevance</w:t>
      </w:r>
      <w:r w:rsidR="006D04C8">
        <w:rPr>
          <w:rFonts w:asciiTheme="majorHAnsi" w:hAnsiTheme="majorHAnsi" w:cstheme="majorHAnsi"/>
        </w:rPr>
        <w:t>,</w:t>
      </w:r>
      <w:r w:rsidRPr="006B67F0">
        <w:rPr>
          <w:rFonts w:asciiTheme="majorHAnsi" w:hAnsiTheme="majorHAnsi" w:cstheme="majorHAnsi"/>
        </w:rPr>
        <w:t xml:space="preserve"> and clarity.</w:t>
      </w:r>
    </w:p>
    <w:p w14:paraId="3A5057C5" w14:textId="2B730D81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Success Criteria: Responses are accurate, relevant</w:t>
      </w:r>
      <w:r w:rsidR="006D04C8">
        <w:rPr>
          <w:rFonts w:asciiTheme="majorHAnsi" w:hAnsiTheme="majorHAnsi" w:cstheme="majorHAnsi"/>
        </w:rPr>
        <w:t>,</w:t>
      </w:r>
      <w:r w:rsidRPr="006B67F0">
        <w:rPr>
          <w:rFonts w:asciiTheme="majorHAnsi" w:hAnsiTheme="majorHAnsi" w:cstheme="majorHAnsi"/>
        </w:rPr>
        <w:t xml:space="preserve"> and sufficiently detailed.</w:t>
      </w:r>
    </w:p>
    <w:p w14:paraId="3743E5BA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t>Grounding Accuracy</w:t>
      </w:r>
    </w:p>
    <w:p w14:paraId="42D0DD26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Objective: </w:t>
      </w:r>
      <w:r w:rsidRPr="006B67F0">
        <w:rPr>
          <w:rFonts w:asciiTheme="majorHAnsi" w:hAnsiTheme="majorHAnsi" w:cstheme="majorHAnsi"/>
        </w:rPr>
        <w:t>Ensure responses are based on project knowledge.</w:t>
      </w:r>
    </w:p>
    <w:p w14:paraId="61C0C6B5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>Method / Validation:</w:t>
      </w:r>
    </w:p>
    <w:p w14:paraId="3B93E7AB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Risk Assessment responses are validated against retrieved documents stored in the Supabase vector database.</w:t>
      </w:r>
    </w:p>
    <w:p w14:paraId="342B63C3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Success Criteria: All factual statements are traceable to project knowledge.</w:t>
      </w:r>
    </w:p>
    <w:p w14:paraId="7F9F051B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lastRenderedPageBreak/>
        <w:t>Hallucination Resistance</w:t>
      </w:r>
    </w:p>
    <w:p w14:paraId="1293D1C6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Objective: </w:t>
      </w:r>
      <w:r w:rsidRPr="006B67F0">
        <w:rPr>
          <w:rFonts w:asciiTheme="majorHAnsi" w:hAnsiTheme="majorHAnsi" w:cstheme="majorHAnsi"/>
        </w:rPr>
        <w:t>Measure the system's ability to avoid unsupported responses.</w:t>
      </w:r>
    </w:p>
    <w:p w14:paraId="4BE3613C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>Method / Validation:</w:t>
      </w:r>
    </w:p>
    <w:p w14:paraId="6D161F80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Execute ambiguous and incomplete requests.</w:t>
      </w:r>
    </w:p>
    <w:p w14:paraId="04C35023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Verify that clarification is requested when sufficient information is unavailable.</w:t>
      </w:r>
    </w:p>
    <w:p w14:paraId="53E61213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Success Criteria: Unsupported conclusions are minimized.</w:t>
      </w:r>
    </w:p>
    <w:p w14:paraId="3C50480E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t>End-to-End Workflow Validation</w:t>
      </w:r>
    </w:p>
    <w:p w14:paraId="6EE9232A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Objective: </w:t>
      </w:r>
      <w:r w:rsidRPr="006B67F0">
        <w:rPr>
          <w:rFonts w:asciiTheme="majorHAnsi" w:hAnsiTheme="majorHAnsi" w:cstheme="majorHAnsi"/>
        </w:rPr>
        <w:t>Validate the complete orchestration workflow.</w:t>
      </w:r>
    </w:p>
    <w:p w14:paraId="00F6F98C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>Method / Validation:</w:t>
      </w:r>
    </w:p>
    <w:p w14:paraId="1DD029EE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User Chat Interface</w:t>
      </w:r>
    </w:p>
    <w:p w14:paraId="55E56089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Intent Classification</w:t>
      </w:r>
    </w:p>
    <w:p w14:paraId="5BB53B47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Confidence Evaluation</w:t>
      </w:r>
    </w:p>
    <w:p w14:paraId="52AFEA4F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Agent Routing</w:t>
      </w:r>
    </w:p>
    <w:p w14:paraId="41BCB888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Specialist Agent Execution</w:t>
      </w:r>
    </w:p>
    <w:p w14:paraId="00001F76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Audit Logging (Supabase)</w:t>
      </w:r>
    </w:p>
    <w:p w14:paraId="1FC3B47B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Observability (Langfuse)</w:t>
      </w:r>
    </w:p>
    <w:p w14:paraId="31EF9885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Success Criteria: Complete workflow executes successfully and produces the expected response.</w:t>
      </w:r>
    </w:p>
    <w:p w14:paraId="4FBAF2AB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t>Observability Validation</w:t>
      </w:r>
    </w:p>
    <w:p w14:paraId="51FC677B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Objective: </w:t>
      </w:r>
      <w:r w:rsidRPr="006B67F0">
        <w:rPr>
          <w:rFonts w:asciiTheme="majorHAnsi" w:hAnsiTheme="majorHAnsi" w:cstheme="majorHAnsi"/>
        </w:rPr>
        <w:t>Verify execution traces are captured correctly.</w:t>
      </w:r>
    </w:p>
    <w:p w14:paraId="5B1ABFF6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>Method / Validation:</w:t>
      </w:r>
    </w:p>
    <w:p w14:paraId="2C4317E3" w14:textId="122FDB96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Validate Input, Output, Selected Agent, Intent, Confidence Score, Latency, Model Information</w:t>
      </w:r>
      <w:r w:rsidR="006D04C8">
        <w:rPr>
          <w:rFonts w:asciiTheme="majorHAnsi" w:hAnsiTheme="majorHAnsi" w:cstheme="majorHAnsi"/>
        </w:rPr>
        <w:t>,</w:t>
      </w:r>
      <w:r w:rsidRPr="006B67F0">
        <w:rPr>
          <w:rFonts w:asciiTheme="majorHAnsi" w:hAnsiTheme="majorHAnsi" w:cstheme="majorHAnsi"/>
        </w:rPr>
        <w:t xml:space="preserve"> and Trace Metadata in Langfuse.</w:t>
      </w:r>
    </w:p>
    <w:p w14:paraId="24F818F0" w14:textId="77777777" w:rsidR="007F1AB5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Success Criteria: Every execution generates a complete trace.</w:t>
      </w:r>
    </w:p>
    <w:p w14:paraId="6CBD52C8" w14:textId="77777777" w:rsidR="007F3C2F" w:rsidRDefault="007F3C2F" w:rsidP="007F3C2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2E000CB9" w14:textId="77777777" w:rsidR="007F3C2F" w:rsidRDefault="007F3C2F" w:rsidP="007F3C2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7BA6599" w14:textId="77777777" w:rsidR="007F3C2F" w:rsidRDefault="007F3C2F" w:rsidP="007F3C2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5A357698" w14:textId="77777777" w:rsidR="007F3C2F" w:rsidRDefault="007F3C2F" w:rsidP="007F3C2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84E84FE" w14:textId="77777777" w:rsidR="007F3C2F" w:rsidRDefault="007F3C2F" w:rsidP="007F3C2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110169F" w14:textId="77777777" w:rsidR="007F3C2F" w:rsidRDefault="007F3C2F" w:rsidP="007F3C2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12A62DF3" w14:textId="77777777" w:rsidR="007F3C2F" w:rsidRDefault="007F3C2F" w:rsidP="007F3C2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2C6942A4" w14:textId="77777777" w:rsidR="007F3C2F" w:rsidRPr="006B67F0" w:rsidRDefault="007F3C2F" w:rsidP="007F3C2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5CE16EE0" w14:textId="77777777" w:rsidR="007F1AB5" w:rsidRPr="006B67F0" w:rsidRDefault="00000000">
      <w:pPr>
        <w:pStyle w:val="Heading1"/>
        <w:rPr>
          <w:rFonts w:cstheme="majorHAnsi"/>
        </w:rPr>
      </w:pPr>
      <w:r w:rsidRPr="006B67F0">
        <w:rPr>
          <w:rFonts w:cstheme="majorHAnsi"/>
        </w:rPr>
        <w:lastRenderedPageBreak/>
        <w:t>2. Evaluation Results</w:t>
      </w:r>
    </w:p>
    <w:p w14:paraId="4F677059" w14:textId="50AF9AEF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The solution was evaluated using the supplied baseline dataset consisting of 12 representative test cases covering project planning, risk assessment, status reporting, milestone tracking, ambiguous requests</w:t>
      </w:r>
      <w:r w:rsidR="006D04C8">
        <w:rPr>
          <w:rFonts w:asciiTheme="majorHAnsi" w:hAnsiTheme="majorHAnsi" w:cstheme="majorHAnsi"/>
        </w:rPr>
        <w:t>,</w:t>
      </w:r>
      <w:r w:rsidRPr="006B67F0">
        <w:rPr>
          <w:rFonts w:asciiTheme="majorHAnsi" w:hAnsiTheme="majorHAnsi" w:cstheme="majorHAnsi"/>
        </w:rPr>
        <w:t xml:space="preserve"> and incomplete information scenarios.</w:t>
      </w:r>
    </w:p>
    <w:p w14:paraId="4E4DF287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Intent classification consistently routed requests to the appropriate specialist agent.</w:t>
      </w:r>
    </w:p>
    <w:p w14:paraId="1F5E09F9" w14:textId="722753A8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Planner, Status Reporter</w:t>
      </w:r>
      <w:r w:rsidR="006D04C8">
        <w:rPr>
          <w:rFonts w:asciiTheme="majorHAnsi" w:hAnsiTheme="majorHAnsi" w:cstheme="majorHAnsi"/>
        </w:rPr>
        <w:t>,</w:t>
      </w:r>
      <w:r w:rsidRPr="006B67F0">
        <w:rPr>
          <w:rFonts w:asciiTheme="majorHAnsi" w:hAnsiTheme="majorHAnsi" w:cstheme="majorHAnsi"/>
        </w:rPr>
        <w:t xml:space="preserve"> and Milestone Tracker successfully answered questions using structured project data.</w:t>
      </w:r>
    </w:p>
    <w:p w14:paraId="75B162A1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The Risk Assessment Agent generated grounded recommendations using Classical RAG.</w:t>
      </w:r>
    </w:p>
    <w:p w14:paraId="3121BE23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Langfuse successfully captured execution traces including latency, routing decisions and model inputs/outputs.</w:t>
      </w:r>
    </w:p>
    <w:p w14:paraId="76882418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Supabase audit logging successfully recorded all user interactions.</w:t>
      </w:r>
    </w:p>
    <w:p w14:paraId="5FDDB5B0" w14:textId="77777777" w:rsidR="007F1AB5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Key Observation: </w:t>
      </w:r>
      <w:r w:rsidRPr="006B67F0">
        <w:rPr>
          <w:rFonts w:asciiTheme="majorHAnsi" w:hAnsiTheme="majorHAnsi" w:cstheme="majorHAnsi"/>
        </w:rPr>
        <w:t>The primary limitation observed involved temporal reasoning. Date-relative questions occasionally produced responses based on milestone dates without explicitly evaluating the current reference date. This represents a reasoning limitation rather than a retrieval issue.</w:t>
      </w:r>
    </w:p>
    <w:p w14:paraId="566DBA9F" w14:textId="77777777" w:rsidR="007F3C2F" w:rsidRDefault="007F3C2F">
      <w:pPr>
        <w:rPr>
          <w:rFonts w:asciiTheme="majorHAnsi" w:hAnsiTheme="majorHAnsi" w:cstheme="majorHAnsi"/>
        </w:rPr>
      </w:pPr>
    </w:p>
    <w:p w14:paraId="107AC7A4" w14:textId="77777777" w:rsidR="007F3C2F" w:rsidRDefault="007F3C2F">
      <w:pPr>
        <w:rPr>
          <w:rFonts w:asciiTheme="majorHAnsi" w:hAnsiTheme="majorHAnsi" w:cstheme="majorHAnsi"/>
        </w:rPr>
      </w:pPr>
    </w:p>
    <w:p w14:paraId="11E1AD51" w14:textId="77777777" w:rsidR="007F3C2F" w:rsidRDefault="007F3C2F">
      <w:pPr>
        <w:rPr>
          <w:rFonts w:asciiTheme="majorHAnsi" w:hAnsiTheme="majorHAnsi" w:cstheme="majorHAnsi"/>
        </w:rPr>
      </w:pPr>
    </w:p>
    <w:p w14:paraId="5E2D93B7" w14:textId="77777777" w:rsidR="007F3C2F" w:rsidRDefault="007F3C2F">
      <w:pPr>
        <w:rPr>
          <w:rFonts w:asciiTheme="majorHAnsi" w:hAnsiTheme="majorHAnsi" w:cstheme="majorHAnsi"/>
        </w:rPr>
      </w:pPr>
    </w:p>
    <w:p w14:paraId="3B142A6E" w14:textId="77777777" w:rsidR="007F3C2F" w:rsidRDefault="007F3C2F">
      <w:pPr>
        <w:rPr>
          <w:rFonts w:asciiTheme="majorHAnsi" w:hAnsiTheme="majorHAnsi" w:cstheme="majorHAnsi"/>
        </w:rPr>
      </w:pPr>
    </w:p>
    <w:p w14:paraId="6BB88019" w14:textId="77777777" w:rsidR="007F3C2F" w:rsidRDefault="007F3C2F">
      <w:pPr>
        <w:rPr>
          <w:rFonts w:asciiTheme="majorHAnsi" w:hAnsiTheme="majorHAnsi" w:cstheme="majorHAnsi"/>
        </w:rPr>
      </w:pPr>
    </w:p>
    <w:p w14:paraId="35BB9283" w14:textId="77777777" w:rsidR="007F3C2F" w:rsidRDefault="007F3C2F">
      <w:pPr>
        <w:rPr>
          <w:rFonts w:asciiTheme="majorHAnsi" w:hAnsiTheme="majorHAnsi" w:cstheme="majorHAnsi"/>
        </w:rPr>
      </w:pPr>
    </w:p>
    <w:p w14:paraId="61893B24" w14:textId="77777777" w:rsidR="007F3C2F" w:rsidRDefault="007F3C2F">
      <w:pPr>
        <w:rPr>
          <w:rFonts w:asciiTheme="majorHAnsi" w:hAnsiTheme="majorHAnsi" w:cstheme="majorHAnsi"/>
        </w:rPr>
      </w:pPr>
    </w:p>
    <w:p w14:paraId="10D71C19" w14:textId="77777777" w:rsidR="007F3C2F" w:rsidRDefault="007F3C2F">
      <w:pPr>
        <w:rPr>
          <w:rFonts w:asciiTheme="majorHAnsi" w:hAnsiTheme="majorHAnsi" w:cstheme="majorHAnsi"/>
        </w:rPr>
      </w:pPr>
    </w:p>
    <w:p w14:paraId="4DDDA284" w14:textId="77777777" w:rsidR="007F3C2F" w:rsidRDefault="007F3C2F">
      <w:pPr>
        <w:rPr>
          <w:rFonts w:asciiTheme="majorHAnsi" w:hAnsiTheme="majorHAnsi" w:cstheme="majorHAnsi"/>
        </w:rPr>
      </w:pPr>
    </w:p>
    <w:p w14:paraId="71E59142" w14:textId="77777777" w:rsidR="007F3C2F" w:rsidRDefault="007F3C2F">
      <w:pPr>
        <w:rPr>
          <w:rFonts w:asciiTheme="majorHAnsi" w:hAnsiTheme="majorHAnsi" w:cstheme="majorHAnsi"/>
        </w:rPr>
      </w:pPr>
    </w:p>
    <w:p w14:paraId="4F2A5EEE" w14:textId="77777777" w:rsidR="007F3C2F" w:rsidRDefault="007F3C2F">
      <w:pPr>
        <w:rPr>
          <w:rFonts w:asciiTheme="majorHAnsi" w:hAnsiTheme="majorHAnsi" w:cstheme="majorHAnsi"/>
        </w:rPr>
      </w:pPr>
    </w:p>
    <w:p w14:paraId="7F651B59" w14:textId="77777777" w:rsidR="007F3C2F" w:rsidRPr="006B67F0" w:rsidRDefault="007F3C2F">
      <w:pPr>
        <w:rPr>
          <w:rFonts w:asciiTheme="majorHAnsi" w:hAnsiTheme="majorHAnsi" w:cstheme="majorHAnsi"/>
        </w:rPr>
      </w:pPr>
    </w:p>
    <w:p w14:paraId="578FFC46" w14:textId="77777777" w:rsidR="007F1AB5" w:rsidRPr="006B67F0" w:rsidRDefault="00000000">
      <w:pPr>
        <w:pStyle w:val="Heading1"/>
        <w:rPr>
          <w:rFonts w:cstheme="majorHAnsi"/>
        </w:rPr>
      </w:pPr>
      <w:r w:rsidRPr="006B67F0">
        <w:rPr>
          <w:rFonts w:cstheme="majorHAnsi"/>
        </w:rPr>
        <w:lastRenderedPageBreak/>
        <w:t>3. Cost Analysis</w:t>
      </w:r>
    </w:p>
    <w:p w14:paraId="49CDF361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The architecture was intentionally designed to balance response quality, explainability and operational cost by invoking only the components required for each request.</w:t>
      </w:r>
    </w:p>
    <w:p w14:paraId="7CFEA3EE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t>Typical Request Flow</w:t>
      </w:r>
    </w:p>
    <w:p w14:paraId="4FE3DD8B" w14:textId="77777777" w:rsidR="007F1AB5" w:rsidRPr="006B67F0" w:rsidRDefault="00000000">
      <w:pPr>
        <w:pStyle w:val="ListNumber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Intent Classification (GPT-4o-mini)</w:t>
      </w:r>
    </w:p>
    <w:p w14:paraId="73B6EF8A" w14:textId="77777777" w:rsidR="007F1AB5" w:rsidRPr="006B67F0" w:rsidRDefault="00000000">
      <w:pPr>
        <w:pStyle w:val="ListNumber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Confidence Evaluation</w:t>
      </w:r>
    </w:p>
    <w:p w14:paraId="4C107D5D" w14:textId="77777777" w:rsidR="007F1AB5" w:rsidRPr="006B67F0" w:rsidRDefault="00000000">
      <w:pPr>
        <w:pStyle w:val="ListNumber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One Specialist Agent (GPT-4o-mini)</w:t>
      </w:r>
    </w:p>
    <w:p w14:paraId="2FA638EB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Risk Assessment requests additionally perform OpenAI embedding generation followed by semantic retrieval from the Supabase pgvector database before GPT-4o-mini generates the final response.</w:t>
      </w:r>
    </w:p>
    <w:p w14:paraId="16E26AF0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t>Primary Cost Drivers</w:t>
      </w:r>
    </w:p>
    <w:p w14:paraId="072D2B51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Intent Classification</w:t>
      </w:r>
    </w:p>
    <w:p w14:paraId="6AE389C1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Specialist Agent response generation</w:t>
      </w:r>
    </w:p>
    <w:p w14:paraId="3628AE52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Embedding generation (Risk Assessment Agent only)</w:t>
      </w:r>
    </w:p>
    <w:p w14:paraId="51B44758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Vector database retrieval</w:t>
      </w:r>
    </w:p>
    <w:p w14:paraId="0C21E6B8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Langfuse trace storage</w:t>
      </w:r>
    </w:p>
    <w:p w14:paraId="0B9CDBF7" w14:textId="77777777" w:rsidR="007F1AB5" w:rsidRPr="006B67F0" w:rsidRDefault="00000000">
      <w:pPr>
        <w:pStyle w:val="Heading2"/>
        <w:rPr>
          <w:rFonts w:cstheme="majorHAnsi"/>
          <w:color w:val="244061" w:themeColor="accent1" w:themeShade="80"/>
        </w:rPr>
      </w:pPr>
      <w:r w:rsidRPr="006B67F0">
        <w:rPr>
          <w:rFonts w:cstheme="majorHAnsi"/>
          <w:color w:val="244061" w:themeColor="accent1" w:themeShade="80"/>
        </w:rPr>
        <w:t>Cost Optimization Measures</w:t>
      </w:r>
    </w:p>
    <w:p w14:paraId="1BAF5246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Intent-Based Routing: </w:t>
      </w:r>
      <w:r w:rsidRPr="006B67F0">
        <w:rPr>
          <w:rFonts w:asciiTheme="majorHAnsi" w:hAnsiTheme="majorHAnsi" w:cstheme="majorHAnsi"/>
        </w:rPr>
        <w:t>Only one specialist agent is executed for each request.</w:t>
      </w:r>
    </w:p>
    <w:p w14:paraId="2FF3FC1B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Selective Classical RAG: </w:t>
      </w:r>
      <w:r w:rsidRPr="006B67F0">
        <w:rPr>
          <w:rFonts w:asciiTheme="majorHAnsi" w:hAnsiTheme="majorHAnsi" w:cstheme="majorHAnsi"/>
        </w:rPr>
        <w:t>Semantic retrieval is implemented only for the Risk Assessment Agent.</w:t>
      </w:r>
    </w:p>
    <w:p w14:paraId="3E1B65E2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Confidence-Based Routing: </w:t>
      </w:r>
      <w:r w:rsidRPr="006B67F0">
        <w:rPr>
          <w:rFonts w:asciiTheme="majorHAnsi" w:hAnsiTheme="majorHAnsi" w:cstheme="majorHAnsi"/>
        </w:rPr>
        <w:t>Low-confidence requests ask for clarification instead of invoking multiple agents.</w:t>
      </w:r>
    </w:p>
    <w:p w14:paraId="3C207348" w14:textId="77777777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Specialized Agent Design: </w:t>
      </w:r>
      <w:r w:rsidRPr="006B67F0">
        <w:rPr>
          <w:rFonts w:asciiTheme="majorHAnsi" w:hAnsiTheme="majorHAnsi" w:cstheme="majorHAnsi"/>
        </w:rPr>
        <w:t>Focused prompts reduce token usage and improve consistency.</w:t>
      </w:r>
    </w:p>
    <w:p w14:paraId="43F36560" w14:textId="77777777" w:rsidR="007F1AB5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  <w:b/>
        </w:rPr>
        <w:t xml:space="preserve">Audit Logging: </w:t>
      </w:r>
      <w:r w:rsidRPr="006B67F0">
        <w:rPr>
          <w:rFonts w:asciiTheme="majorHAnsi" w:hAnsiTheme="majorHAnsi" w:cstheme="majorHAnsi"/>
        </w:rPr>
        <w:t>Operational history is stored in Supabase instead of expanding the LLM context window.</w:t>
      </w:r>
    </w:p>
    <w:p w14:paraId="2C5BFF55" w14:textId="77777777" w:rsidR="007F3C2F" w:rsidRDefault="007F3C2F">
      <w:pPr>
        <w:rPr>
          <w:rFonts w:asciiTheme="majorHAnsi" w:hAnsiTheme="majorHAnsi" w:cstheme="majorHAnsi"/>
        </w:rPr>
      </w:pPr>
    </w:p>
    <w:p w14:paraId="3B14749E" w14:textId="77777777" w:rsidR="007F3C2F" w:rsidRDefault="007F3C2F">
      <w:pPr>
        <w:rPr>
          <w:rFonts w:asciiTheme="majorHAnsi" w:hAnsiTheme="majorHAnsi" w:cstheme="majorHAnsi"/>
        </w:rPr>
      </w:pPr>
    </w:p>
    <w:p w14:paraId="6C8DEF87" w14:textId="77777777" w:rsidR="007F3C2F" w:rsidRDefault="007F3C2F">
      <w:pPr>
        <w:rPr>
          <w:rFonts w:asciiTheme="majorHAnsi" w:hAnsiTheme="majorHAnsi" w:cstheme="majorHAnsi"/>
        </w:rPr>
      </w:pPr>
    </w:p>
    <w:p w14:paraId="386A1441" w14:textId="77777777" w:rsidR="007F3C2F" w:rsidRDefault="007F3C2F">
      <w:pPr>
        <w:rPr>
          <w:rFonts w:asciiTheme="majorHAnsi" w:hAnsiTheme="majorHAnsi" w:cstheme="majorHAnsi"/>
        </w:rPr>
      </w:pPr>
    </w:p>
    <w:p w14:paraId="5620D36C" w14:textId="77777777" w:rsidR="007F3C2F" w:rsidRDefault="007F3C2F">
      <w:pPr>
        <w:rPr>
          <w:rFonts w:asciiTheme="majorHAnsi" w:hAnsiTheme="majorHAnsi" w:cstheme="majorHAnsi"/>
        </w:rPr>
      </w:pPr>
    </w:p>
    <w:p w14:paraId="0DAC6D00" w14:textId="77777777" w:rsidR="007F3C2F" w:rsidRDefault="007F3C2F">
      <w:pPr>
        <w:rPr>
          <w:rFonts w:asciiTheme="majorHAnsi" w:hAnsiTheme="majorHAnsi" w:cstheme="majorHAnsi"/>
        </w:rPr>
      </w:pPr>
    </w:p>
    <w:p w14:paraId="2B7C6943" w14:textId="77777777" w:rsidR="007F3C2F" w:rsidRPr="006B67F0" w:rsidRDefault="007F3C2F">
      <w:pPr>
        <w:rPr>
          <w:rFonts w:asciiTheme="majorHAnsi" w:hAnsiTheme="majorHAnsi" w:cstheme="majorHAnsi"/>
        </w:rPr>
      </w:pPr>
    </w:p>
    <w:p w14:paraId="6B84F401" w14:textId="77777777" w:rsidR="007F1AB5" w:rsidRPr="006B67F0" w:rsidRDefault="00000000">
      <w:pPr>
        <w:pStyle w:val="Heading1"/>
        <w:rPr>
          <w:rFonts w:cstheme="majorHAnsi"/>
        </w:rPr>
      </w:pPr>
      <w:r w:rsidRPr="006B67F0">
        <w:rPr>
          <w:rFonts w:cstheme="majorHAnsi"/>
        </w:rPr>
        <w:lastRenderedPageBreak/>
        <w:t>4. Future Enhancements</w:t>
      </w:r>
    </w:p>
    <w:p w14:paraId="6691CC49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Dynamic tool selection for structured database queries.</w:t>
      </w:r>
    </w:p>
    <w:p w14:paraId="02570B87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Hybrid search combining semantic and keyword retrieval.</w:t>
      </w:r>
    </w:p>
    <w:p w14:paraId="6061E8F2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Automated evaluation datasets in Langfuse.</w:t>
      </w:r>
    </w:p>
    <w:p w14:paraId="273280E2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LLM-as-a-Judge quality scoring.</w:t>
      </w:r>
    </w:p>
    <w:p w14:paraId="578716F9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Human-in-the-loop approval workflows.</w:t>
      </w:r>
    </w:p>
    <w:p w14:paraId="74892320" w14:textId="77777777" w:rsidR="007F1AB5" w:rsidRPr="006B67F0" w:rsidRDefault="00000000">
      <w:pPr>
        <w:pStyle w:val="ListBullet"/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Conversation memory for multi-turn discussions.</w:t>
      </w:r>
    </w:p>
    <w:p w14:paraId="4C156634" w14:textId="77777777" w:rsidR="007F1AB5" w:rsidRPr="006B67F0" w:rsidRDefault="00000000">
      <w:pPr>
        <w:pStyle w:val="Heading1"/>
        <w:rPr>
          <w:rFonts w:cstheme="majorHAnsi"/>
        </w:rPr>
      </w:pPr>
      <w:r w:rsidRPr="006B67F0">
        <w:rPr>
          <w:rFonts w:cstheme="majorHAnsi"/>
        </w:rPr>
        <w:t>5. Conclusion</w:t>
      </w:r>
    </w:p>
    <w:p w14:paraId="6BFEC22A" w14:textId="55B9C4F8" w:rsidR="007F1AB5" w:rsidRPr="006B67F0" w:rsidRDefault="00000000">
      <w:pPr>
        <w:rPr>
          <w:rFonts w:asciiTheme="majorHAnsi" w:hAnsiTheme="majorHAnsi" w:cstheme="majorHAnsi"/>
        </w:rPr>
      </w:pPr>
      <w:r w:rsidRPr="006B67F0">
        <w:rPr>
          <w:rFonts w:asciiTheme="majorHAnsi" w:hAnsiTheme="majorHAnsi" w:cstheme="majorHAnsi"/>
        </w:rPr>
        <w:t>The final implementation demonstrates a practical balance between accuracy, explainability</w:t>
      </w:r>
      <w:r w:rsidR="00F54492">
        <w:rPr>
          <w:rFonts w:asciiTheme="majorHAnsi" w:hAnsiTheme="majorHAnsi" w:cstheme="majorHAnsi"/>
        </w:rPr>
        <w:t>,</w:t>
      </w:r>
      <w:r w:rsidRPr="006B67F0">
        <w:rPr>
          <w:rFonts w:asciiTheme="majorHAnsi" w:hAnsiTheme="majorHAnsi" w:cstheme="majorHAnsi"/>
        </w:rPr>
        <w:t xml:space="preserve"> and cost. Selective use of Classical RAG, confidence-based routing, structured audit logging</w:t>
      </w:r>
      <w:r w:rsidR="00F54492">
        <w:rPr>
          <w:rFonts w:asciiTheme="majorHAnsi" w:hAnsiTheme="majorHAnsi" w:cstheme="majorHAnsi"/>
        </w:rPr>
        <w:t>,</w:t>
      </w:r>
      <w:r w:rsidRPr="006B67F0">
        <w:rPr>
          <w:rFonts w:asciiTheme="majorHAnsi" w:hAnsiTheme="majorHAnsi" w:cstheme="majorHAnsi"/>
        </w:rPr>
        <w:t xml:space="preserve"> and AI observability </w:t>
      </w:r>
      <w:r w:rsidR="00F54492">
        <w:rPr>
          <w:rFonts w:asciiTheme="majorHAnsi" w:hAnsiTheme="majorHAnsi" w:cstheme="majorHAnsi"/>
        </w:rPr>
        <w:t>provides</w:t>
      </w:r>
      <w:r w:rsidRPr="006B67F0">
        <w:rPr>
          <w:rFonts w:asciiTheme="majorHAnsi" w:hAnsiTheme="majorHAnsi" w:cstheme="majorHAnsi"/>
        </w:rPr>
        <w:t xml:space="preserve"> a scalable foundation while keeping operational cost relatively low. The evaluation results indicate that the multi-agent architecture performs reliably across the baseline scenarios and provides clear opportunities for future enhancements.</w:t>
      </w:r>
    </w:p>
    <w:sectPr w:rsidR="007F1AB5" w:rsidRPr="006B67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297776">
    <w:abstractNumId w:val="8"/>
  </w:num>
  <w:num w:numId="2" w16cid:durableId="324749063">
    <w:abstractNumId w:val="6"/>
  </w:num>
  <w:num w:numId="3" w16cid:durableId="732461871">
    <w:abstractNumId w:val="5"/>
  </w:num>
  <w:num w:numId="4" w16cid:durableId="1628127021">
    <w:abstractNumId w:val="4"/>
  </w:num>
  <w:num w:numId="5" w16cid:durableId="1265262225">
    <w:abstractNumId w:val="7"/>
  </w:num>
  <w:num w:numId="6" w16cid:durableId="1923178285">
    <w:abstractNumId w:val="3"/>
  </w:num>
  <w:num w:numId="7" w16cid:durableId="784347202">
    <w:abstractNumId w:val="2"/>
  </w:num>
  <w:num w:numId="8" w16cid:durableId="429011137">
    <w:abstractNumId w:val="1"/>
  </w:num>
  <w:num w:numId="9" w16cid:durableId="71986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5FB"/>
    <w:rsid w:val="00034616"/>
    <w:rsid w:val="0006063C"/>
    <w:rsid w:val="0015074B"/>
    <w:rsid w:val="0029639D"/>
    <w:rsid w:val="00326F90"/>
    <w:rsid w:val="006B67F0"/>
    <w:rsid w:val="006D04C8"/>
    <w:rsid w:val="007F1AB5"/>
    <w:rsid w:val="007F3C2F"/>
    <w:rsid w:val="00AA1D8D"/>
    <w:rsid w:val="00B47730"/>
    <w:rsid w:val="00CB0664"/>
    <w:rsid w:val="00F54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B376E5-E70B-4F83-9869-41742BC0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Mayur Kanadkhedkar</cp:lastModifiedBy>
  <cp:revision>5</cp:revision>
  <dcterms:created xsi:type="dcterms:W3CDTF">2013-12-23T23:15:00Z</dcterms:created>
  <dcterms:modified xsi:type="dcterms:W3CDTF">2026-07-05T14:49:00Z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34e81739-8ac6-4a04-b6b3-5ff7bb52db49</vt:lpwstr>
  </property>
</Properties>
</file>