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6D28D9"/>
          </w:tcPr>
          <w:p>
            <w:pPr>
              <w:spacing w:before="80"/>
              <w:jc w:val="left"/>
            </w:pPr>
            <w:r>
              <w:rPr>
                <w:rFonts w:ascii="Segoe UI" w:hAnsi="Segoe UI"/>
                <w:b/>
                <w:color w:val="FFFFFF"/>
                <w:sz w:val="40"/>
              </w:rPr>
              <w:t>SalaryShield for HR &amp; People Teams</w:t>
            </w:r>
          </w:p>
          <w:p>
            <w:pPr>
              <w:spacing w:after="80"/>
            </w:pPr>
            <w:r>
              <w:rPr>
                <w:rFonts w:ascii="Segoe UI" w:hAnsi="Segoe UI"/>
                <w:i/>
                <w:color w:val="FFFFFF"/>
                <w:sz w:val="22"/>
              </w:rPr>
              <w:t>A comp-planning copilot: turn your annual hike cycle into a location-aware, ROI-justified decision.</w:t>
            </w:r>
          </w:p>
        </w:tc>
      </w:tr>
    </w:tbl>
    <w:p>
      <w:pPr>
        <w:spacing w:after="120" w:before="0"/>
      </w:pPr>
      <w:r>
        <w:rPr>
          <w:rFonts w:ascii="Segoe UI" w:hAnsi="Segoe UI"/>
          <w:b w:val="0"/>
          <w:i w:val="0"/>
          <w:color w:val="1F2937"/>
          <w:sz w:val="20"/>
        </w:rPr>
      </w:r>
    </w:p>
    <w:p>
      <w:pPr>
        <w:spacing w:after="80" w:before="0"/>
      </w:pPr>
      <w:r>
        <w:rPr>
          <w:rFonts w:ascii="Segoe UI" w:hAnsi="Segoe UI"/>
          <w:b/>
          <w:i w:val="0"/>
          <w:color w:val="6D28D9"/>
          <w:sz w:val="26"/>
        </w:rPr>
        <w:t>The problem you're already feeling</w:t>
      </w:r>
    </w:p>
    <w:p>
      <w:pPr>
        <w:spacing w:after="160" w:before="0"/>
      </w:pPr>
      <w:r>
        <w:rPr>
          <w:rFonts w:ascii="Segoe UI" w:hAnsi="Segoe UI"/>
          <w:b w:val="0"/>
          <w:i w:val="0"/>
          <w:color w:val="1F2937"/>
          <w:sz w:val="20"/>
        </w:rPr>
        <w:t>Your annual hike is a flat percentage. But 8% in Mumbai (9.1% inflation) is a real pay cut, while 8% in Pune (6.8%) is a real raise. Nobody budgets for that gap today — so your best people in your most expensive cities leave first, and each exit costs roughly 1.5x annual salary to replace.</w:t>
      </w:r>
    </w:p>
    <w:p>
      <w:pPr>
        <w:spacing w:after="80" w:before="0"/>
      </w:pPr>
      <w:r>
        <w:rPr>
          <w:rFonts w:ascii="Segoe UI" w:hAnsi="Segoe UI"/>
          <w:b/>
          <w:i w:val="0"/>
          <w:color w:val="6D28D9"/>
          <w:sz w:val="26"/>
        </w:rPr>
        <w:t>What SalaryShield gives your team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val="clear" w:fill="6D28D9"/>
          </w:tcPr>
          <w:p>
            <w:r/>
            <w:r>
              <w:rPr>
                <w:rFonts w:ascii="Segoe UI" w:hAnsi="Segoe UI"/>
                <w:b/>
                <w:color w:val="FFFFFF"/>
                <w:sz w:val="17"/>
              </w:rPr>
              <w:t>HR priority</w:t>
            </w:r>
          </w:p>
        </w:tc>
        <w:tc>
          <w:tcPr>
            <w:tcW w:type="dxa" w:w="3312"/>
            <w:shd w:val="clear" w:fill="6D28D9"/>
          </w:tcPr>
          <w:p>
            <w:r/>
            <w:r>
              <w:rPr>
                <w:rFonts w:ascii="Segoe UI" w:hAnsi="Segoe UI"/>
                <w:b/>
                <w:color w:val="FFFFFF"/>
                <w:sz w:val="17"/>
              </w:rPr>
              <w:t>SalaryShield feature</w:t>
            </w:r>
          </w:p>
        </w:tc>
        <w:tc>
          <w:tcPr>
            <w:tcW w:type="dxa" w:w="4320"/>
            <w:shd w:val="clear" w:fill="6D28D9"/>
          </w:tcPr>
          <w:p>
            <w:r/>
            <w:r>
              <w:rPr>
                <w:rFonts w:ascii="Segoe UI" w:hAnsi="Segoe UI"/>
                <w:b/>
                <w:color w:val="FFFFFF"/>
                <w:sz w:val="17"/>
              </w:rPr>
              <w:t>What it shows you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Retention</w:t>
            </w:r>
          </w:p>
        </w:tc>
        <w:tc>
          <w:tcPr>
            <w:tcW w:type="dxa" w:w="3312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Attrition-risk KPI + inflation-lag chart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Which cities / tenure bands are in the high-alert zone right now</w:t>
            </w:r>
          </w:p>
        </w:tc>
      </w:tr>
      <w:tr>
        <w:tc>
          <w:tcPr>
            <w:tcW w:type="dxa" w:w="2160"/>
            <w:shd w:val="clear" w:fill="F1ECFB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Budget planning</w:t>
            </w:r>
          </w:p>
        </w:tc>
        <w:tc>
          <w:tcPr>
            <w:tcW w:type="dxa" w:w="3312"/>
            <w:shd w:val="clear" w:fill="F1ECFB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Live compensation budget simulator</w:t>
            </w:r>
          </w:p>
        </w:tc>
        <w:tc>
          <w:tcPr>
            <w:tcW w:type="dxa" w:w="4320"/>
            <w:shd w:val="clear" w:fill="F1ECFB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Slide a corrective hike % -&gt; exact cost vs. retention ROI, instantly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CFO justification</w:t>
            </w:r>
          </w:p>
        </w:tc>
        <w:tc>
          <w:tcPr>
            <w:tcW w:type="dxa" w:w="3312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ROI multiplier + net savings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"This hike prevents this much replacement cost" — a raise as an investment, not a cost</w:t>
            </w:r>
          </w:p>
        </w:tc>
      </w:tr>
      <w:tr>
        <w:tc>
          <w:tcPr>
            <w:tcW w:type="dxa" w:w="2160"/>
            <w:shd w:val="clear" w:fill="F1ECFB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Location strategy</w:t>
            </w:r>
          </w:p>
        </w:tc>
        <w:tc>
          <w:tcPr>
            <w:tcW w:type="dxa" w:w="3312"/>
            <w:shd w:val="clear" w:fill="F1ECFB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City-level inflation heatmap</w:t>
            </w:r>
          </w:p>
        </w:tc>
        <w:tc>
          <w:tcPr>
            <w:tcW w:type="dxa" w:w="4320"/>
            <w:shd w:val="clear" w:fill="F1ECFB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Which office locations are becoming the most expensive to retain talent 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Pay equity / compliance</w:t>
            </w:r>
          </w:p>
        </w:tc>
        <w:tc>
          <w:tcPr>
            <w:tcW w:type="dxa" w:w="3312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Fairness audit (gender gap, tenure equity, remediation budget)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color w:val="1F2937"/>
                <w:sz w:val="17"/>
              </w:rPr>
              <w:t>A built-in, always-current pay-equity audit trail</w:t>
            </w:r>
          </w:p>
        </w:tc>
      </w:tr>
    </w:tbl>
    <w:p>
      <w:pPr>
        <w:spacing w:after="160" w:before="0"/>
      </w:pPr>
      <w:r>
        <w:rPr>
          <w:rFonts w:ascii="Segoe UI" w:hAnsi="Segoe UI"/>
          <w:b w:val="0"/>
          <w:i w:val="0"/>
          <w:color w:val="1F2937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4896"/>
          </w:tcPr>
          <w:p>
            <w:r/>
            <w:r>
              <w:rPr>
                <w:rFonts w:ascii="Segoe UI" w:hAnsi="Segoe UI"/>
                <w:b/>
                <w:color w:val="0F765C"/>
                <w:sz w:val="22"/>
              </w:rPr>
              <w:t>Why it works</w:t>
            </w:r>
          </w:p>
          <w:p>
            <w:pPr>
              <w:pStyle w:val="ListBullet"/>
              <w:spacing w:after="60"/>
            </w:pPr>
            <w:r>
              <w:rPr>
                <w:rFonts w:ascii="Segoe UI" w:hAnsi="Segoe UI"/>
                <w:b/>
                <w:color w:val="1F2937"/>
                <w:sz w:val="18"/>
              </w:rPr>
              <w:t xml:space="preserve">Replacement-cost framing: </w:t>
            </w:r>
            <w:r>
              <w:rPr>
                <w:rFonts w:ascii="Segoe UI" w:hAnsi="Segoe UI"/>
                <w:color w:val="1F2937"/>
                <w:sz w:val="18"/>
              </w:rPr>
              <w:t>uses ~1.5x annual salary per replaced hire — the number that gets a CFO's attention.</w:t>
            </w:r>
          </w:p>
          <w:p>
            <w:pPr>
              <w:pStyle w:val="ListBullet"/>
              <w:spacing w:after="60"/>
            </w:pPr>
            <w:r>
              <w:rPr>
                <w:rFonts w:ascii="Segoe UI" w:hAnsi="Segoe UI"/>
                <w:b/>
                <w:color w:val="1F2937"/>
                <w:sz w:val="18"/>
              </w:rPr>
              <w:t xml:space="preserve">A live planning tool, not a static report: </w:t>
            </w:r>
            <w:r>
              <w:rPr>
                <w:rFonts w:ascii="Segoe UI" w:hAnsi="Segoe UI"/>
                <w:color w:val="1F2937"/>
                <w:sz w:val="18"/>
              </w:rPr>
              <w:t>move the slider in the room, in the meeting, and get the answer.</w:t>
            </w:r>
          </w:p>
          <w:p>
            <w:pPr>
              <w:pStyle w:val="ListBullet"/>
              <w:spacing w:after="60"/>
            </w:pPr>
            <w:r>
              <w:rPr>
                <w:rFonts w:ascii="Segoe UI" w:hAnsi="Segoe UI"/>
                <w:b/>
                <w:color w:val="1F2937"/>
                <w:sz w:val="18"/>
              </w:rPr>
              <w:t xml:space="preserve">Defensible, not generic: </w:t>
            </w:r>
            <w:r>
              <w:rPr>
                <w:rFonts w:ascii="Segoe UI" w:hAnsi="Segoe UI"/>
                <w:color w:val="1F2937"/>
                <w:sz w:val="18"/>
              </w:rPr>
              <w:t>"Mumbai needs more than Pune" is backed by real cost-of-living data, not a guess.</w:t>
            </w:r>
          </w:p>
          <w:p>
            <w:pPr>
              <w:pStyle w:val="ListBullet"/>
              <w:spacing w:after="60"/>
            </w:pPr>
            <w:r>
              <w:rPr>
                <w:rFonts w:ascii="Segoe UI" w:hAnsi="Segoe UI"/>
                <w:b/>
                <w:color w:val="1F2937"/>
                <w:sz w:val="18"/>
              </w:rPr>
              <w:t xml:space="preserve">Same numbers on both sides: </w:t>
            </w:r>
            <w:r>
              <w:rPr>
                <w:rFonts w:ascii="Segoe UI" w:hAnsi="Segoe UI"/>
                <w:color w:val="1F2937"/>
                <w:sz w:val="18"/>
              </w:rPr>
              <w:t>employees see the identical CLII data in their own portal, cutting negotiation friction.</w:t>
            </w:r>
          </w:p>
        </w:tc>
        <w:tc>
          <w:tcPr>
            <w:tcW w:type="dxa" w:w="4896"/>
          </w:tcPr>
          <w:p>
            <w:r/>
            <w:r>
              <w:rPr>
                <w:rFonts w:ascii="Segoe UI" w:hAnsi="Segoe UI"/>
                <w:b/>
                <w:color w:val="B45309"/>
                <w:sz w:val="22"/>
              </w:rPr>
              <w:t>Honest scope today</w:t>
            </w:r>
          </w:p>
          <w:p>
            <w:pPr>
              <w:pStyle w:val="ListBullet"/>
              <w:spacing w:after="60"/>
            </w:pPr>
            <w:r>
              <w:rPr>
                <w:rFonts w:ascii="Segoe UI" w:hAnsi="Segoe UI"/>
                <w:b/>
                <w:color w:val="1F2937"/>
                <w:sz w:val="18"/>
              </w:rPr>
              <w:t xml:space="preserve">Illustrative models: </w:t>
            </w:r>
            <w:r>
              <w:rPr>
                <w:rFonts w:ascii="Segoe UI" w:hAnsi="Segoe UI"/>
                <w:color w:val="1F2937"/>
                <w:sz w:val="18"/>
              </w:rPr>
              <w:t>attrition-risk and replacement-cost coefficients are not yet fitted to your own exit data.</w:t>
            </w:r>
          </w:p>
          <w:p>
            <w:pPr>
              <w:pStyle w:val="ListBullet"/>
              <w:spacing w:after="60"/>
            </w:pPr>
            <w:r>
              <w:rPr>
                <w:rFonts w:ascii="Segoe UI" w:hAnsi="Segoe UI"/>
                <w:b/>
                <w:color w:val="1F2937"/>
                <w:sz w:val="18"/>
              </w:rPr>
              <w:t xml:space="preserve">Sample workforce data: </w:t>
            </w:r>
            <w:r>
              <w:rPr>
                <w:rFonts w:ascii="Segoe UI" w:hAnsi="Segoe UI"/>
                <w:color w:val="1F2937"/>
                <w:sz w:val="18"/>
              </w:rPr>
              <w:t>pilot deployments would import real headcount via CSV or an HRIS connector.</w:t>
            </w:r>
          </w:p>
          <w:p>
            <w:pPr>
              <w:pStyle w:val="ListBullet"/>
              <w:spacing w:after="60"/>
            </w:pPr>
            <w:r>
              <w:rPr>
                <w:rFonts w:ascii="Segoe UI" w:hAnsi="Segoe UI"/>
                <w:b/>
                <w:color w:val="1F2937"/>
                <w:sz w:val="18"/>
              </w:rPr>
              <w:t xml:space="preserve">No auth/multi-tenant yet: </w:t>
            </w:r>
            <w:r>
              <w:rPr>
                <w:rFonts w:ascii="Segoe UI" w:hAnsi="Segoe UI"/>
                <w:color w:val="1F2937"/>
                <w:sz w:val="18"/>
              </w:rPr>
              <w:t>a production rollout needs SSO and role-based access (HR vs. employee view).</w:t>
            </w:r>
          </w:p>
          <w:p>
            <w:pPr>
              <w:pStyle w:val="ListBullet"/>
              <w:spacing w:after="60"/>
            </w:pPr>
            <w:r>
              <w:rPr>
                <w:rFonts w:ascii="Segoe UI" w:hAnsi="Segoe UI"/>
                <w:b/>
                <w:color w:val="1F2937"/>
                <w:sz w:val="18"/>
              </w:rPr>
              <w:t xml:space="preserve">Live data feeds: </w:t>
            </w:r>
            <w:r>
              <w:rPr>
                <w:rFonts w:ascii="Segoe UI" w:hAnsi="Segoe UI"/>
                <w:color w:val="1F2937"/>
                <w:sz w:val="18"/>
              </w:rPr>
              <w:t>MOSPI / RBI / rental indices are modeled today; live ingestion is the next milestone.</w:t>
            </w:r>
          </w:p>
        </w:tc>
      </w:tr>
    </w:tbl>
    <w:p>
      <w:pPr>
        <w:spacing w:after="160" w:before="0"/>
      </w:pPr>
      <w:r>
        <w:rPr>
          <w:rFonts w:ascii="Segoe UI" w:hAnsi="Segoe UI"/>
          <w:b w:val="0"/>
          <w:i w:val="0"/>
          <w:color w:val="1F2937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F1ECFB"/>
          </w:tcPr>
          <w:p>
            <w:pPr>
              <w:spacing w:before="120" w:after="120"/>
            </w:pPr>
            <w:r>
              <w:rPr>
                <w:rFonts w:ascii="Segoe UI" w:hAnsi="Segoe UI"/>
                <w:b/>
                <w:color w:val="6D28D9"/>
                <w:sz w:val="20"/>
              </w:rPr>
              <w:t xml:space="preserve">Pilot proposal: </w:t>
            </w:r>
            <w:r>
              <w:rPr>
                <w:rFonts w:ascii="Segoe UI" w:hAnsi="Segoe UI"/>
                <w:color w:val="1F2937"/>
                <w:sz w:val="20"/>
              </w:rPr>
              <w:t>run SalaryShield against one business unit's real comp data for one appraisal cycle. Compare the corrective-hike recommendation against your existing flat-percentage plan, and measure the delta in projected attrition risk and budget efficiency.</w:t>
            </w:r>
          </w:p>
        </w:tc>
      </w:tr>
    </w:tbl>
    <w:p>
      <w:pPr>
        <w:spacing w:after="120" w:before="0"/>
      </w:pPr>
      <w:r>
        <w:rPr>
          <w:rFonts w:ascii="Segoe UI" w:hAnsi="Segoe UI"/>
          <w:b w:val="0"/>
          <w:i w:val="0"/>
          <w:color w:val="1F2937"/>
          <w:sz w:val="20"/>
        </w:rPr>
      </w:r>
    </w:p>
    <w:p>
      <w:pPr>
        <w:spacing w:after="80" w:before="0"/>
        <w:jc w:val="center"/>
      </w:pPr>
      <w:r>
        <w:rPr>
          <w:rFonts w:ascii="Segoe UI" w:hAnsi="Segoe UI"/>
          <w:b w:val="0"/>
          <w:i/>
          <w:color w:val="555D6B"/>
          <w:sz w:val="17"/>
        </w:rPr>
        <w:t>SalaryShield  |  React 19 + Vite 8  |  Google Gemini-powered Copilot  |  City-Level Inflation Index (CLII)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