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Segoe UI" w:hAnsi="Segoe UI"/>
          <w:b/>
          <w:i w:val="0"/>
          <w:color w:val="6D28D9"/>
          <w:sz w:val="68"/>
        </w:rPr>
        <w:t>SalaryShield</w:t>
      </w:r>
    </w:p>
    <w:p>
      <w:pPr>
        <w:spacing w:after="280" w:before="0"/>
      </w:pPr>
      <w:r>
        <w:rPr>
          <w:rFonts w:ascii="Segoe UI" w:hAnsi="Segoe UI"/>
          <w:b/>
          <w:i w:val="0"/>
          <w:color w:val="555D6B"/>
          <w:sz w:val="30"/>
        </w:rPr>
        <w:t>AI-Driven, Inflation-Adaptive Compensation Intelligence</w:t>
      </w:r>
    </w:p>
    <w:p>
      <w:pPr>
        <w:spacing w:after="40" w:before="0"/>
      </w:pPr>
      <w:r>
        <w:rPr>
          <w:rFonts w:ascii="Segoe UI" w:hAnsi="Segoe UI"/>
          <w:b/>
          <w:i w:val="0"/>
          <w:color w:val="1F2937"/>
          <w:sz w:val="24"/>
        </w:rPr>
        <w:t>Design &amp; Solution Document</w:t>
      </w:r>
    </w:p>
    <w:p>
      <w:pPr>
        <w:spacing w:after="360" w:before="0"/>
      </w:pPr>
      <w:r>
        <w:rPr>
          <w:rFonts w:ascii="Segoe UI" w:hAnsi="Segoe UI"/>
          <w:b w:val="0"/>
          <w:i/>
          <w:color w:val="555D6B"/>
          <w:sz w:val="21"/>
        </w:rPr>
        <w:t>Hackathon submission — mapped to the 10 scoring parameters</w:t>
      </w:r>
    </w:p>
    <w:p>
      <w:pPr>
        <w:spacing w:after="280" w:before="0"/>
      </w:pPr>
      <w:r>
        <w:rPr>
          <w:rFonts w:ascii="Segoe UI" w:hAnsi="Segoe UI"/>
          <w:b w:val="0"/>
          <w:i w:val="0"/>
          <w:color w:val="1F2937"/>
          <w:sz w:val="22"/>
        </w:rPr>
        <w:t>Quantify real-wage erosion. Justify fair corrections. Retain talent. SalaryShield is a two-sided platform that turns invisible city-level inflation into a fair, data-backed compensation decision for both employees and employers — powered by a City-Level Inflation Index (CLII) and a GenAI Copilot grounded in the user's own numbers.</w:t>
      </w:r>
    </w:p>
    <w:p>
      <w:pPr>
        <w:spacing w:after="120" w:before="0"/>
      </w:pPr>
      <w:r>
        <w:rPr>
          <w:rFonts w:ascii="Segoe UI" w:hAnsi="Segoe UI"/>
          <w:b/>
          <w:i w:val="0"/>
          <w:color w:val="6D28D9"/>
          <w:sz w:val="26"/>
        </w:rPr>
        <w:t>Technology Stack</w:t>
      </w:r>
    </w:p>
    <w:tbl>
      <w:tblPr>
        <w:tblStyle w:val="TableGrid"/>
        <w:tblW w:type="auto" w:w="0"/>
        <w:jc w:val="left"/>
        <w:tblLook w:firstColumn="1" w:firstRow="1" w:lastColumn="0" w:lastRow="0" w:noHBand="0" w:noVBand="1" w:val="04A0"/>
      </w:tblPr>
      <w:tblGrid>
        <w:gridCol w:w="3312"/>
        <w:gridCol w:w="6048"/>
      </w:tblGrid>
      <w:tr>
        <w:tc>
          <w:tcPr>
            <w:tcW w:type="dxa" w:w="3312"/>
            <w:shd w:val="clear" w:fill="6D28D9"/>
          </w:tcPr>
          <w:p>
            <w:r/>
            <w:r>
              <w:rPr>
                <w:rFonts w:ascii="Segoe UI" w:hAnsi="Segoe UI"/>
                <w:b/>
                <w:color w:val="FFFFFF"/>
                <w:sz w:val="19"/>
              </w:rPr>
              <w:t>Layer</w:t>
            </w:r>
          </w:p>
        </w:tc>
        <w:tc>
          <w:tcPr>
            <w:tcW w:type="dxa" w:w="6048"/>
            <w:shd w:val="clear" w:fill="6D28D9"/>
          </w:tcPr>
          <w:p>
            <w:r/>
            <w:r>
              <w:rPr>
                <w:rFonts w:ascii="Segoe UI" w:hAnsi="Segoe UI"/>
                <w:b/>
                <w:color w:val="FFFFFF"/>
                <w:sz w:val="19"/>
              </w:rPr>
              <w:t>Technology</w:t>
            </w:r>
          </w:p>
        </w:tc>
      </w:tr>
      <w:tr>
        <w:tc>
          <w:tcPr>
            <w:tcW w:type="dxa" w:w="3312"/>
            <w:shd w:val="clear" w:fill="F1ECFB"/>
          </w:tcPr>
          <w:p>
            <w:r/>
            <w:r>
              <w:rPr>
                <w:rFonts w:ascii="Segoe UI" w:hAnsi="Segoe UI"/>
                <w:b/>
                <w:color w:val="1F2937"/>
                <w:sz w:val="19"/>
              </w:rPr>
              <w:t>Frontend</w:t>
            </w:r>
          </w:p>
        </w:tc>
        <w:tc>
          <w:tcPr>
            <w:tcW w:type="dxa" w:w="6048"/>
          </w:tcPr>
          <w:p>
            <w:r/>
            <w:r>
              <w:rPr>
                <w:rFonts w:ascii="Segoe UI" w:hAnsi="Segoe UI"/>
                <w:b w:val="0"/>
                <w:color w:val="1F2937"/>
                <w:sz w:val="19"/>
              </w:rPr>
              <w:t>React 19, Vite 8, JavaScript (JSX)</w:t>
            </w:r>
          </w:p>
        </w:tc>
      </w:tr>
      <w:tr>
        <w:tc>
          <w:tcPr>
            <w:tcW w:type="dxa" w:w="3312"/>
            <w:shd w:val="clear" w:fill="F1ECFB"/>
          </w:tcPr>
          <w:p>
            <w:r/>
            <w:r>
              <w:rPr>
                <w:rFonts w:ascii="Segoe UI" w:hAnsi="Segoe UI"/>
                <w:b/>
                <w:color w:val="1F2937"/>
                <w:sz w:val="19"/>
              </w:rPr>
              <w:t>UI / Design</w:t>
            </w:r>
          </w:p>
        </w:tc>
        <w:tc>
          <w:tcPr>
            <w:tcW w:type="dxa" w:w="6048"/>
          </w:tcPr>
          <w:p>
            <w:r/>
            <w:r>
              <w:rPr>
                <w:rFonts w:ascii="Segoe UI" w:hAnsi="Segoe UI"/>
                <w:b w:val="0"/>
                <w:color w:val="1F2937"/>
                <w:sz w:val="19"/>
              </w:rPr>
              <w:t>CSS variables + glassmorphism design system, lucide-react icons</w:t>
            </w:r>
          </w:p>
        </w:tc>
      </w:tr>
      <w:tr>
        <w:tc>
          <w:tcPr>
            <w:tcW w:type="dxa" w:w="3312"/>
            <w:shd w:val="clear" w:fill="F1ECFB"/>
          </w:tcPr>
          <w:p>
            <w:r/>
            <w:r>
              <w:rPr>
                <w:rFonts w:ascii="Segoe UI" w:hAnsi="Segoe UI"/>
                <w:b/>
                <w:color w:val="1F2937"/>
                <w:sz w:val="19"/>
              </w:rPr>
              <w:t>State &amp; Persistence</w:t>
            </w:r>
          </w:p>
        </w:tc>
        <w:tc>
          <w:tcPr>
            <w:tcW w:type="dxa" w:w="6048"/>
          </w:tcPr>
          <w:p>
            <w:r/>
            <w:r>
              <w:rPr>
                <w:rFonts w:ascii="Segoe UI" w:hAnsi="Segoe UI"/>
                <w:b w:val="0"/>
                <w:color w:val="1F2937"/>
                <w:sz w:val="19"/>
              </w:rPr>
              <w:t>React Hooks (useState / useEffect), browser localStorage</w:t>
            </w:r>
          </w:p>
        </w:tc>
      </w:tr>
      <w:tr>
        <w:tc>
          <w:tcPr>
            <w:tcW w:type="dxa" w:w="3312"/>
            <w:shd w:val="clear" w:fill="F1ECFB"/>
          </w:tcPr>
          <w:p>
            <w:r/>
            <w:r>
              <w:rPr>
                <w:rFonts w:ascii="Segoe UI" w:hAnsi="Segoe UI"/>
                <w:b/>
                <w:color w:val="1F2937"/>
                <w:sz w:val="19"/>
              </w:rPr>
              <w:t>Domain / Model</w:t>
            </w:r>
          </w:p>
        </w:tc>
        <w:tc>
          <w:tcPr>
            <w:tcW w:type="dxa" w:w="6048"/>
          </w:tcPr>
          <w:p>
            <w:r/>
            <w:r>
              <w:rPr>
                <w:rFonts w:ascii="Segoe UI" w:hAnsi="Segoe UI"/>
                <w:b w:val="0"/>
                <w:color w:val="1F2937"/>
                <w:sz w:val="19"/>
              </w:rPr>
              <w:t>src/lib/inflation.js — CLII model, analyzeBudget(), savingsSeries(), break-even engine</w:t>
            </w:r>
          </w:p>
        </w:tc>
      </w:tr>
      <w:tr>
        <w:tc>
          <w:tcPr>
            <w:tcW w:type="dxa" w:w="3312"/>
            <w:shd w:val="clear" w:fill="F1ECFB"/>
          </w:tcPr>
          <w:p>
            <w:r/>
            <w:r>
              <w:rPr>
                <w:rFonts w:ascii="Segoe UI" w:hAnsi="Segoe UI"/>
                <w:b/>
                <w:color w:val="1F2937"/>
                <w:sz w:val="19"/>
              </w:rPr>
              <w:t>AI (implemented)</w:t>
            </w:r>
          </w:p>
        </w:tc>
        <w:tc>
          <w:tcPr>
            <w:tcW w:type="dxa" w:w="6048"/>
          </w:tcPr>
          <w:p>
            <w:r/>
            <w:r>
              <w:rPr>
                <w:rFonts w:ascii="Segoe UI" w:hAnsi="Segoe UI"/>
                <w:b w:val="0"/>
                <w:color w:val="1F2937"/>
                <w:sz w:val="19"/>
              </w:rPr>
              <w:t>Grounded GenAI Copilot — user budget + CLII injected as context</w:t>
            </w:r>
          </w:p>
        </w:tc>
      </w:tr>
      <w:tr>
        <w:tc>
          <w:tcPr>
            <w:tcW w:type="dxa" w:w="3312"/>
            <w:shd w:val="clear" w:fill="F1ECFB"/>
          </w:tcPr>
          <w:p>
            <w:r/>
            <w:r>
              <w:rPr>
                <w:rFonts w:ascii="Segoe UI" w:hAnsi="Segoe UI"/>
                <w:b/>
                <w:color w:val="1F2937"/>
                <w:sz w:val="19"/>
              </w:rPr>
              <w:t>AI (roadmap)</w:t>
            </w:r>
          </w:p>
        </w:tc>
        <w:tc>
          <w:tcPr>
            <w:tcW w:type="dxa" w:w="6048"/>
          </w:tcPr>
          <w:p>
            <w:r/>
            <w:r>
              <w:rPr>
                <w:rFonts w:ascii="Segoe UI" w:hAnsi="Segoe UI"/>
                <w:b w:val="0"/>
                <w:color w:val="1F2937"/>
                <w:sz w:val="19"/>
              </w:rPr>
              <w:t>LLM gateway → Claude / Azure OpenAI GPT-4o via server proxy, RAG</w:t>
            </w:r>
          </w:p>
        </w:tc>
      </w:tr>
      <w:tr>
        <w:tc>
          <w:tcPr>
            <w:tcW w:type="dxa" w:w="3312"/>
            <w:shd w:val="clear" w:fill="F1ECFB"/>
          </w:tcPr>
          <w:p>
            <w:r/>
            <w:r>
              <w:rPr>
                <w:rFonts w:ascii="Segoe UI" w:hAnsi="Segoe UI"/>
                <w:b/>
                <w:color w:val="1F2937"/>
                <w:sz w:val="19"/>
              </w:rPr>
              <w:t>Data (roadmap)</w:t>
            </w:r>
          </w:p>
        </w:tc>
        <w:tc>
          <w:tcPr>
            <w:tcW w:type="dxa" w:w="6048"/>
          </w:tcPr>
          <w:p>
            <w:r/>
            <w:r>
              <w:rPr>
                <w:rFonts w:ascii="Segoe UI" w:hAnsi="Segoe UI"/>
                <w:b w:val="0"/>
                <w:color w:val="1F2937"/>
                <w:sz w:val="19"/>
              </w:rPr>
              <w:t>MOSPI CPI, RBI, MagicBricks / 99acres, Zomato / Swiggy ingestion pipeline</w:t>
            </w:r>
          </w:p>
        </w:tc>
      </w:tr>
      <w:tr>
        <w:tc>
          <w:tcPr>
            <w:tcW w:type="dxa" w:w="3312"/>
            <w:shd w:val="clear" w:fill="F1ECFB"/>
          </w:tcPr>
          <w:p>
            <w:r/>
            <w:r>
              <w:rPr>
                <w:rFonts w:ascii="Segoe UI" w:hAnsi="Segoe UI"/>
                <w:b/>
                <w:color w:val="1F2937"/>
                <w:sz w:val="19"/>
              </w:rPr>
              <w:t>Tooling</w:t>
            </w:r>
          </w:p>
        </w:tc>
        <w:tc>
          <w:tcPr>
            <w:tcW w:type="dxa" w:w="6048"/>
          </w:tcPr>
          <w:p>
            <w:r/>
            <w:r>
              <w:rPr>
                <w:rFonts w:ascii="Segoe UI" w:hAnsi="Segoe UI"/>
                <w:b w:val="0"/>
                <w:color w:val="1F2937"/>
                <w:sz w:val="19"/>
              </w:rPr>
              <w:t>oxlint, Vite build (1,779 modules, ~80 KB gzip)</w:t>
            </w:r>
          </w:p>
        </w:tc>
      </w:tr>
    </w:tbl>
    <w:p>
      <w:r>
        <w:br w:type="page"/>
      </w:r>
    </w:p>
    <w:p>
      <w:pPr>
        <w:spacing w:after="120" w:before="0"/>
      </w:pPr>
      <w:r>
        <w:rPr>
          <w:rFonts w:ascii="Segoe UI" w:hAnsi="Segoe UI"/>
          <w:b/>
          <w:i w:val="0"/>
          <w:color w:val="6D28D9"/>
          <w:sz w:val="34"/>
        </w:rPr>
        <w:t>Solution Architecture</w:t>
      </w:r>
    </w:p>
    <w:p>
      <w:pPr>
        <w:spacing w:after="200" w:before="0"/>
      </w:pPr>
      <w:r>
        <w:rPr>
          <w:rFonts w:ascii="Segoe UI" w:hAnsi="Segoe UI"/>
          <w:b w:val="0"/>
          <w:i w:val="0"/>
          <w:color w:val="1F2937"/>
          <w:sz w:val="21"/>
        </w:rPr>
        <w:t>SalaryShield is a layered, model-driven single-page application. The presentation layer hosts five modules; all of them read a single domain model (src/lib/inflation.js), so every metric and every AI answer is computed from one source of truth. Client state is held in React hooks and persisted to localStorage, which is how the user's budget flows from the Budget Planner into the Negotiation Coach and the Copilot. The AI layer and live data-ingestion pipeline are staged on the roadmap behind the same model boundary.</w:t>
      </w:r>
    </w:p>
    <w:p>
      <w:pPr>
        <w:jc w:val="center"/>
      </w:pPr>
      <w:r>
        <w:drawing>
          <wp:inline xmlns:a="http://schemas.openxmlformats.org/drawingml/2006/main" xmlns:pic="http://schemas.openxmlformats.org/drawingml/2006/picture">
            <wp:extent cx="5943600" cy="421455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4214553"/>
                    </a:xfrm>
                    <a:prstGeom prst="rect"/>
                  </pic:spPr>
                </pic:pic>
              </a:graphicData>
            </a:graphic>
          </wp:inline>
        </w:drawing>
      </w:r>
    </w:p>
    <w:p>
      <w:pPr>
        <w:spacing w:after="280" w:before="0"/>
        <w:jc w:val="center"/>
      </w:pPr>
      <w:r>
        <w:rPr>
          <w:rFonts w:ascii="Segoe UI" w:hAnsi="Segoe UI"/>
          <w:b w:val="0"/>
          <w:i/>
          <w:color w:val="555D6B"/>
          <w:sz w:val="18"/>
        </w:rPr>
        <w:t>Figure 1 — SalaryShield layered architecture (roadmap items tagged).</w:t>
      </w:r>
    </w:p>
    <w:p>
      <w:r>
        <w:br w:type="page"/>
      </w:r>
    </w:p>
    <w:p>
      <w:pPr>
        <w:spacing w:after="200" w:before="0"/>
      </w:pPr>
      <w:r>
        <w:rPr>
          <w:rFonts w:ascii="Segoe UI" w:hAnsi="Segoe UI"/>
          <w:b/>
          <w:i w:val="0"/>
          <w:color w:val="6D28D9"/>
          <w:sz w:val="34"/>
        </w:rPr>
        <w:t>Evaluation Against the 10 Scoring Parameters</w:t>
      </w:r>
    </w:p>
    <w:p>
      <w:pPr>
        <w:spacing w:after="60" w:before="160"/>
      </w:pPr>
      <w:r>
        <w:rPr>
          <w:rFonts w:ascii="Segoe UI" w:hAnsi="Segoe UI"/>
          <w:b/>
          <w:i w:val="0"/>
          <w:color w:val="6D28D9"/>
          <w:sz w:val="26"/>
        </w:rPr>
        <w:t>1. Problem Definition</w:t>
      </w:r>
    </w:p>
    <w:p>
      <w:pPr>
        <w:spacing w:after="80" w:before="0"/>
      </w:pPr>
      <w:r>
        <w:rPr>
          <w:rFonts w:ascii="Segoe UI" w:hAnsi="Segoe UI"/>
          <w:b w:val="0"/>
          <w:i/>
          <w:color w:val="555D6B"/>
          <w:sz w:val="21"/>
        </w:rPr>
        <w:t>Nominal salary is not real income. Inflation across India's tech hubs silently erodes purchasing power, yet the national CPI under-represents how urban tech workers actually spend.</w:t>
      </w:r>
    </w:p>
    <w:p>
      <w:pPr>
        <w:pStyle w:val="ListBullet"/>
        <w:spacing w:after="80"/>
      </w:pPr>
      <w:r>
        <w:rPr>
          <w:rFonts w:ascii="Segoe UI" w:hAnsi="Segoe UI"/>
          <w:color w:val="1F2937"/>
          <w:sz w:val="21"/>
        </w:rPr>
        <w:t>Tech-hub inflation is high and uneven — Hyderabad 8.4%, Mumbai 9.1%, Bengaluru 7.9%, Pune 6.8%.</w:t>
      </w:r>
    </w:p>
    <w:p>
      <w:pPr>
        <w:pStyle w:val="ListBullet"/>
        <w:spacing w:after="80"/>
      </w:pPr>
      <w:r>
        <w:rPr>
          <w:rFonts w:ascii="Segoe UI" w:hAnsi="Segoe UI"/>
          <w:color w:val="1F2937"/>
          <w:sz w:val="21"/>
        </w:rPr>
        <w:t>National MOSPI CPI under-weights the urban tech-worker basket: IT-corridor rent, education, food delivery, commute.</w:t>
      </w:r>
    </w:p>
    <w:p>
      <w:pPr>
        <w:pStyle w:val="ListBullet"/>
        <w:spacing w:after="80"/>
      </w:pPr>
      <w:r>
        <w:rPr>
          <w:rFonts w:ascii="Segoe UI" w:hAnsi="Segoe UI"/>
          <w:color w:val="1F2937"/>
          <w:sz w:val="21"/>
        </w:rPr>
        <w:t>Employees cannot quantify their real-wage loss or defend a corrective hike with evidence.</w:t>
      </w:r>
    </w:p>
    <w:p>
      <w:pPr>
        <w:pStyle w:val="ListBullet"/>
        <w:spacing w:after="80"/>
      </w:pPr>
      <w:r>
        <w:rPr>
          <w:rFonts w:ascii="Segoe UI" w:hAnsi="Segoe UI"/>
          <w:color w:val="1F2937"/>
          <w:sz w:val="21"/>
        </w:rPr>
        <w:t>Employers lose talent to inflation lag without city-level visibility — each exit costs roughly Rs.37.5L to replace.</w:t>
      </w:r>
    </w:p>
    <w:p>
      <w:pPr>
        <w:pStyle w:val="ListBullet"/>
        <w:spacing w:after="80"/>
      </w:pPr>
      <w:r>
        <w:rPr>
          <w:rFonts w:ascii="Segoe UI" w:hAnsi="Segoe UI"/>
          <w:b/>
          <w:color w:val="1F2937"/>
          <w:sz w:val="21"/>
        </w:rPr>
        <w:t xml:space="preserve">Outcome: </w:t>
      </w:r>
      <w:r>
        <w:rPr>
          <w:rFonts w:ascii="Segoe UI" w:hAnsi="Segoe UI"/>
          <w:color w:val="1F2937"/>
          <w:sz w:val="21"/>
        </w:rPr>
        <w:t>mis-priced pay, avoidable attrition, and unfair compensation across geographies.</w:t>
      </w:r>
    </w:p>
    <w:p>
      <w:pPr>
        <w:spacing w:after="60" w:before="160"/>
      </w:pPr>
      <w:r>
        <w:rPr>
          <w:rFonts w:ascii="Segoe UI" w:hAnsi="Segoe UI"/>
          <w:b/>
          <w:i w:val="0"/>
          <w:color w:val="6D28D9"/>
          <w:sz w:val="26"/>
        </w:rPr>
        <w:t>2. Solution Architecture</w:t>
      </w:r>
    </w:p>
    <w:p>
      <w:pPr>
        <w:spacing w:after="80" w:before="0"/>
      </w:pPr>
      <w:r>
        <w:rPr>
          <w:rFonts w:ascii="Segoe UI" w:hAnsi="Segoe UI"/>
          <w:b w:val="0"/>
          <w:i/>
          <w:color w:val="555D6B"/>
          <w:sz w:val="21"/>
        </w:rPr>
        <w:t>A layered SPA with a single domain model shared by every module (see Figure 1).</w:t>
      </w:r>
    </w:p>
    <w:p>
      <w:pPr>
        <w:pStyle w:val="ListBullet"/>
        <w:spacing w:after="80"/>
      </w:pPr>
      <w:r>
        <w:rPr>
          <w:rFonts w:ascii="Segoe UI" w:hAnsi="Segoe UI"/>
          <w:b/>
          <w:color w:val="1F2937"/>
          <w:sz w:val="21"/>
        </w:rPr>
        <w:t xml:space="preserve">Presentation: </w:t>
      </w:r>
      <w:r>
        <w:rPr>
          <w:rFonts w:ascii="Segoe UI" w:hAnsi="Segoe UI"/>
          <w:color w:val="1F2937"/>
          <w:sz w:val="21"/>
        </w:rPr>
        <w:t>five React modules — Employer Console, Employee Portal, My Budget &amp; Inflation, CLII Engine, GenAI Copilot.</w:t>
      </w:r>
    </w:p>
    <w:p>
      <w:pPr>
        <w:pStyle w:val="ListBullet"/>
        <w:spacing w:after="80"/>
      </w:pPr>
      <w:r>
        <w:rPr>
          <w:rFonts w:ascii="Segoe UI" w:hAnsi="Segoe UI"/>
          <w:b/>
          <w:color w:val="1F2937"/>
          <w:sz w:val="21"/>
        </w:rPr>
        <w:t xml:space="preserve">Domain model: </w:t>
      </w:r>
      <w:r>
        <w:rPr>
          <w:rFonts w:ascii="Segoe UI" w:hAnsi="Segoe UI"/>
          <w:color w:val="1F2937"/>
          <w:sz w:val="21"/>
        </w:rPr>
        <w:t>src/lib/inflation.js is the single source of truth — CLII data, analyzeBudget(), savingsSeries(), break-even and personal-inflation engine.</w:t>
      </w:r>
    </w:p>
    <w:p>
      <w:pPr>
        <w:pStyle w:val="ListBullet"/>
        <w:spacing w:after="80"/>
      </w:pPr>
      <w:r>
        <w:rPr>
          <w:rFonts w:ascii="Segoe UI" w:hAnsi="Segoe UI"/>
          <w:b/>
          <w:color w:val="1F2937"/>
          <w:sz w:val="21"/>
        </w:rPr>
        <w:t xml:space="preserve">State: </w:t>
      </w:r>
      <w:r>
        <w:rPr>
          <w:rFonts w:ascii="Segoe UI" w:hAnsi="Segoe UI"/>
          <w:color w:val="1F2937"/>
          <w:sz w:val="21"/>
        </w:rPr>
        <w:t>React hooks + localStorage; the user's budget is shared Planner -&gt; Coach -&gt; Copilot.</w:t>
      </w:r>
    </w:p>
    <w:p>
      <w:pPr>
        <w:pStyle w:val="ListBullet"/>
        <w:spacing w:after="80"/>
      </w:pPr>
      <w:r>
        <w:rPr>
          <w:rFonts w:ascii="Segoe UI" w:hAnsi="Segoe UI"/>
          <w:b/>
          <w:color w:val="1F2937"/>
          <w:sz w:val="21"/>
        </w:rPr>
        <w:t xml:space="preserve">Roadmap boundary: </w:t>
      </w:r>
      <w:r>
        <w:rPr>
          <w:rFonts w:ascii="Segoe UI" w:hAnsi="Segoe UI"/>
          <w:color w:val="1F2937"/>
          <w:sz w:val="21"/>
        </w:rPr>
        <w:t>the live LLM gateway and data-ingestion pipeline slot in behind the same model interface.</w:t>
      </w:r>
    </w:p>
    <w:p>
      <w:pPr>
        <w:spacing w:after="60" w:before="160"/>
      </w:pPr>
      <w:r>
        <w:rPr>
          <w:rFonts w:ascii="Segoe UI" w:hAnsi="Segoe UI"/>
          <w:b/>
          <w:i w:val="0"/>
          <w:color w:val="6D28D9"/>
          <w:sz w:val="26"/>
        </w:rPr>
        <w:t>3. Engineering / Build Quality</w:t>
      </w:r>
    </w:p>
    <w:p>
      <w:pPr>
        <w:spacing w:after="80" w:before="0"/>
      </w:pPr>
      <w:r>
        <w:rPr>
          <w:rFonts w:ascii="Segoe UI" w:hAnsi="Segoe UI"/>
          <w:b w:val="0"/>
          <w:i/>
          <w:color w:val="555D6B"/>
          <w:sz w:val="21"/>
        </w:rPr>
        <w:t>The app is clean, verifiable, and production-shaped.</w:t>
      </w:r>
    </w:p>
    <w:p>
      <w:pPr>
        <w:pStyle w:val="ListBullet"/>
        <w:spacing w:after="80"/>
      </w:pPr>
      <w:r>
        <w:rPr>
          <w:rFonts w:ascii="Segoe UI" w:hAnsi="Segoe UI"/>
          <w:color w:val="1F2937"/>
          <w:sz w:val="21"/>
        </w:rPr>
        <w:t>React 19 + Vite 8 SPA; one component per module; CSS-variable design system (glassmorphism).</w:t>
      </w:r>
    </w:p>
    <w:p>
      <w:pPr>
        <w:pStyle w:val="ListBullet"/>
        <w:spacing w:after="80"/>
      </w:pPr>
      <w:r>
        <w:rPr>
          <w:rFonts w:ascii="Segoe UI" w:hAnsi="Segoe UI"/>
          <w:b/>
          <w:color w:val="1F2937"/>
          <w:sz w:val="21"/>
        </w:rPr>
        <w:t xml:space="preserve">DRY: </w:t>
      </w:r>
      <w:r>
        <w:rPr>
          <w:rFonts w:ascii="Segoe UI" w:hAnsi="Segoe UI"/>
          <w:color w:val="1F2937"/>
          <w:sz w:val="21"/>
        </w:rPr>
        <w:t>domain logic extracted into src/lib/inflation.js and reused by three modules.</w:t>
      </w:r>
    </w:p>
    <w:p>
      <w:pPr>
        <w:pStyle w:val="ListBullet"/>
        <w:spacing w:after="80"/>
      </w:pPr>
      <w:r>
        <w:rPr>
          <w:rFonts w:ascii="Segoe UI" w:hAnsi="Segoe UI"/>
          <w:b/>
          <w:color w:val="1F2937"/>
          <w:sz w:val="21"/>
        </w:rPr>
        <w:t xml:space="preserve">Testable: </w:t>
      </w:r>
      <w:r>
        <w:rPr>
          <w:rFonts w:ascii="Segoe UI" w:hAnsi="Segoe UI"/>
          <w:color w:val="1F2937"/>
          <w:sz w:val="21"/>
        </w:rPr>
        <w:t>pure, deterministic functions (analyzeBudget, savingsSeries) — unit-test-ready.</w:t>
      </w:r>
    </w:p>
    <w:p>
      <w:pPr>
        <w:pStyle w:val="ListBullet"/>
        <w:spacing w:after="80"/>
      </w:pPr>
      <w:r>
        <w:rPr>
          <w:rFonts w:ascii="Segoe UI" w:hAnsi="Segoe UI"/>
          <w:b/>
          <w:color w:val="1F2937"/>
          <w:sz w:val="21"/>
        </w:rPr>
        <w:t xml:space="preserve">Verified: </w:t>
      </w:r>
      <w:r>
        <w:rPr>
          <w:rFonts w:ascii="Segoe UI" w:hAnsi="Segoe UI"/>
          <w:color w:val="1F2937"/>
          <w:sz w:val="21"/>
        </w:rPr>
        <w:t>production build passes (1,779 modules, ~80 KB gzip); oxlint clean; localStorage persistence; live in-browser checks with zero console errors.</w:t>
      </w:r>
    </w:p>
    <w:p>
      <w:pPr>
        <w:spacing w:after="60" w:before="160"/>
      </w:pPr>
      <w:r>
        <w:rPr>
          <w:rFonts w:ascii="Segoe UI" w:hAnsi="Segoe UI"/>
          <w:b/>
          <w:i w:val="0"/>
          <w:color w:val="6D28D9"/>
          <w:sz w:val="26"/>
        </w:rPr>
        <w:t>4. AI Appropriateness</w:t>
      </w:r>
    </w:p>
    <w:p>
      <w:pPr>
        <w:spacing w:after="80" w:before="0"/>
      </w:pPr>
      <w:r>
        <w:rPr>
          <w:rFonts w:ascii="Segoe UI" w:hAnsi="Segoe UI"/>
          <w:b w:val="0"/>
          <w:i/>
          <w:color w:val="555D6B"/>
          <w:sz w:val="21"/>
        </w:rPr>
        <w:t>AI is applied only where it adds unique value.</w:t>
      </w:r>
    </w:p>
    <w:p>
      <w:pPr>
        <w:pStyle w:val="ListBullet"/>
        <w:spacing w:after="80"/>
      </w:pPr>
      <w:r>
        <w:rPr>
          <w:rFonts w:ascii="Segoe UI" w:hAnsi="Segoe UI"/>
          <w:color w:val="1F2937"/>
          <w:sz w:val="21"/>
        </w:rPr>
        <w:t>Hard numbers — inflation, break-even, ROI — stay in deterministic code for accuracy and auditability.</w:t>
      </w:r>
    </w:p>
    <w:p>
      <w:pPr>
        <w:pStyle w:val="ListBullet"/>
        <w:spacing w:after="80"/>
      </w:pPr>
      <w:r>
        <w:rPr>
          <w:rFonts w:ascii="Segoe UI" w:hAnsi="Segoe UI"/>
          <w:color w:val="1F2937"/>
          <w:sz w:val="21"/>
        </w:rPr>
        <w:t>The LLM handles what it is uniquely good at: reasoning over those numbers and expressing them in plain language.</w:t>
      </w:r>
    </w:p>
    <w:p>
      <w:pPr>
        <w:pStyle w:val="ListBullet"/>
        <w:spacing w:after="80"/>
      </w:pPr>
      <w:r>
        <w:rPr>
          <w:rFonts w:ascii="Segoe UI" w:hAnsi="Segoe UI"/>
          <w:b/>
          <w:color w:val="1F2937"/>
          <w:sz w:val="21"/>
        </w:rPr>
        <w:t xml:space="preserve">Principle: </w:t>
      </w:r>
      <w:r>
        <w:rPr>
          <w:rFonts w:ascii="Segoe UI" w:hAnsi="Segoe UI"/>
          <w:color w:val="1F2937"/>
          <w:sz w:val="21"/>
        </w:rPr>
        <w:t>the engine computes, the AI explains — no AI-for-AI's-sake and no hallucinated math.</w:t>
      </w:r>
    </w:p>
    <w:p>
      <w:pPr>
        <w:pStyle w:val="ListBullet"/>
        <w:spacing w:after="80"/>
      </w:pPr>
      <w:r>
        <w:rPr>
          <w:rFonts w:ascii="Segoe UI" w:hAnsi="Segoe UI"/>
          <w:color w:val="1F2937"/>
          <w:sz w:val="21"/>
        </w:rPr>
        <w:t>The output is genuinely language-shaped: personalized advice and ready-to-send negotiation scripts.</w:t>
      </w:r>
    </w:p>
    <w:p>
      <w:pPr>
        <w:spacing w:after="60" w:before="160"/>
      </w:pPr>
      <w:r>
        <w:rPr>
          <w:rFonts w:ascii="Segoe UI" w:hAnsi="Segoe UI"/>
          <w:b/>
          <w:i w:val="0"/>
          <w:color w:val="6D28D9"/>
          <w:sz w:val="26"/>
        </w:rPr>
        <w:t>5. AI Implementation</w:t>
      </w:r>
    </w:p>
    <w:p>
      <w:pPr>
        <w:spacing w:after="80" w:before="0"/>
      </w:pPr>
      <w:r>
        <w:rPr>
          <w:rFonts w:ascii="Segoe UI" w:hAnsi="Segoe UI"/>
          <w:b w:val="0"/>
          <w:i/>
          <w:color w:val="555D6B"/>
          <w:sz w:val="21"/>
        </w:rPr>
        <w:t>A grounded, consistent, demo-safe Copilot.</w:t>
      </w:r>
    </w:p>
    <w:p>
      <w:pPr>
        <w:pStyle w:val="ListBullet"/>
        <w:spacing w:after="80"/>
      </w:pPr>
      <w:r>
        <w:rPr>
          <w:rFonts w:ascii="Segoe UI" w:hAnsi="Segoe UI"/>
          <w:color w:val="1F2937"/>
          <w:sz w:val="21"/>
        </w:rPr>
        <w:t>Natural-language Q&amp;A: 'Am I underpaid?', 'What is my attrition risk?'.</w:t>
      </w:r>
    </w:p>
    <w:p>
      <w:pPr>
        <w:pStyle w:val="ListBullet"/>
        <w:spacing w:after="80"/>
      </w:pPr>
      <w:r>
        <w:rPr>
          <w:rFonts w:ascii="Segoe UI" w:hAnsi="Segoe UI"/>
          <w:b/>
          <w:color w:val="1F2937"/>
          <w:sz w:val="21"/>
        </w:rPr>
        <w:t xml:space="preserve">RAG-style grounding: </w:t>
      </w:r>
      <w:r>
        <w:rPr>
          <w:rFonts w:ascii="Segoe UI" w:hAnsi="Segoe UI"/>
          <w:color w:val="1F2937"/>
          <w:sz w:val="21"/>
        </w:rPr>
        <w:t>the user's live budget + CLII data are injected as context, so answers cite the user's real rupee figures rather than model priors.</w:t>
      </w:r>
    </w:p>
    <w:p>
      <w:pPr>
        <w:pStyle w:val="ListBullet"/>
        <w:spacing w:after="80"/>
      </w:pPr>
      <w:r>
        <w:rPr>
          <w:rFonts w:ascii="Segoe UI" w:hAnsi="Segoe UI"/>
          <w:b/>
          <w:color w:val="1F2937"/>
          <w:sz w:val="21"/>
        </w:rPr>
        <w:t xml:space="preserve">Consistency: </w:t>
      </w:r>
      <w:r>
        <w:rPr>
          <w:rFonts w:ascii="Segoe UI" w:hAnsi="Segoe UI"/>
          <w:color w:val="1F2937"/>
          <w:sz w:val="21"/>
        </w:rPr>
        <w:t>Budget Planner, Negotiation Coach and Copilot all read the same model — one data story.</w:t>
      </w:r>
    </w:p>
    <w:p>
      <w:pPr>
        <w:pStyle w:val="ListBullet"/>
        <w:spacing w:after="80"/>
      </w:pPr>
      <w:r>
        <w:rPr>
          <w:rFonts w:ascii="Segoe UI" w:hAnsi="Segoe UI"/>
          <w:b/>
          <w:color w:val="1F2937"/>
          <w:sz w:val="21"/>
        </w:rPr>
        <w:t xml:space="preserve">Roadmap: </w:t>
      </w:r>
      <w:r>
        <w:rPr>
          <w:rFonts w:ascii="Segoe UI" w:hAnsi="Segoe UI"/>
          <w:color w:val="1F2937"/>
          <w:sz w:val="21"/>
        </w:rPr>
        <w:t>LLM gateway (Claude / Azure OpenAI GPT-4o) behind a server proxy, with a deterministic fallback so the demo survives offline.</w:t>
      </w:r>
    </w:p>
    <w:p>
      <w:pPr>
        <w:spacing w:after="60" w:before="160"/>
      </w:pPr>
      <w:r>
        <w:rPr>
          <w:rFonts w:ascii="Segoe UI" w:hAnsi="Segoe UI"/>
          <w:b/>
          <w:i w:val="0"/>
          <w:color w:val="6D28D9"/>
          <w:sz w:val="26"/>
        </w:rPr>
        <w:t>6. AI Impact</w:t>
      </w:r>
    </w:p>
    <w:p>
      <w:pPr>
        <w:spacing w:after="80" w:before="0"/>
      </w:pPr>
      <w:r>
        <w:rPr>
          <w:rFonts w:ascii="Segoe UI" w:hAnsi="Segoe UI"/>
          <w:b w:val="0"/>
          <w:i/>
          <w:color w:val="555D6B"/>
          <w:sz w:val="21"/>
        </w:rPr>
        <w:t>Invisible loss becomes a clear, immediate action.</w:t>
      </w:r>
    </w:p>
    <w:p>
      <w:pPr>
        <w:pStyle w:val="ListBullet"/>
        <w:spacing w:after="80"/>
      </w:pPr>
      <w:r>
        <w:rPr>
          <w:rFonts w:ascii="Segoe UI" w:hAnsi="Segoe UI"/>
          <w:b/>
          <w:color w:val="1F2937"/>
          <w:sz w:val="21"/>
        </w:rPr>
        <w:t xml:space="preserve">Employee: </w:t>
      </w:r>
      <w:r>
        <w:rPr>
          <w:rFonts w:ascii="Segoe UI" w:hAnsi="Segoe UI"/>
          <w:color w:val="1F2937"/>
          <w:sz w:val="21"/>
        </w:rPr>
        <w:t>surfaces a hidden ~Rs.1.03L/yr loss and generates a copy-paste, data-backed pitch — improving raise success.</w:t>
      </w:r>
    </w:p>
    <w:p>
      <w:pPr>
        <w:pStyle w:val="ListBullet"/>
        <w:spacing w:after="80"/>
      </w:pPr>
      <w:r>
        <w:rPr>
          <w:rFonts w:ascii="Segoe UI" w:hAnsi="Segoe UI"/>
          <w:b/>
          <w:color w:val="1F2937"/>
          <w:sz w:val="21"/>
        </w:rPr>
        <w:t xml:space="preserve">Employer: </w:t>
      </w:r>
      <w:r>
        <w:rPr>
          <w:rFonts w:ascii="Segoe UI" w:hAnsi="Segoe UI"/>
          <w:color w:val="1F2937"/>
          <w:sz w:val="21"/>
        </w:rPr>
        <w:t>converts attrition risk into ROI — retain a key hire and avoid ~Rs.37.5L in replacement cost.</w:t>
      </w:r>
    </w:p>
    <w:p>
      <w:pPr>
        <w:pStyle w:val="ListBullet"/>
        <w:spacing w:after="80"/>
      </w:pPr>
      <w:r>
        <w:rPr>
          <w:rFonts w:ascii="Segoe UI" w:hAnsi="Segoe UI"/>
          <w:b/>
          <w:color w:val="1F2937"/>
          <w:sz w:val="21"/>
        </w:rPr>
        <w:t xml:space="preserve">Insight: </w:t>
      </w:r>
      <w:r>
        <w:rPr>
          <w:rFonts w:ascii="Segoe UI" w:hAnsi="Segoe UI"/>
          <w:color w:val="1F2937"/>
          <w:sz w:val="21"/>
        </w:rPr>
        <w:t>personalized inflation (e.g. 7.7% vs a 8.4% city average) that no generic calculator provides.</w:t>
      </w:r>
    </w:p>
    <w:p>
      <w:pPr>
        <w:pStyle w:val="ListBullet"/>
        <w:spacing w:after="80"/>
      </w:pPr>
      <w:r>
        <w:rPr>
          <w:rFonts w:ascii="Segoe UI" w:hAnsi="Segoe UI"/>
          <w:color w:val="1F2937"/>
          <w:sz w:val="21"/>
        </w:rPr>
        <w:t>Data becomes a decision in seconds, for both the individual and the organization.</w:t>
      </w:r>
    </w:p>
    <w:p>
      <w:pPr>
        <w:spacing w:after="60" w:before="160"/>
      </w:pPr>
      <w:r>
        <w:rPr>
          <w:rFonts w:ascii="Segoe UI" w:hAnsi="Segoe UI"/>
          <w:b/>
          <w:i w:val="0"/>
          <w:color w:val="6D28D9"/>
          <w:sz w:val="26"/>
        </w:rPr>
        <w:t>7. Business Relevance</w:t>
      </w:r>
    </w:p>
    <w:p>
      <w:pPr>
        <w:spacing w:after="80" w:before="0"/>
      </w:pPr>
      <w:r>
        <w:rPr>
          <w:rFonts w:ascii="Segoe UI" w:hAnsi="Segoe UI"/>
          <w:b w:val="0"/>
          <w:i/>
          <w:color w:val="555D6B"/>
          <w:sz w:val="21"/>
        </w:rPr>
        <w:t>A large, recurring, two-sided need.</w:t>
      </w:r>
    </w:p>
    <w:p>
      <w:pPr>
        <w:pStyle w:val="ListBullet"/>
        <w:spacing w:after="80"/>
      </w:pPr>
      <w:r>
        <w:rPr>
          <w:rFonts w:ascii="Segoe UI" w:hAnsi="Segoe UI"/>
          <w:color w:val="1F2937"/>
          <w:sz w:val="21"/>
        </w:rPr>
        <w:t>Addressable users: 5M+ Indian IT professionals and every enterprise running India delivery centers.</w:t>
      </w:r>
    </w:p>
    <w:p>
      <w:pPr>
        <w:pStyle w:val="ListBullet"/>
        <w:spacing w:after="80"/>
      </w:pPr>
      <w:r>
        <w:rPr>
          <w:rFonts w:ascii="Segoe UI" w:hAnsi="Segoe UI"/>
          <w:color w:val="1F2937"/>
          <w:sz w:val="21"/>
        </w:rPr>
        <w:t>The pain is universal and recurring — it resurfaces at every appraisal cycle.</w:t>
      </w:r>
    </w:p>
    <w:p>
      <w:pPr>
        <w:pStyle w:val="ListBullet"/>
        <w:spacing w:after="80"/>
      </w:pPr>
      <w:r>
        <w:rPr>
          <w:rFonts w:ascii="Segoe UI" w:hAnsi="Segoe UI"/>
          <w:color w:val="1F2937"/>
          <w:sz w:val="21"/>
        </w:rPr>
        <w:t>Maps directly to top HR priorities: retention, pay equity, and compensation-budget optimization.</w:t>
      </w:r>
    </w:p>
    <w:p>
      <w:pPr>
        <w:pStyle w:val="ListBullet"/>
        <w:spacing w:after="80"/>
      </w:pPr>
      <w:r>
        <w:rPr>
          <w:rFonts w:ascii="Segoe UI" w:hAnsi="Segoe UI"/>
          <w:color w:val="1F2937"/>
          <w:sz w:val="21"/>
        </w:rPr>
        <w:t>Two-sided design gives both employee and employer a reason to adopt.</w:t>
      </w:r>
    </w:p>
    <w:p>
      <w:pPr>
        <w:spacing w:after="60" w:before="160"/>
      </w:pPr>
      <w:r>
        <w:rPr>
          <w:rFonts w:ascii="Segoe UI" w:hAnsi="Segoe UI"/>
          <w:b/>
          <w:i w:val="0"/>
          <w:color w:val="6D28D9"/>
          <w:sz w:val="26"/>
        </w:rPr>
        <w:t>8. Benefits &amp; Viability</w:t>
      </w:r>
    </w:p>
    <w:p>
      <w:pPr>
        <w:spacing w:after="80" w:before="0"/>
      </w:pPr>
      <w:r>
        <w:rPr>
          <w:rFonts w:ascii="Segoe UI" w:hAnsi="Segoe UI"/>
          <w:b w:val="0"/>
          <w:i/>
          <w:color w:val="555D6B"/>
          <w:sz w:val="21"/>
        </w:rPr>
        <w:t>A clear model with low cost and a real data moat.</w:t>
      </w:r>
    </w:p>
    <w:p>
      <w:pPr>
        <w:pStyle w:val="ListBullet"/>
        <w:spacing w:after="80"/>
      </w:pPr>
      <w:r>
        <w:rPr>
          <w:rFonts w:ascii="Segoe UI" w:hAnsi="Segoe UI"/>
          <w:b/>
          <w:color w:val="1F2937"/>
          <w:sz w:val="21"/>
        </w:rPr>
        <w:t xml:space="preserve">Revenue: </w:t>
      </w:r>
      <w:r>
        <w:rPr>
          <w:rFonts w:ascii="Segoe UI" w:hAnsi="Segoe UI"/>
          <w:color w:val="1F2937"/>
          <w:sz w:val="21"/>
        </w:rPr>
        <w:t>freemium employee tier for acquisition; B2B SaaS (per-seat / per-audit) from employers.</w:t>
      </w:r>
    </w:p>
    <w:p>
      <w:pPr>
        <w:pStyle w:val="ListBullet"/>
        <w:spacing w:after="80"/>
      </w:pPr>
      <w:r>
        <w:rPr>
          <w:rFonts w:ascii="Segoe UI" w:hAnsi="Segoe UI"/>
          <w:b/>
          <w:color w:val="1F2937"/>
          <w:sz w:val="21"/>
        </w:rPr>
        <w:t xml:space="preserve">Moat: </w:t>
      </w:r>
      <w:r>
        <w:rPr>
          <w:rFonts w:ascii="Segoe UI" w:hAnsi="Segoe UI"/>
          <w:color w:val="1F2937"/>
          <w:sz w:val="21"/>
        </w:rPr>
        <w:t>the proprietary CLII index compounds in value as coverage and history grow.</w:t>
      </w:r>
    </w:p>
    <w:p>
      <w:pPr>
        <w:pStyle w:val="ListBullet"/>
        <w:spacing w:after="80"/>
      </w:pPr>
      <w:r>
        <w:rPr>
          <w:rFonts w:ascii="Segoe UI" w:hAnsi="Segoe UI"/>
          <w:b/>
          <w:color w:val="1F2937"/>
          <w:sz w:val="21"/>
        </w:rPr>
        <w:t xml:space="preserve">Economics: </w:t>
      </w:r>
      <w:r>
        <w:rPr>
          <w:rFonts w:ascii="Segoe UI" w:hAnsi="Segoe UI"/>
          <w:color w:val="1F2937"/>
          <w:sz w:val="21"/>
        </w:rPr>
        <w:t>a static SPA plus serverless LLM calls keeps infrastructure lean.</w:t>
      </w:r>
    </w:p>
    <w:p>
      <w:pPr>
        <w:pStyle w:val="ListBullet"/>
        <w:spacing w:after="80"/>
      </w:pPr>
      <w:r>
        <w:rPr>
          <w:rFonts w:ascii="Segoe UI" w:hAnsi="Segoe UI"/>
          <w:b/>
          <w:color w:val="1F2937"/>
          <w:sz w:val="21"/>
        </w:rPr>
        <w:t xml:space="preserve">Path: </w:t>
      </w:r>
      <w:r>
        <w:rPr>
          <w:rFonts w:ascii="Segoe UI" w:hAnsi="Segoe UI"/>
          <w:color w:val="1F2937"/>
          <w:sz w:val="21"/>
        </w:rPr>
        <w:t>MVP is built; remaining pieces (live feeds, HRMS integration, auth) are known and incremental.</w:t>
      </w:r>
    </w:p>
    <w:p>
      <w:pPr>
        <w:spacing w:after="60" w:before="160"/>
      </w:pPr>
      <w:r>
        <w:rPr>
          <w:rFonts w:ascii="Segoe UI" w:hAnsi="Segoe UI"/>
          <w:b/>
          <w:i w:val="0"/>
          <w:color w:val="6D28D9"/>
          <w:sz w:val="26"/>
        </w:rPr>
        <w:t>9. Working Demo</w:t>
      </w:r>
    </w:p>
    <w:p>
      <w:pPr>
        <w:spacing w:after="80" w:before="0"/>
      </w:pPr>
      <w:r>
        <w:rPr>
          <w:rFonts w:ascii="Segoe UI" w:hAnsi="Segoe UI"/>
          <w:b w:val="0"/>
          <w:i/>
          <w:color w:val="555D6B"/>
          <w:sz w:val="21"/>
        </w:rPr>
        <w:t>A running, interactive MVP — not slideware.</w:t>
      </w:r>
    </w:p>
    <w:p>
      <w:pPr>
        <w:pStyle w:val="ListBullet"/>
        <w:spacing w:after="80"/>
      </w:pPr>
      <w:r>
        <w:rPr>
          <w:rFonts w:ascii="Segoe UI" w:hAnsi="Segoe UI"/>
          <w:b/>
          <w:color w:val="1F2937"/>
          <w:sz w:val="21"/>
        </w:rPr>
        <w:t xml:space="preserve">Step 1 — Budget Planner: </w:t>
      </w:r>
      <w:r>
        <w:rPr>
          <w:rFonts w:ascii="Segoe UI" w:hAnsi="Segoe UI"/>
          <w:color w:val="1F2937"/>
          <w:sz w:val="21"/>
        </w:rPr>
        <w:t>enter salary &amp; expenses; see live personal inflation, a 12-month savings-depletion chart, and the break-even raise; push rent up to trigger the deficit alert.</w:t>
      </w:r>
    </w:p>
    <w:p>
      <w:pPr>
        <w:pStyle w:val="ListBullet"/>
        <w:spacing w:after="80"/>
      </w:pPr>
      <w:r>
        <w:rPr>
          <w:rFonts w:ascii="Segoe UI" w:hAnsi="Segoe UI"/>
          <w:b/>
          <w:color w:val="1F2937"/>
          <w:sz w:val="21"/>
        </w:rPr>
        <w:t xml:space="preserve">Step 2 — Negotiation Coach: </w:t>
      </w:r>
      <w:r>
        <w:rPr>
          <w:rFonts w:ascii="Segoe UI" w:hAnsi="Segoe UI"/>
          <w:color w:val="1F2937"/>
          <w:sz w:val="21"/>
        </w:rPr>
        <w:t>the pitch auto-cites those exact numbers; one-click copy.</w:t>
      </w:r>
    </w:p>
    <w:p>
      <w:pPr>
        <w:pStyle w:val="ListBullet"/>
        <w:spacing w:after="80"/>
      </w:pPr>
      <w:r>
        <w:rPr>
          <w:rFonts w:ascii="Segoe UI" w:hAnsi="Segoe UI"/>
          <w:b/>
          <w:color w:val="1F2937"/>
          <w:sz w:val="21"/>
        </w:rPr>
        <w:t xml:space="preserve">Step 3 — GenAI Copilot: </w:t>
      </w:r>
      <w:r>
        <w:rPr>
          <w:rFonts w:ascii="Segoe UI" w:hAnsi="Segoe UI"/>
          <w:color w:val="1F2937"/>
          <w:sz w:val="21"/>
        </w:rPr>
        <w:t>'Am I underpaid?' answers with the same live figures.</w:t>
      </w:r>
    </w:p>
    <w:p>
      <w:pPr>
        <w:pStyle w:val="ListBullet"/>
        <w:spacing w:after="80"/>
      </w:pPr>
      <w:r>
        <w:rPr>
          <w:rFonts w:ascii="Segoe UI" w:hAnsi="Segoe UI"/>
          <w:b/>
          <w:color w:val="1F2937"/>
          <w:sz w:val="21"/>
        </w:rPr>
        <w:t xml:space="preserve">Resilience: </w:t>
      </w:r>
      <w:r>
        <w:rPr>
          <w:rFonts w:ascii="Segoe UI" w:hAnsi="Segoe UI"/>
          <w:color w:val="1F2937"/>
          <w:sz w:val="21"/>
        </w:rPr>
        <w:t>a deterministic fallback means the demo never breaks, even without a network.</w:t>
      </w:r>
    </w:p>
    <w:p>
      <w:pPr>
        <w:spacing w:after="60" w:before="160"/>
      </w:pPr>
      <w:r>
        <w:rPr>
          <w:rFonts w:ascii="Segoe UI" w:hAnsi="Segoe UI"/>
          <w:b/>
          <w:i w:val="0"/>
          <w:color w:val="6D28D9"/>
          <w:sz w:val="26"/>
        </w:rPr>
        <w:t>10. Differentiation</w:t>
      </w:r>
    </w:p>
    <w:p>
      <w:pPr>
        <w:spacing w:after="80" w:before="0"/>
      </w:pPr>
      <w:r>
        <w:rPr>
          <w:rFonts w:ascii="Segoe UI" w:hAnsi="Segoe UI"/>
          <w:b w:val="0"/>
          <w:i/>
          <w:color w:val="555D6B"/>
          <w:sz w:val="21"/>
        </w:rPr>
        <w:t>Not another salary calculator.</w:t>
      </w:r>
    </w:p>
    <w:p>
      <w:pPr>
        <w:pStyle w:val="ListBullet"/>
        <w:spacing w:after="80"/>
      </w:pPr>
      <w:r>
        <w:rPr>
          <w:rFonts w:ascii="Segoe UI" w:hAnsi="Segoe UI"/>
          <w:color w:val="1F2937"/>
          <w:sz w:val="21"/>
        </w:rPr>
        <w:t>Personal, city-level, expense-weighted inflation — not a one-size national average.</w:t>
      </w:r>
    </w:p>
    <w:p>
      <w:pPr>
        <w:pStyle w:val="ListBullet"/>
        <w:spacing w:after="80"/>
      </w:pPr>
      <w:r>
        <w:rPr>
          <w:rFonts w:ascii="Segoe UI" w:hAnsi="Segoe UI"/>
          <w:color w:val="1F2937"/>
          <w:sz w:val="21"/>
        </w:rPr>
        <w:t>Two-sided: employee guidance and employer workforce economics in a single product.</w:t>
      </w:r>
    </w:p>
    <w:p>
      <w:pPr>
        <w:pStyle w:val="ListBullet"/>
        <w:spacing w:after="80"/>
      </w:pPr>
      <w:r>
        <w:rPr>
          <w:rFonts w:ascii="Segoe UI" w:hAnsi="Segoe UI"/>
          <w:color w:val="1F2937"/>
          <w:sz w:val="21"/>
        </w:rPr>
        <w:t>AI output is an actionable artifact — a negotiation script — not just a number.</w:t>
      </w:r>
    </w:p>
    <w:p>
      <w:pPr>
        <w:pStyle w:val="ListBullet"/>
        <w:spacing w:after="80"/>
      </w:pPr>
      <w:r>
        <w:rPr>
          <w:rFonts w:ascii="Segoe UI" w:hAnsi="Segoe UI"/>
          <w:color w:val="1F2937"/>
          <w:sz w:val="21"/>
        </w:rPr>
        <w:t>A single, consistent data story flows across every module; the CLII index is defensible IP.</w:t>
      </w:r>
    </w:p>
    <w:p>
      <w:r>
        <w:br w:type="page"/>
      </w:r>
    </w:p>
    <w:p>
      <w:pPr>
        <w:spacing w:after="120" w:before="0"/>
      </w:pPr>
      <w:r>
        <w:rPr>
          <w:rFonts w:ascii="Segoe UI" w:hAnsi="Segoe UI"/>
          <w:b/>
          <w:i w:val="0"/>
          <w:color w:val="6D28D9"/>
          <w:sz w:val="34"/>
        </w:rPr>
        <w:t>Roadmap</w:t>
      </w:r>
    </w:p>
    <w:p>
      <w:pPr>
        <w:pStyle w:val="ListBullet"/>
        <w:spacing w:after="80"/>
      </w:pPr>
      <w:r>
        <w:rPr>
          <w:rFonts w:ascii="Segoe UI" w:hAnsi="Segoe UI"/>
          <w:b/>
          <w:color w:val="1F2937"/>
          <w:sz w:val="21"/>
        </w:rPr>
        <w:t xml:space="preserve">Now: </w:t>
      </w:r>
      <w:r>
        <w:rPr>
          <w:rFonts w:ascii="Segoe UI" w:hAnsi="Segoe UI"/>
          <w:color w:val="1F2937"/>
          <w:sz w:val="21"/>
        </w:rPr>
        <w:t>MVP live — CLII model, five modules, budget engine, grounded Copilot.</w:t>
      </w:r>
    </w:p>
    <w:p>
      <w:pPr>
        <w:pStyle w:val="ListBullet"/>
        <w:spacing w:after="80"/>
      </w:pPr>
      <w:r>
        <w:rPr>
          <w:rFonts w:ascii="Segoe UI" w:hAnsi="Segoe UI"/>
          <w:b/>
          <w:color w:val="1F2937"/>
          <w:sz w:val="21"/>
        </w:rPr>
        <w:t xml:space="preserve">Next: </w:t>
      </w:r>
      <w:r>
        <w:rPr>
          <w:rFonts w:ascii="Segoe UI" w:hAnsi="Segoe UI"/>
          <w:color w:val="1F2937"/>
          <w:sz w:val="21"/>
        </w:rPr>
        <w:t>live data ingestion (MOSPI / RBI / rent / consumer basket) and the CLII computation pipeline.</w:t>
      </w:r>
    </w:p>
    <w:p>
      <w:pPr>
        <w:pStyle w:val="ListBullet"/>
        <w:spacing w:after="80"/>
      </w:pPr>
      <w:r>
        <w:rPr>
          <w:rFonts w:ascii="Segoe UI" w:hAnsi="Segoe UI"/>
          <w:b/>
          <w:color w:val="1F2937"/>
          <w:sz w:val="21"/>
        </w:rPr>
        <w:t xml:space="preserve">Next: </w:t>
      </w:r>
      <w:r>
        <w:rPr>
          <w:rFonts w:ascii="Segoe UI" w:hAnsi="Segoe UI"/>
          <w:color w:val="1F2937"/>
          <w:sz w:val="21"/>
        </w:rPr>
        <w:t>production LLM gateway (Claude / Azure OpenAI GPT-4o) with streaming responses.</w:t>
      </w:r>
    </w:p>
    <w:p>
      <w:pPr>
        <w:pStyle w:val="ListBullet"/>
        <w:spacing w:after="80"/>
      </w:pPr>
      <w:r>
        <w:rPr>
          <w:rFonts w:ascii="Segoe UI" w:hAnsi="Segoe UI"/>
          <w:b/>
          <w:color w:val="1F2937"/>
          <w:sz w:val="21"/>
        </w:rPr>
        <w:t xml:space="preserve">Then: </w:t>
      </w:r>
      <w:r>
        <w:rPr>
          <w:rFonts w:ascii="Segoe UI" w:hAnsi="Segoe UI"/>
          <w:color w:val="1F2937"/>
          <w:sz w:val="21"/>
        </w:rPr>
        <w:t>HRMS integration, authentication, multi-user, and a historical CLII data moat.</w:t>
      </w:r>
    </w:p>
    <w:p>
      <w:pPr>
        <w:spacing w:after="120" w:before="0"/>
      </w:pPr>
      <w:r>
        <w:rPr>
          <w:rFonts w:ascii="Segoe UI" w:hAnsi="Segoe UI"/>
          <w:b w:val="0"/>
          <w:i w:val="0"/>
          <w:color w:val="1F2937"/>
          <w:sz w:val="21"/>
        </w:rPr>
      </w:r>
    </w:p>
    <w:p>
      <w:pPr>
        <w:spacing w:after="120" w:before="120"/>
      </w:pPr>
      <w:r>
        <w:rPr>
          <w:rFonts w:ascii="Segoe UI" w:hAnsi="Segoe UI"/>
          <w:b/>
          <w:i w:val="0"/>
          <w:color w:val="6D28D9"/>
          <w:sz w:val="22"/>
        </w:rPr>
        <w:t>The one-line pitch: SalaryShield turns invisible inflation into a fair, data-backed pay decision — for the employee and the employer.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6D28D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6D28D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