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6F5C"/>
          <w:sz w:val="48"/>
          <w:szCs w:val="48"/>
        </w:rPr>
        <w:t xml:space="preserve">Carbon-Aware Leader Placement for YugabyteDB</w:t>
      </w:r>
    </w:p>
    <w:p>
      <w:pPr>
        <w:spacing w:after="80"/>
      </w:pPr>
      <w:r>
        <w:rPr>
          <w:color w:val="595959"/>
          <w:sz w:val="28"/>
          <w:szCs w:val="28"/>
        </w:rPr>
        <w:t xml:space="preserve">Viability assessment: cutting carbon emissions without degrading user experience</w:t>
      </w:r>
    </w:p>
    <w:p>
      <w:pPr>
        <w:pBdr>
          <w:bottom w:val="single" w:color="1F6F5C" w:sz="8" w:space="6"/>
        </w:pBdr>
        <w:spacing w:after="240"/>
      </w:pPr>
      <w:r>
        <w:rPr>
          <w:color w:val="595959"/>
          <w:sz w:val="20"/>
          <w:szCs w:val="20"/>
        </w:rPr>
        <w:t xml:space="preserve">1 November 2026  |  Simulation-based: real grid data checks, synthetic user load</w:t>
      </w:r>
    </w:p>
    <w:p>
      <w:pPr>
        <w:pStyle w:val="Heading1"/>
        <w:keepNext/>
      </w:pPr>
      <w:r>
        <w:t xml:space="preserve">1. Executive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6F5C" w:sz="24"/>
              <w:bottom w:val="none" w:color="FFFFFF" w:sz="0"/>
              <w:right w:val="none" w:color="FFFFFF" w:sz="0"/>
            </w:tcBorders>
            <w:shd w:fill="E8F3EF" w:color="auto" w:val="clear"/>
            <w:tcMar>
              <w:top w:type="dxa" w:w="140"/>
              <w:left w:type="dxa" w:w="22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6F5C"/>
                <w:sz w:val="24"/>
                <w:szCs w:val="24"/>
              </w:rPr>
              <w:t xml:space="preserve">Verdict: conditionally viable.</w:t>
            </w:r>
          </w:p>
          <w:p>
            <w:pPr>
              <w:spacing w:after="60" w:line="276"/>
            </w:pPr>
            <w:r>
              <w:t xml:space="preserve">Moving tablet leaders toward cleaner grids works mechanically and, in simulation, cuts carbon sharply. But in the modeled topology it </w:t>
            </w:r>
            <w:r>
              <w:rPr>
                <w:b/>
                <w:bCs/>
              </w:rPr>
              <w:t xml:space="preserve">cannot</w:t>
            </w:r>
            <w:r>
              <w:t xml:space="preserve"> cut carbon without making some users slower. It is viable for </w:t>
            </w:r>
            <w:r>
              <w:rPr>
                <w:b/>
                <w:bCs/>
              </w:rPr>
              <w:t xml:space="preserve">latency-tolerant workloads</w:t>
            </w:r>
            <w:r>
              <w:t xml:space="preserve"> and for user bases spread across regions. It is </w:t>
            </w:r>
            <w:r>
              <w:rPr>
                <w:b/>
                <w:bCs/>
              </w:rPr>
              <w:t xml:space="preserve">not</w:t>
            </w:r>
            <w:r>
              <w:t xml:space="preserve"> viable as a blanket policy for a latency-sensitive service whose users sit mostly in the dirtiest-grid region.</w:t>
            </w:r>
          </w:p>
        </w:tc>
      </w:tr>
    </w:tbl>
    <w:p>
      <w:pPr>
        <w:spacing w:after="80"/>
      </w:pPr>
    </w:p>
    <w:p>
      <w:pPr>
        <w:keepNext/>
        <w:spacing w:after="60" w:line="276"/>
      </w:pPr>
      <w:r>
        <w:t xml:space="preserve"/>
      </w:r>
      <w:r>
        <w:rPr>
          <w:b/>
          <w:bCs/>
        </w:rPr>
        <w:t xml:space="preserve">Key findings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/>
      </w:r>
      <w:r>
        <w:rPr>
          <w:b/>
          <w:bCs/>
        </w:rPr>
        <w:t xml:space="preserve">The mechanism is real.</w:t>
      </w:r>
      <w:r>
        <w:t xml:space="preserve"> YugabyteDB’s preferred-zone setting pins leaders to a ranked region and leaves replica placement unchanged. The grid zone keys IN-NO, NL and US-CAL-CISO were confirmed valid, and live plus 24-hour intensity data is reachable with the current key.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/>
      </w:r>
      <w:r>
        <w:rPr>
          <w:b/>
          <w:bCs/>
        </w:rPr>
        <w:t xml:space="preserve">Carbon upside is large.</w:t>
      </w:r>
      <w:r>
        <w:t xml:space="preserve"> With a 300 ms ceiling on the average user’s p99, simulated carbon fell </w:t>
      </w:r>
      <w:r>
        <w:rPr>
          <w:b/>
          <w:bCs/>
        </w:rPr>
        <w:t xml:space="preserve">32.6%</w:t>
      </w:r>
      <w:r>
        <w:t xml:space="preserve"> (155.6 to 104.8 gCO₂ per 1,000 transactions). At 400 ms it reached 40.6%.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/>
      </w:r>
      <w:r>
        <w:rPr>
          <w:b/>
          <w:bCs/>
        </w:rPr>
        <w:t xml:space="preserve">The average user pays +59 ms (+29%)</w:t>
      </w:r>
      <w:r>
        <w:t xml:space="preserve"> at 300 ms, and only 3.2% of user-hours exceed the ceiling.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/>
      </w:r>
      <w:r>
        <w:rPr>
          <w:b/>
          <w:bCs/>
        </w:rPr>
        <w:t xml:space="preserve">The average hides who pays.</w:t>
      </w:r>
      <w:r>
        <w:t xml:space="preserve"> Delhi users, about 70% of the assumed base, go from 150 to 281 ms (+131 ms). Amsterdam users improve from 280 to 153 ms and California users from 389 to 293 ms.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/>
      </w:r>
      <w:r>
        <w:rPr>
          <w:b/>
          <w:bCs/>
        </w:rPr>
        <w:t xml:space="preserve">Skipping peak hours is cheap insurance.</w:t>
      </w:r>
      <w:r>
        <w:t xml:space="preserve"> Blocking shifts during peak load removed every shift at peak and cut shift-spike exposure by up to 16%, at a carbon cost of 0.4 to 1.2 points. At 300 ms the effect is negligible.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/>
      </w:r>
      <w:r>
        <w:rPr>
          <w:b/>
          <w:bCs/>
        </w:rPr>
        <w:t xml:space="preserve">Dynamic switching adds little at moderate tolerance.</w:t>
      </w:r>
      <w:r>
        <w:t xml:space="preserve"> At 300 ms leaders sit in Amsterdam for 706 of 720 hours, so most of the saving is a one-time relocation. At a tight 250 ms ceiling the agent thrashes (104 shifts for 6.6% saved).</w:t>
      </w:r>
    </w:p>
    <w:p>
      <w:pPr>
        <w:spacing w:after="120" w:line="276"/>
      </w:pPr>
      <w:r>
        <w:t xml:space="preserve"/>
      </w:r>
      <w:r>
        <w:rPr>
          <w:b/>
          <w:bCs/>
        </w:rPr>
        <w:t xml:space="preserve">Important:</w:t>
      </w:r>
      <w:r>
        <w:t xml:space="preserve"> every quantitative result in this document is simulated. Section 2 lists exactly what is verified, modeled or assumed.</w:t>
      </w:r>
    </w:p>
    <w:p>
      <w:pPr>
        <w:pStyle w:val="Heading1"/>
        <w:keepNext/>
      </w:pPr>
      <w:r>
        <w:t xml:space="preserve">2. Evidence status</w:t>
      </w:r>
    </w:p>
    <w:p>
      <w:pPr>
        <w:spacing w:after="120" w:line="276"/>
      </w:pPr>
      <w:r>
        <w:t xml:space="preserve">Nothing below should be quoted as a measured result until the validation steps in Section 8 are complete.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43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6F5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6F5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6F5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Basis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Leader preference mechanism (set_preferred_zones, region wildcard, cluster-wide)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Verified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YugabyteDB documentation reviewed for this study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Grid zone keys IN-NO, NL, US-CAL-CISO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Verified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All three returned OK against the Electricity Maps zone list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Live intensity and 24-hour history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Verified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Probe on the trial key: v3 latest, v3 history and v4 latest succeeded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30-day hourly history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Not available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Past-range endpoints returned HTTP 401 (not in the API trial)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Intensity series used for results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Modeled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Built around published averages (Delhi ~535, Netherlands ~265 after calibration, California ~216 g/kWh) with daily shapes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Users, TPS and p99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Synthetic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Invented Delhi-weighted daily patterns; no real traces yet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Inter-region round trips: Delhi–Amsterdam 130, Amsterdam–California 145, Delhi–California 240 ms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Assumed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Typical figures, unmeasured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0.35 kWh per 1,000 txn; leader does 70% of work, replicas 15% each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Assumed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Placeholders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Shift spike of up to +80% p99 at full load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Assumed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Modeling choice, unmeasured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Meko memory integration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Not built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MCP tool names unverified; stubbed in the agent sketch</w:t>
            </w:r>
          </w:p>
        </w:tc>
      </w:tr>
    </w:tbl>
    <w:p>
      <w:pPr>
        <w:pStyle w:val="Heading1"/>
        <w:keepNext/>
      </w:pPr>
      <w:r>
        <w:t xml:space="preserve">3. How the system works</w:t>
      </w:r>
    </w:p>
    <w:p>
      <w:pPr>
        <w:spacing w:after="120" w:line="276"/>
      </w:pPr>
      <w:r>
        <w:t xml:space="preserve">A small agent decides, each cycle, whether to change which region hosts the tablet leaders. Because leaders serve writes, moving them moves the write path.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Fetch live gCO₂/kWh for each candidate region and add it to the agent’s context.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Check memory (Meko) for hours where an earlier shift hurt latency, and for the learned daily peak-usage profile.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Do nothing if users online exceed a threshold (default 80%) of the trailing 14-day maximum, or if the hour is flagged.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Predict the average user’s p99 for each region from the current client mix; keep only regions under the latency ceiling.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Move only if the cleanest eligible region is at least 8% better and the last shift was at least 2 hours ago.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Apply the change with yb-admin set_preferred_zones, watch p99, record the outcome, and revert if the ceiling is breached.</w:t>
      </w:r>
    </w:p>
    <w:p>
      <w:pPr>
        <w:spacing w:after="60" w:line="276"/>
      </w:pPr>
      <w:r>
        <w:t xml:space="preserve">The setting is cluster-wide in YugabyteDB, which matters for scoping (Section 7).</w:t>
      </w:r>
    </w:p>
    <w:p>
      <w:pPr>
        <w:pStyle w:val="Heading1"/>
        <w:keepNext/>
      </w:pPr>
      <w:r>
        <w:t xml:space="preserve">4. Method</w:t>
      </w:r>
    </w:p>
    <w:p>
      <w:pPr>
        <w:spacing w:after="120" w:line="276"/>
      </w:pPr>
      <w:r>
        <w:t xml:space="preserve">Thirty days of hourly data (720 hours) were replayed through three policies on the same dataset: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/>
      </w:r>
      <w:r>
        <w:rPr>
          <w:b/>
          <w:bCs/>
        </w:rPr>
        <w:t xml:space="preserve">Pinned:</w:t>
      </w:r>
      <w:r>
        <w:t xml:space="preserve"> leaders stay in Delhi (the baseline).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/>
      </w:r>
      <w:r>
        <w:rPr>
          <w:b/>
          <w:bCs/>
        </w:rPr>
        <w:t xml:space="preserve">Dynamic, any time:</w:t>
      </w:r>
      <w:r>
        <w:t xml:space="preserve"> the agent may shift at any hour.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/>
      </w:r>
      <w:r>
        <w:rPr>
          <w:b/>
          <w:bCs/>
        </w:rPr>
        <w:t xml:space="preserve">Dynamic, non-peak only:</w:t>
      </w:r>
      <w:r>
        <w:t xml:space="preserve"> shifts are blocked while users exceed the peak threshold.</w:t>
      </w:r>
    </w:p>
    <w:p>
      <w:pPr>
        <w:spacing w:after="120" w:line="276"/>
      </w:pPr>
      <w:r>
        <w:t xml:space="preserve">Latency is computed per user region: processing time plus the client-to-leader round trip plus the quorum round trip to the nearest other replica, then weighted by who is online each hour (about 70% Delhi, 15% Amsterdam, 15% California). Carbon is weighted by transactions. The latency ceiling applies to the average user’s p99.</w:t>
      </w:r>
    </w:p>
    <w:p>
      <w:pPr>
        <w:pStyle w:val="Heading1"/>
        <w:keepNext/>
      </w:pPr>
      <w:r>
        <w:t xml:space="preserve">5. Results</w:t>
      </w:r>
    </w:p>
    <w:p>
      <w:pPr>
        <w:pStyle w:val="Heading2"/>
        <w:keepNext/>
      </w:pPr>
      <w:r>
        <w:t xml:space="preserve">5.1 Carbon saved against latency paid</w:t>
      </w:r>
    </w:p>
    <w:p>
      <w:pPr>
        <w:spacing w:after="80"/>
        <w:jc w:val="center"/>
      </w:pPr>
      <w:r>
        <w:drawing>
          <wp:inline distT="0" distB="0" distL="0" distR="0">
            <wp:extent cx="5715000" cy="2162175"/>
            <wp:effectExtent t="0" r="0" b="0" l="0"/>
            <wp:docPr id="1" name="chart" descr="Carbon saved vs latency, and latency by user region" title="Trade-o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250"/>
        <w:gridCol w:w="1000"/>
        <w:gridCol w:w="1400"/>
        <w:gridCol w:w="1700"/>
        <w:gridCol w:w="1400"/>
        <w:gridCol w:w="1026"/>
      </w:tblGrid>
      <w:tr>
        <w:trPr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6F5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Ceiling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6F5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gCO₂ / 1k txn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6F5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Saved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6F5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Avg user latency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6F5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Change vs pinned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6F5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User-hours over ceiling</w:t>
            </w:r>
          </w:p>
        </w:tc>
        <w:tc>
          <w:tcPr>
            <w:tcW w:type="dxa" w:w="1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6F5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Shifts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Pinned (Delhi)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155.6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205 ms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n/a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n/a</w:t>
            </w:r>
          </w:p>
        </w:tc>
        <w:tc>
          <w:tcPr>
            <w:tcW w:type="dxa" w:w="1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250 ms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145.3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6.6%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219 ms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+14 ms (+7%)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34.5%</w:t>
            </w:r>
          </w:p>
        </w:tc>
        <w:tc>
          <w:tcPr>
            <w:tcW w:type="dxa" w:w="1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104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300 ms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104.8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32.6%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264 ms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+59 ms (+29%)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3.2%</w:t>
            </w:r>
          </w:p>
        </w:tc>
        <w:tc>
          <w:tcPr>
            <w:tcW w:type="dxa" w:w="1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350 ms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98.8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36.5%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291 ms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+86 ms (+42%)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19.7%</w:t>
            </w:r>
          </w:p>
        </w:tc>
        <w:tc>
          <w:tcPr>
            <w:tcW w:type="dxa" w:w="1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61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400 ms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92.4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40.6%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327 ms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+122 ms (+60%)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37.1%</w:t>
            </w:r>
          </w:p>
        </w:tc>
        <w:tc>
          <w:tcPr>
            <w:tcW w:type="dxa" w:w="1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36</w:t>
            </w:r>
          </w:p>
        </w:tc>
      </w:tr>
    </w:tbl>
    <w:p>
      <w:pPr>
        <w:spacing w:after="160" w:line="276"/>
      </w:pPr>
      <w:r>
        <w:rPr>
          <w:color w:val="595959"/>
          <w:sz w:val="18"/>
          <w:szCs w:val="18"/>
        </w:rPr>
        <w:t xml:space="preserve">Table 1. Non-peak-only policy, peak = users above 80% of trailing maximum (64 of 720 hours).</w:t>
      </w:r>
    </w:p>
    <w:p>
      <w:pPr>
        <w:spacing w:after="120" w:line="276"/>
      </w:pPr>
      <w:r>
        <w:t xml:space="preserve">The curve is steep early and flat late. Raising the ceiling from 300 to 400 ms buys about 8.0 more points of carbon for 63 ms more average latency. The </w:t>
      </w:r>
      <w:r>
        <w:rPr>
          <w:b/>
          <w:bCs/>
        </w:rPr>
        <w:t xml:space="preserve">300 ms</w:t>
      </w:r>
      <w:r>
        <w:t xml:space="preserve"> setting is the best balance in this simulation: it captures 80% of the 400 ms saving with far fewer degraded user-hours (3.2% against 37.1%).</w:t>
      </w:r>
    </w:p>
    <w:p>
      <w:pPr>
        <w:pStyle w:val="Heading2"/>
        <w:keepNext/>
      </w:pPr>
      <w:r>
        <w:t xml:space="preserve">5.2 Who pays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6"/>
        <w:gridCol w:w="2133"/>
        <w:gridCol w:w="2133"/>
        <w:gridCol w:w="2134"/>
      </w:tblGrid>
      <w:tr>
        <w:trPr>
          <w:tblHeader/>
        </w:trPr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6F5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Policy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6F5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Delhi users (~70%)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6F5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Amsterdam users (~15%)</w:t>
            </w:r>
          </w:p>
        </w:tc>
        <w:tc>
          <w:tcPr>
            <w:tcW w:type="dxa" w:w="2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6F5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California users (~15%)</w:t>
            </w:r>
          </w:p>
        </w:tc>
      </w:tr>
      <w:tr>
        <w:trPr>
          <w:cantSplit/>
        </w:trPr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Pinned (Delhi)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150 ms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280 ms</w:t>
            </w:r>
          </w:p>
        </w:tc>
        <w:tc>
          <w:tcPr>
            <w:tcW w:type="dxa" w:w="2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389 ms</w:t>
            </w:r>
          </w:p>
        </w:tc>
      </w:tr>
      <w:tr>
        <w:trPr>
          <w:cantSplit/>
        </w:trPr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300 ms ceiling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281 ms (+131)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153 ms (-127)</w:t>
            </w:r>
          </w:p>
        </w:tc>
        <w:tc>
          <w:tcPr>
            <w:tcW w:type="dxa" w:w="2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293 ms (-96)</w:t>
            </w:r>
          </w:p>
        </w:tc>
      </w:tr>
      <w:tr>
        <w:trPr>
          <w:cantSplit/>
        </w:trPr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350 ms ceiling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316 ms (+166)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228 ms (-52)</w:t>
            </w:r>
          </w:p>
        </w:tc>
        <w:tc>
          <w:tcPr>
            <w:tcW w:type="dxa" w:w="2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236 ms (-153)</w:t>
            </w:r>
          </w:p>
        </w:tc>
      </w:tr>
      <w:tr>
        <w:trPr>
          <w:cantSplit/>
        </w:trPr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400 ms ceiling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364 ms (+214)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272 ms (-8)</w:t>
            </w:r>
          </w:p>
        </w:tc>
        <w:tc>
          <w:tcPr>
            <w:tcW w:type="dxa" w:w="2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210 ms (-179)</w:t>
            </w:r>
          </w:p>
        </w:tc>
      </w:tr>
    </w:tbl>
    <w:p>
      <w:pPr>
        <w:spacing w:after="160" w:line="276"/>
      </w:pPr>
      <w:r>
        <w:rPr>
          <w:color w:val="595959"/>
          <w:sz w:val="18"/>
          <w:szCs w:val="18"/>
        </w:rPr>
        <w:t xml:space="preserve">Table 2. Average latency by user region, non-peak-only policy.</w:t>
      </w:r>
    </w:p>
    <w:p>
      <w:pPr>
        <w:spacing w:after="120" w:line="276"/>
      </w:pPr>
      <w:r>
        <w:t xml:space="preserve">Any move away from Delhi adds at least the Delhi–Amsterdam round trip (assumed 130 ms) to the majority group, so </w:t>
      </w:r>
      <w:r>
        <w:rPr>
          <w:b/>
          <w:bCs/>
        </w:rPr>
        <w:t xml:space="preserve">no setting here is free for Delhi users.</w:t>
      </w:r>
      <w:r>
        <w:t xml:space="preserve"> A strict rule such as “no region may be more than 100 ms slower” would block every shift and yield zero savings in this topology. This is the central tension: the carbon gain comes from serving the majority from a cleaner but more distant region.</w:t>
      </w:r>
    </w:p>
    <w:p>
      <w:pPr>
        <w:pStyle w:val="Heading2"/>
        <w:keepNext/>
      </w:pPr>
      <w:r>
        <w:t xml:space="preserve">5.3 Does avoiding peak hours help?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50"/>
        <w:gridCol w:w="880"/>
        <w:gridCol w:w="1150"/>
        <w:gridCol w:w="1250"/>
        <w:gridCol w:w="1066"/>
        <w:gridCol w:w="133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6F5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6F5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Policy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6F5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Saved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6F5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Avg latency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6F5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Peak-hour latency</w:t>
            </w:r>
          </w:p>
        </w:tc>
        <w:tc>
          <w:tcPr>
            <w:tcW w:type="dxa" w:w="1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6F5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Shifts at peak</w:t>
            </w:r>
          </w:p>
        </w:tc>
        <w:tc>
          <w:tcPr>
            <w:tcW w:type="dxa" w:w="1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6F5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Spike-exposed user-hours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300 ms, peak &gt;60% (161 h)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Any time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33.0%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264 ms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270 ms</w:t>
            </w:r>
          </w:p>
        </w:tc>
        <w:tc>
          <w:tcPr>
            <w:tcW w:type="dxa" w:w="1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175,791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300 ms, peak &gt;60% (161 h)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Non-peak only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32.5%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263 ms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266 ms</w:t>
            </w:r>
          </w:p>
        </w:tc>
        <w:tc>
          <w:tcPr>
            <w:tcW w:type="dxa" w:w="1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168,901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350 ms, peak &gt;60% (161 h)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Any time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36.8%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292 ms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272 ms</w:t>
            </w:r>
          </w:p>
        </w:tc>
        <w:tc>
          <w:tcPr>
            <w:tcW w:type="dxa" w:w="1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1,084,691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350 ms, peak &gt;60% (161 h)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Non-peak only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36.4%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291 ms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268 ms</w:t>
            </w:r>
          </w:p>
        </w:tc>
        <w:tc>
          <w:tcPr>
            <w:tcW w:type="dxa" w:w="1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1,051,099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400 ms, peak &gt;60% (161 h)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Any time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41.2%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333 ms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368 ms</w:t>
            </w:r>
          </w:p>
        </w:tc>
        <w:tc>
          <w:tcPr>
            <w:tcW w:type="dxa" w:w="1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1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700,348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400 ms, peak &gt;60% (161 h)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Non-peak only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40.0%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320 ms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322 ms</w:t>
            </w:r>
          </w:p>
        </w:tc>
        <w:tc>
          <w:tcPr>
            <w:tcW w:type="dxa" w:w="1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586,846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400 ms, peak &gt;80% (64 h)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Any time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41.2%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333 ms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383 ms</w:t>
            </w:r>
          </w:p>
        </w:tc>
        <w:tc>
          <w:tcPr>
            <w:tcW w:type="dxa" w:w="1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700,348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400 ms, peak &gt;80% (64 h)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Non-peak only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40.6%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327 ms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328 ms</w:t>
            </w:r>
          </w:p>
        </w:tc>
        <w:tc>
          <w:tcPr>
            <w:tcW w:type="dxa" w:w="1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658,521</w:t>
            </w:r>
          </w:p>
        </w:tc>
      </w:tr>
    </w:tbl>
    <w:p>
      <w:pPr>
        <w:spacing w:after="160" w:line="276"/>
      </w:pPr>
      <w:r>
        <w:rPr>
          <w:color w:val="595959"/>
          <w:sz w:val="18"/>
          <w:szCs w:val="18"/>
        </w:rPr>
        <w:t xml:space="preserve">Table 3. Effect of the non-peak rule. Spike-exposed user-hours count users online during hours in which a shift happened.</w:t>
      </w:r>
    </w:p>
    <w:p>
      <w:pPr>
        <w:spacing w:after="120" w:line="276"/>
      </w:pPr>
      <w:r>
        <w:t xml:space="preserve">Blocking peak-hour shifts removes every shift at peak and trims user-visible latency during the busiest hours (for example 368 to 322 ms at a 400 ms ceiling with a 60% peak threshold). The carbon cost is 1.2 points there and under half a point at 300 ms, where the agent rarely wants to move at peak anyway. The rule is worthwhile but not transformative, and it can trap users in a poor region during peak, so it must be paired with the ceiling and an override.</w:t>
      </w:r>
    </w:p>
    <w:p>
      <w:pPr>
        <w:pStyle w:val="Heading2"/>
        <w:keepNext/>
      </w:pPr>
      <w:r>
        <w:t xml:space="preserve">5.4 Failure mode: thrashing</w:t>
      </w:r>
    </w:p>
    <w:p>
      <w:pPr>
        <w:spacing w:after="120" w:line="276"/>
      </w:pPr>
      <w:r>
        <w:t xml:space="preserve">At a 250 ms ceiling, close to the pinned baseline of 205 ms, the agent flipped between Delhi and Amsterdam 104 times in 30 days for only 6.6% saved, exposing 1,770,630 user-hours to shift spikes and leaving 34.5% of user-hours above the ceiling. The 2-hour gap and 8% gain rules are not enough near the boundary. This is the kind of lesson agent memory is meant to store, and a hysteresis margin or longer gap is required.</w:t>
      </w:r>
    </w:p>
    <w:p>
      <w:pPr>
        <w:pStyle w:val="Heading1"/>
        <w:keepNext/>
      </w:pPr>
      <w:r>
        <w:t xml:space="preserve">6. Protecting user experience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200"/>
        <w:gridCol w:w="3126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6F5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Guardrail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6F5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6F5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Evidence / status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Latency ceiling on average-user p99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Hard bound on predicted user latency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At 300 ms, 3.2% of user-hours exceed it; simulated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Peak-hour freeze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No shifts when most users are online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0 shifts at peak vs up to 14; simulated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Minimum gap (2 h) and minimum gain (8%)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Stop needless flapping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Insufficient at 250 ms (104 shifts); needs hysteresis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Per-region latency cap (recommended)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Protect the largest user group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Not implemented; would have blocked all shifts here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Auto-revert on measured p99 breach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Limit damage from a bad move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Present in the agent sketch; untested live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Memory of harmful shift hours (Meko)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Learn which moments hurt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Not integrated; tool names unverified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Scope to latency-tolerant workloads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Keep checkout-class paths pinned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Recommended; see Section 7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 xml:space="preserve">7. Risks and limitations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/>
      </w:r>
      <w:r>
        <w:rPr>
          <w:b/>
          <w:bCs/>
        </w:rPr>
        <w:t xml:space="preserve">Synthetic load.</w:t>
      </w:r>
      <w:r>
        <w:t xml:space="preserve"> Users, TPS and p99 are invented. Real traffic may be burstier or more concentrated, changing both the peak windows and the latency cost.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/>
      </w:r>
      <w:r>
        <w:rPr>
          <w:b/>
          <w:bCs/>
        </w:rPr>
        <w:t xml:space="preserve">Unmeasured round trips.</w:t>
      </w:r>
      <w:r>
        <w:t xml:space="preserve"> All latency results scale with the assumed 130, 145 and 240 ms. Real values could shift the 300 ms sweet spot materially.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/>
      </w:r>
      <w:r>
        <w:rPr>
          <w:b/>
          <w:bCs/>
        </w:rPr>
        <w:t xml:space="preserve">Energy model.</w:t>
      </w:r>
      <w:r>
        <w:t xml:space="preserve"> Carbon assumes 0.35 kWh per 1,000 transactions and a 70/15/15 work split. Replica nodes keep consuming power in every region, so even a perfect shift saves well under half the total.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/>
      </w:r>
      <w:r>
        <w:rPr>
          <w:b/>
          <w:bCs/>
        </w:rPr>
        <w:t xml:space="preserve">Intensity method.</w:t>
      </w:r>
      <w:r>
        <w:t xml:space="preserve"> Results use modeled series. Real feeds will differ: at 18:00 UTC on 31 October 2026 live readings were California 233, Amsterdam 465 and Delhi 631 gCO₂/kWh. The ordering matched the model, but Amsterdam was far above its modeled 265 average, so real savings from Amsterdam may be smaller on low-wind days.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/>
      </w:r>
      <w:r>
        <w:rPr>
          <w:b/>
          <w:bCs/>
        </w:rPr>
        <w:t xml:space="preserve">Cluster-wide setting.</w:t>
      </w:r>
      <w:r>
        <w:t xml:space="preserve"> set_preferred_zones affects every database on the cluster. Scoping the policy to latency-tolerant workloads may need a separate cluster or a finer-grained leader-preference feature; whether the deployed YugabyteDB version supports one should be checked.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/>
      </w:r>
      <w:r>
        <w:rPr>
          <w:b/>
          <w:bCs/>
        </w:rPr>
        <w:t xml:space="preserve">Failover and consistency.</w:t>
      </w:r>
      <w:r>
        <w:t xml:space="preserve"> Leader moves are asynchronous and interact with failure handling. They need load testing under fault injection before any production use.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/>
      </w:r>
      <w:r>
        <w:rPr>
          <w:b/>
          <w:bCs/>
        </w:rPr>
        <w:t xml:space="preserve">Reads.</w:t>
      </w:r>
      <w:r>
        <w:t xml:space="preserve"> This model covers write-path latency. Keeping user-facing reads local (for example through follower reads or geo-placement) could reduce the penalty for the majority region but was not modeled and is unverified.</w:t>
      </w:r>
    </w:p>
    <w:p>
      <w:pPr>
        <w:pStyle w:val="Heading1"/>
        <w:keepNext/>
      </w:pPr>
      <w:r>
        <w:t xml:space="preserve">8. Recommendation and validation plan</w:t>
      </w:r>
    </w:p>
    <w:p>
      <w:pPr>
        <w:spacing w:after="120" w:line="276"/>
      </w:pPr>
      <w:r>
        <w:t xml:space="preserve"/>
      </w:r>
      <w:r>
        <w:rPr>
          <w:b/>
          <w:bCs/>
        </w:rPr>
        <w:t xml:space="preserve">Proceed to measurement, not to production.</w:t>
      </w:r>
      <w:r>
        <w:t xml:space="preserve"> The case is strong enough to justify a controlled trial on a latency-tolerant workload. It is not strong enough to enable on a latency-sensitive service.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/>
      </w:r>
      <w:r>
        <w:rPr>
          <w:b/>
          <w:bCs/>
        </w:rPr>
        <w:t xml:space="preserve">Observe-only, 2 to 4 weeks.</w:t>
      </w:r>
      <w:r>
        <w:t xml:space="preserve"> Log hourly TPS, p99, active users by region, real inter-region round trips and energy per transaction. Keep collecting live intensity (the trial key supports this).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/>
      </w:r>
      <w:r>
        <w:rPr>
          <w:b/>
          <w:bCs/>
        </w:rPr>
        <w:t xml:space="preserve">Replay on real traces.</w:t>
      </w:r>
      <w:r>
        <w:t xml:space="preserve"> Re-run the same decision logic on measured data; replace every assumption in Section 2.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/>
      </w:r>
      <w:r>
        <w:rPr>
          <w:b/>
          <w:bCs/>
        </w:rPr>
        <w:t xml:space="preserve">Staging A/B.</w:t>
      </w:r>
      <w:r>
        <w:t xml:space="preserve"> Run the agent against a pinned-leader control cluster with fault injection.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/>
      </w:r>
      <w:r>
        <w:rPr>
          <w:b/>
          <w:bCs/>
        </w:rPr>
        <w:t xml:space="preserve">Canary on a latency-tolerant workload</w:t>
      </w:r>
      <w:r>
        <w:t xml:space="preserve"> with auto-revert, per-region latency caps and the peak-hour freeze.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6F5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Go / no-go criterion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6F5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Suggested threshold (to be agreed)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Carbon reduction vs control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At least 20% per 1,000 transactions, measured with real energy data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Largest user region p99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No worse than an agreed cap (for example +50 ms) during peak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Shifts during peak hours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Zero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Shift frequency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No more than about one per day on average; no flapping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Error rate and SLOs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No measurable regression against the control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Rollback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7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Automatic and tested; completes within minutes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 xml:space="preserve">Appendix: reproducing the analysis</w:t>
      </w:r>
    </w:p>
    <w:p>
      <w:pPr>
        <w:spacing w:after="80" w:line="276"/>
      </w:pPr>
      <w:r>
        <w:t xml:space="preserve">Files used (all in the working folder): traces.csv (synthetic dataset v2), make_dataset_v2.py, replay.py, probe_api.py, collect_live.py, fetch_data.py, build_from_portal.py.</w:t>
      </w:r>
    </w:p>
    <w:p>
      <w:pPr>
        <w:spacing w:after="60" w:line="276"/>
      </w:pPr>
      <w:r>
        <w:t xml:space="preserve">Example replay at a 300 ms ceiling and a 60% peak threshold (PowerShell):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$env:TOL_MS = "300"; $env:PEAK_PCT = "60"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python replay.py traces.csv</w:t>
      </w:r>
    </w:p>
    <w:p>
      <w:pPr>
        <w:spacing w:after="80"/>
      </w:pPr>
    </w:p>
    <w:p>
      <w:pPr>
        <w:spacing w:after="120" w:line="276"/>
      </w:pPr>
      <w:r>
        <w:t xml:space="preserve">Replacing synthetic inputs with real ones: provide load.csv (ts_utc, tps, p99_ms, active_users, share_delhi, share_amsterdam, share_california) and rebuild with collect_live.py --build or build_from_portal.py.</w:t>
      </w:r>
    </w:p>
    <w:sectPr>
      <w:headerReference w:type="default" r:id="rId7"/>
      <w:footerReference w:type="default" r:id="rId8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7"/>
        <w:szCs w:val="17"/>
      </w:rPr>
      <w:t xml:space="preserve">Simulation-based; not measured results  |  Page </w:t>
    </w:r>
    <w:r>
      <w:rPr>
        <w:color w:val="8080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7"/>
        <w:szCs w:val="17"/>
      </w:rPr>
      <w:t xml:space="preserve">Carbon-aware leader placement: viability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6F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7c6e2afd3d6addc0de13f5a832e7cf2a20b155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2026-10-31T18:59:13.069Z</dcterms:created>
  <dcterms:modified xsi:type="dcterms:W3CDTF">2026-10-31T18:59:13.073Z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