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Global Equity Fund: annual update change log</w:t>
      </w:r>
    </w:p>
    <w:p>
      <w:r>
        <w:t>Generated 19 August 2026. Each row states the value that was replaced, the value that replaced it, and the cell in the data file it was read from.</w:t>
      </w:r>
    </w:p>
    <w:p>
      <w:pPr>
        <w:pStyle w:val="Heading1"/>
      </w:pPr>
      <w:r>
        <w:t>Changes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Previous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prospectus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Ongoing charges figure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2025 expense ledger (AR-2025 Charges B14)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factsheet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Ongoing charges figure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2025 expense ledger (AR-2025 Charges B14)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Ongoing charges figure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2025 expense ledger (AR-2025 Charges B14)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Summary risk indicator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out of 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 out of 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PRIIPs SRI calculation (RISK-2025 SRI C7)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factsheet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Fund size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USD 1,284.6m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USD 1,402.3m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Dec-2025 valuation (NAV-2025 AUM D31)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factsheet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NAV per unit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USD 18.42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USD 20.71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Dec-2025 valuation (NAV-2025 NAV E31)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factsheet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 as 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 December 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 December 2025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Reporting calendar (CAL-2025 A2)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 as 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 December 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 December 2025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Reporting calendar (CAL-2025 A2)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factsheet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Calendar year return 2025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9.6%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Performance book (PERF-2025 CY B6)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factsheet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Top holding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Aurora Semiconductor | 4.8%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Aurora Semiconductor | 5.2%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Dec-2025 holdings (HLD-2025 row 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factsheet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Top holding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Calder Pharmaceuticals | 3.7%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Northwind Logistics | 3.9%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Dec-2025 holdings (HLD-2025 row 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factsheet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Top holding 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Basalt Energy | 3.3%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Calder Pharmaceuticals | 3.5%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Dec-2025 holdings (HLD-2025 row 4)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factsheet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Top holding 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Vantage Software | 3.1%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Meridian Water Utilities | 3.0%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Dec-2025 holdings (HLD-2025 row 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</w:tbl>
    <w:p>
      <w:pPr>
        <w:pStyle w:val="Heading1"/>
      </w:pPr>
      <w:r>
        <w:t>Referred for a decision, not applied</w:t>
      </w:r>
    </w:p>
    <w:p>
      <w:pPr>
        <w:pStyle w:val="ListBullet"/>
      </w:pPr>
      <w:r>
        <w:t>Top holding 2 (holding_2): data file gives 'Vantage Software' with no weight; a holdings row needs both a name and a weight, and the engine will not invent the missing half</w:t>
      </w:r>
    </w:p>
    <w:p>
      <w:pPr>
        <w:pStyle w:val="Heading1"/>
      </w:pPr>
      <w:r>
        <w:t>Unchanged</w:t>
      </w:r>
    </w:p>
    <w:p>
      <w:r>
        <w:t>The following carried the same value as the prior year and were deliberately not edited: perf_2021, perf_2022, perf_2023, perf_2024.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