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Global Equity Fund</w:t>
      </w:r>
    </w:p>
    <w:p>
      <w:r>
        <w:t>Monthly factsheet. Data as at 31 December 2024</w:t>
      </w:r>
    </w:p>
    <w:p>
      <w:pPr>
        <w:pStyle w:val="Heading1"/>
      </w:pPr>
      <w:r>
        <w:t>Key facts</w:t>
      </w:r>
    </w:p>
    <w:p>
      <w:pPr>
        <w:pStyle w:val="Heading2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Fund size</w:t>
            </w:r>
          </w:p>
        </w:tc>
        <w:tc>
          <w:tcPr>
            <w:tcW w:type="dxa" w:w="4320"/>
          </w:tcPr>
          <w:p>
            <w:r>
              <w:t>USD 1,284.6m</w:t>
            </w:r>
          </w:p>
        </w:tc>
      </w:tr>
      <w:tr>
        <w:tc>
          <w:tcPr>
            <w:tcW w:type="dxa" w:w="4320"/>
          </w:tcPr>
          <w:p>
            <w:r>
              <w:t>NAV per unit</w:t>
            </w:r>
          </w:p>
        </w:tc>
        <w:tc>
          <w:tcPr>
            <w:tcW w:type="dxa" w:w="4320"/>
          </w:tcPr>
          <w:p>
            <w:r>
              <w:t>USD 18.42</w:t>
            </w:r>
          </w:p>
        </w:tc>
      </w:tr>
      <w:tr>
        <w:tc>
          <w:tcPr>
            <w:tcW w:type="dxa" w:w="4320"/>
          </w:tcPr>
          <w:p>
            <w:r>
              <w:t>Ongoing charges figure</w:t>
            </w:r>
          </w:p>
        </w:tc>
        <w:tc>
          <w:tcPr>
            <w:tcW w:type="dxa" w:w="4320"/>
          </w:tcPr>
          <w:p>
            <w:r>
              <w:t>0.82%</w:t>
            </w:r>
          </w:p>
        </w:tc>
      </w:tr>
      <w:tr>
        <w:tc>
          <w:tcPr>
            <w:tcW w:type="dxa" w:w="4320"/>
          </w:tcPr>
          <w:p>
            <w:r>
              <w:t>ISIN</w:t>
            </w:r>
          </w:p>
        </w:tc>
        <w:tc>
          <w:tcPr>
            <w:tcW w:type="dxa" w:w="4320"/>
          </w:tcPr>
          <w:p>
            <w:r>
              <w:t>IE00BMERID01</w:t>
            </w:r>
          </w:p>
        </w:tc>
      </w:tr>
    </w:tbl>
    <w:p/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Calendar year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Fund return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18.4%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-14.2%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21.7%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11.9%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r>
        <w:t>Past performance is not a reliable indicator of future results. Returns are shown net of ongoing charges and assume reinvestment of income.</w:t>
      </w:r>
    </w:p>
    <w:p>
      <w:pPr>
        <w:pStyle w:val="Heading2"/>
      </w:pPr>
      <w:r>
        <w:t>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Aurora Semiconductor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Northwind Logistics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Calder Pharmaceuticals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Basalt Energy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Vantage Software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</w:tbl>
    <w:p/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