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 Information Document</w:t>
      </w:r>
    </w:p>
    <w:p>
      <w:r>
        <w:t>You are about to purchase a product that is not simple and may be difficult to understand.</w:t>
      </w:r>
    </w:p>
    <w:p>
      <w:r>
        <w:t>Product: Meridian Global Equity Fund. ISIN: IE00BMERID01. Data as at 31 December 2024</w:t>
      </w:r>
    </w:p>
    <w:p>
      <w:pPr>
        <w:pStyle w:val="Heading1"/>
      </w:pPr>
      <w:r>
        <w:t>What is this product?</w:t>
      </w:r>
    </w:p>
    <w:p>
      <w:r>
        <w:t>Type: an open-ended UCITS sub-fund. Objective: long-term capital growth from a global portfolio of developed market equities.</w:t>
      </w:r>
    </w:p>
    <w:p>
      <w:pPr>
        <w:pStyle w:val="Heading1"/>
      </w:pPr>
      <w:r>
        <w:t>What are the risks and what could I get in return?</w:t>
      </w:r>
    </w:p>
    <w:p>
      <w:r>
        <w:t>Summary risk indicator: 4 out of 7</w:t>
      </w:r>
    </w:p>
    <w:p>
      <w:r>
        <w:t>This product does not include any protection from future market performance, so you could lose some or all of your investment.</w:t>
      </w:r>
    </w:p>
    <w:p>
      <w:pPr>
        <w:pStyle w:val="Heading2"/>
      </w:pPr>
      <w:r>
        <w:t>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 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 years</w:t>
            </w:r>
          </w:p>
        </w:tc>
      </w:tr>
      <w:tr>
        <w:tc>
          <w:tcPr>
            <w:tcW w:type="dxa" w:w="2880"/>
          </w:tcPr>
          <w:p>
            <w:r>
              <w:t>Stress</w:t>
            </w:r>
          </w:p>
        </w:tc>
        <w:tc>
          <w:tcPr>
            <w:tcW w:type="dxa" w:w="2880"/>
          </w:tcPr>
          <w:p>
            <w:r>
              <w:t>USD 4,120</w:t>
            </w:r>
          </w:p>
        </w:tc>
        <w:tc>
          <w:tcPr>
            <w:tcW w:type="dxa" w:w="2880"/>
          </w:tcPr>
          <w:p>
            <w:r>
              <w:t>USD 5,980</w:t>
            </w:r>
          </w:p>
        </w:tc>
      </w:tr>
      <w:tr>
        <w:tc>
          <w:tcPr>
            <w:tcW w:type="dxa" w:w="2880"/>
          </w:tcPr>
          <w:p>
            <w:r>
              <w:t>Unfavourable</w:t>
            </w:r>
          </w:p>
        </w:tc>
        <w:tc>
          <w:tcPr>
            <w:tcW w:type="dxa" w:w="2880"/>
          </w:tcPr>
          <w:p>
            <w:r>
              <w:t>USD 8,640</w:t>
            </w:r>
          </w:p>
        </w:tc>
        <w:tc>
          <w:tcPr>
            <w:tcW w:type="dxa" w:w="2880"/>
          </w:tcPr>
          <w:p>
            <w:r>
              <w:t>USD 9,510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USD 10,540</w:t>
            </w:r>
          </w:p>
        </w:tc>
        <w:tc>
          <w:tcPr>
            <w:tcW w:type="dxa" w:w="2880"/>
          </w:tcPr>
          <w:p>
            <w:r>
              <w:t>USD 13,720</w:t>
            </w:r>
          </w:p>
        </w:tc>
      </w:tr>
      <w:tr>
        <w:tc>
          <w:tcPr>
            <w:tcW w:type="dxa" w:w="2880"/>
          </w:tcPr>
          <w:p>
            <w:r>
              <w:t>Favourable</w:t>
            </w:r>
          </w:p>
        </w:tc>
        <w:tc>
          <w:tcPr>
            <w:tcW w:type="dxa" w:w="2880"/>
          </w:tcPr>
          <w:p>
            <w:r>
              <w:t>USD 13,180</w:t>
            </w:r>
          </w:p>
        </w:tc>
        <w:tc>
          <w:tcPr>
            <w:tcW w:type="dxa" w:w="2880"/>
          </w:tcPr>
          <w:p>
            <w:r>
              <w:t>USD 18,040</w:t>
            </w:r>
          </w:p>
        </w:tc>
      </w:tr>
    </w:tbl>
    <w:p/>
    <w:p>
      <w:pPr>
        <w:pStyle w:val="Heading1"/>
      </w:pPr>
      <w:r>
        <w:t>What are the costs?</w:t>
      </w:r>
    </w:p>
    <w:p>
      <w:pPr>
        <w:pStyle w:val="Heading2"/>
      </w:pPr>
      <w:r>
        <w:t>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Ongoing charges figure</w:t>
            </w:r>
          </w:p>
        </w:tc>
        <w:tc>
          <w:tcPr>
            <w:tcW w:type="dxa" w:w="4320"/>
          </w:tcPr>
          <w:p>
            <w:r>
              <w:t>0.82%</w:t>
            </w:r>
          </w:p>
        </w:tc>
      </w:tr>
      <w:tr>
        <w:tc>
          <w:tcPr>
            <w:tcW w:type="dxa" w:w="4320"/>
          </w:tcPr>
          <w:p>
            <w:r>
              <w:t>Entry costs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</w:tcPr>
          <w:p>
            <w:r>
              <w:t>Exit costs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</w:tcPr>
          <w:p>
            <w:r>
              <w:t>Transaction costs</w:t>
            </w:r>
          </w:p>
        </w:tc>
        <w:tc>
          <w:tcPr>
            <w:tcW w:type="dxa" w:w="4320"/>
          </w:tcPr>
          <w:p>
            <w:r>
              <w:t>0.09%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