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Global Equity Fund</w:t>
      </w:r>
    </w:p>
    <w:p>
      <w:r>
        <w:t>Prospectus Supplement dated 1 April 2025</w:t>
      </w:r>
    </w:p>
    <w:p>
      <w:pPr>
        <w:pStyle w:val="Heading1"/>
      </w:pPr>
      <w:r>
        <w:t>1. The Fund</w:t>
      </w:r>
    </w:p>
    <w:p>
      <w:r>
        <w:t>The Fund is a sub-fund of Meridian Investment Funds ICAV, an open-ended umbrella investment company with variable capital and segregated liability between sub-funds, authorised in Ireland. The ISIN of the accumulating share class is IE00BMERID01.</w:t>
      </w:r>
    </w:p>
    <w:p>
      <w:r>
        <w:t>Investors should note that the value of an investment in the Fund and the income derived from it may go down as well as up, and an investor may not get back the amount originally invested. There is no guarantee that the investment objective will be achieved.</w:t>
      </w:r>
    </w:p>
    <w:p>
      <w:pPr>
        <w:pStyle w:val="Heading1"/>
      </w:pPr>
      <w:r>
        <w:t>2. Investment objective and policy</w:t>
      </w:r>
    </w:p>
    <w:p>
      <w:r>
        <w:t>The Fund seeks long-term capital growth by investing primarily in equity securities of companies listed in developed markets worldwide. The Fund is actively managed and is not constrained by any benchmark.</w:t>
      </w:r>
    </w:p>
    <w:p>
      <w:r>
        <w:t>The Manager may, at its discretion, hold ancillary liquid assets and may use financial derivative instruments for efficient portfolio management, hedging and investment purposes, in each case subject to the conditions and limits laid down by the Central Bank.</w:t>
      </w:r>
    </w:p>
    <w:p>
      <w:pPr>
        <w:pStyle w:val="Heading1"/>
      </w:pPr>
      <w:r>
        <w:t>3. Fees and expenses</w:t>
      </w:r>
    </w:p>
    <w:p>
      <w:pPr>
        <w:pStyle w:val="Heading2"/>
      </w:pPr>
      <w:r>
        <w:t>Charges</w:t>
      </w:r>
    </w:p>
    <w:tbl>
      <w:tblPr>
        <w:tblStyle w:val="TableGrid"/>
        <w:tblW w:type="auto" w:w="0"/>
        <w:tblLook w:firstColumn="1" w:firstRow="1" w:lastColumn="0" w:lastRow="0" w:noHBand="0" w:noVBand="1" w:val="04A0"/>
      </w:tblPr>
      <w:tblGrid>
        <w:gridCol w:w="4320"/>
        <w:gridCol w:w="4320"/>
      </w:tblGrid>
      <w:tr>
        <w:tc>
          <w:tcPr>
            <w:tcW w:type="dxa" w:w="4320"/>
          </w:tcPr>
          <w:p>
            <w:r>
              <w:rPr>
                <w:b/>
              </w:rPr>
              <w:t>Charge</w:t>
            </w:r>
          </w:p>
        </w:tc>
        <w:tc>
          <w:tcPr>
            <w:tcW w:type="dxa" w:w="4320"/>
          </w:tcPr>
          <w:p>
            <w:r>
              <w:rPr>
                <w:b/>
              </w:rPr>
              <w:t>Amount</w:t>
            </w:r>
          </w:p>
        </w:tc>
      </w:tr>
      <w:tr>
        <w:tc>
          <w:tcPr>
            <w:tcW w:type="dxa" w:w="4320"/>
          </w:tcPr>
          <w:p>
            <w:r>
              <w:t>Ongoing charges figure</w:t>
            </w:r>
          </w:p>
        </w:tc>
        <w:tc>
          <w:tcPr>
            <w:tcW w:type="dxa" w:w="4320"/>
          </w:tcPr>
          <w:p>
            <w:r>
              <w:t>0.82%</w:t>
            </w:r>
          </w:p>
        </w:tc>
      </w:tr>
      <w:tr>
        <w:tc>
          <w:tcPr>
            <w:tcW w:type="dxa" w:w="4320"/>
          </w:tcPr>
          <w:p>
            <w:r>
              <w:t>Management fee</w:t>
            </w:r>
          </w:p>
        </w:tc>
        <w:tc>
          <w:tcPr>
            <w:tcW w:type="dxa" w:w="4320"/>
          </w:tcPr>
          <w:p>
            <w:r>
              <w:t>0.65%</w:t>
            </w:r>
          </w:p>
        </w:tc>
      </w:tr>
      <w:tr>
        <w:tc>
          <w:tcPr>
            <w:tcW w:type="dxa" w:w="4320"/>
          </w:tcPr>
          <w:p>
            <w:r>
              <w:t>Entry charge</w:t>
            </w:r>
          </w:p>
        </w:tc>
        <w:tc>
          <w:tcPr>
            <w:tcW w:type="dxa" w:w="4320"/>
          </w:tcPr>
          <w:p>
            <w:r>
              <w:t>Nil</w:t>
            </w:r>
          </w:p>
        </w:tc>
      </w:tr>
      <w:tr>
        <w:tc>
          <w:tcPr>
            <w:tcW w:type="dxa" w:w="4320"/>
          </w:tcPr>
          <w:p>
            <w:r>
              <w:t>Exit charge</w:t>
            </w:r>
          </w:p>
        </w:tc>
        <w:tc>
          <w:tcPr>
            <w:tcW w:type="dxa" w:w="4320"/>
          </w:tcPr>
          <w:p>
            <w:r>
              <w:t>Nil</w:t>
            </w:r>
          </w:p>
        </w:tc>
      </w:tr>
    </w:tbl>
    <w:p/>
    <w:p>
      <w:r>
        <w:t>The ongoing charges figure is based on expenses for the twelve month period ending 31 December 2024 and may vary from year to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