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df37c0144a56d61e0012aa52b6993b04a985a24"/>
    <w:p>
      <w:pPr>
        <w:pStyle w:val="Heading1"/>
      </w:pPr>
      <w:r>
        <w:t xml:space="preserve">Objeto y alcance de la metodología integrada</w:t>
      </w:r>
    </w:p>
    <w:bookmarkStart w:id="23" w:name="finalidad"/>
    <w:p>
      <w:pPr>
        <w:pStyle w:val="Heading2"/>
      </w:pPr>
      <w:r>
        <w:t xml:space="preserve">Finalidad</w:t>
      </w:r>
    </w:p>
    <w:p>
      <w:pPr>
        <w:pStyle w:val="FirstParagraph"/>
      </w:pPr>
      <w:r>
        <w:t xml:space="preserve">Esta metodología reúne en un único procedimiento las acciones del relleno, la</w:t>
      </w:r>
      <w:r>
        <w:t xml:space="preserve"> </w:t>
      </w:r>
      <w:r>
        <w:t xml:space="preserve">respuesta de la sección transversal y las comprobaciones estructurales de la</w:t>
      </w:r>
      <w:r>
        <w:t xml:space="preserve"> </w:t>
      </w:r>
      <w:r>
        <w:t xml:space="preserve">chapa de acero corrugada y de secciones de hormigón proyectado simple o</w:t>
      </w:r>
      <w:r>
        <w:t xml:space="preserve"> </w:t>
      </w:r>
      <w:r>
        <w:t xml:space="preserve">armado. El estudio de hormigón armado comprende mallas simétricas y una</w:t>
      </w:r>
      <w:r>
        <w:t xml:space="preserve"> </w:t>
      </w:r>
      <w:r>
        <w:t xml:space="preserve">sección compuesta explícita formada por la chapa existente y una malla</w:t>
      </w:r>
      <w:r>
        <w:t xml:space="preserve"> </w:t>
      </w:r>
      <w:r>
        <w:t xml:space="preserve">interior. La memoria de cálculo aplica ese procedimiento a un escenario</w:t>
      </w:r>
      <w:r>
        <w:t xml:space="preserve"> </w:t>
      </w:r>
      <w:r>
        <w:t xml:space="preserve">determinado.</w:t>
      </w:r>
    </w:p>
    <w:p>
      <w:pPr>
        <w:pStyle w:val="BodyText"/>
      </w:pPr>
      <w:r>
        <w:t xml:space="preserve">El estado efectivo inicial se obtiene a partir de la tapada, el peso unitario,</w:t>
      </w:r>
      <w:r>
        <w:t xml:space="preserve"> </w:t>
      </w:r>
      <w:r>
        <w:t xml:space="preserve">la sobrecarga, el ángulo de fricción efectiva, la historia tensional y la</w:t>
      </w:r>
      <w:r>
        <w:t xml:space="preserve"> </w:t>
      </w:r>
      <w:r>
        <w:t xml:space="preserve">presión de agua. En el escenario normalmente consolidado,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 calcula a</w:t>
      </w:r>
      <w:r>
        <w:t xml:space="preserve"> </w:t>
      </w:r>
      <w:r>
        <w:t xml:space="preserve">partir de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 no se fija como una constante independiente del relleno. El</w:t>
      </w:r>
      <w:r>
        <w:t xml:space="preserve"> </w:t>
      </w:r>
      <w:r>
        <w:t xml:space="preserve">estado de campo libre resultante alimenta la solución de carga externa de</w:t>
      </w:r>
      <w:r>
        <w:t xml:space="preserve"> </w:t>
      </w:r>
      <w:r>
        <w:t xml:space="preserve">Schwartz–Einstein para los límites con deslizamiento libre y sin</w:t>
      </w:r>
      <w:r>
        <w:t xml:space="preserve"> </w:t>
      </w:r>
      <w:r>
        <w:t xml:space="preserve">deslizamiento.</w:t>
      </w:r>
    </w:p>
    <w:p>
      <w:pPr>
        <w:pStyle w:val="BodyText"/>
      </w:pPr>
      <w:r>
        <w:t xml:space="preserve">Las resultantes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de diseño suman dos componentes. Schwartz–Einstein</w:t>
      </w:r>
      <w:r>
        <w:t xml:space="preserve"> </w:t>
      </w:r>
      <w:r>
        <w:t xml:space="preserve">determina los modos uniformes y de ovalización con las rigideces propias de</w:t>
      </w:r>
      <w:r>
        <w:t xml:space="preserve"> </w:t>
      </w:r>
      <w:r>
        <w:t xml:space="preserve">cada revestimiento; la variación geostática lineal entre clave y solera se</w:t>
      </w:r>
      <w:r>
        <w:t xml:space="preserve"> </w:t>
      </w:r>
      <w:r>
        <w:t xml:space="preserve">incorpora mediante una corrección equilibrada de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. En forma</w:t>
      </w:r>
      <w:r>
        <w:t xml:space="preserve"> </w:t>
      </w:r>
      <w:r>
        <w:t xml:space="preserve">separada, el estado biaxial uniforme se proyecta como carga prescrita y se</w:t>
      </w:r>
      <w:r>
        <w:t xml:space="preserve"> </w:t>
      </w:r>
      <w:r>
        <w:t xml:space="preserve">resuelve mediante integración directa de las ecuaciones de la viga curva y</w:t>
      </w:r>
      <w:r>
        <w:t xml:space="preserve"> </w:t>
      </w:r>
      <w:r>
        <w:t xml:space="preserve">cierre por compatibilidad. La solución cerrada y Fourier controlan esa</w:t>
      </w:r>
      <w:r>
        <w:t xml:space="preserve"> </w:t>
      </w:r>
      <w:r>
        <w:t xml:space="preserve">integración; no reemplazan la interacción ni convergen a ella.</w:t>
      </w:r>
    </w:p>
    <w:p>
      <w:pPr>
        <w:pStyle w:val="BodyText"/>
      </w:pPr>
      <w:r>
        <w:t xml:space="preserve">Cada alternativa autónoma utiliza sus propias rigideces circunferenciales y</w:t>
      </w:r>
      <w:r>
        <w:t xml:space="preserve"> </w:t>
      </w:r>
      <w:r>
        <w:t xml:space="preserve">no transfiere resultantes entre la chapa y el hormigón. La sección compuesta</w:t>
      </w:r>
      <w:r>
        <w:t xml:space="preserve"> </w:t>
      </w:r>
      <w:r>
        <w:t xml:space="preserve">constituye un caso distinto: combina ambos materiales, determina su centroide</w:t>
      </w:r>
      <w:r>
        <w:t xml:space="preserve"> </w:t>
      </w:r>
      <w:r>
        <w:t xml:space="preserve">y sus rigideces y recalcula la demanda con esas propiedades. El problema es</w:t>
      </w:r>
      <w:r>
        <w:t xml:space="preserve"> </w:t>
      </w:r>
      <w:r>
        <w:t xml:space="preserve">plano, sin variación longitudinal de las cargas, y las magnitudes se expresan</w:t>
      </w:r>
      <w:r>
        <w:t xml:space="preserve"> </w:t>
      </w:r>
      <w:r>
        <w:t xml:space="preserve">por unidad de longitud del eje.</w:t>
      </w:r>
    </w:p>
    <w:p>
      <w:pPr>
        <w:pStyle w:val="BodyText"/>
      </w:pPr>
      <w:r>
        <w:t xml:space="preserve">En Schwartz–Einstein,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, el radio y las rigideces del anillo</w:t>
      </w:r>
      <w:r>
        <w:t xml:space="preserve"> </w:t>
      </w:r>
      <w:r>
        <w:t xml:space="preserve">determinan las razones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redistribuyen la demanda. En el control</w:t>
      </w:r>
      <w:r>
        <w:t xml:space="preserve"> </w:t>
      </w:r>
      <w:r>
        <w:t xml:space="preserve">de carga prescrita, la rigidez no redistribuye los modos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; la razón</w:t>
      </w:r>
      <w:r>
        <w:t xml:space="preserve"> </w:t>
      </w:r>
      <m:oMath>
        <m:r>
          <m:t>I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sólo interviene en la compatibilidad del momento uniforme. Esta</w:t>
      </w:r>
      <w:r>
        <w:t xml:space="preserve"> </w:t>
      </w:r>
      <w:r>
        <w:t xml:space="preserve">diferencia mantiene separadas ambas formulaciones.</w:t>
      </w:r>
    </w:p>
    <w:bookmarkEnd w:id="23"/>
    <w:bookmarkStart w:id="24" w:name="secuencia-de-cálculo"/>
    <w:p>
      <w:pPr>
        <w:pStyle w:val="Heading2"/>
      </w:pPr>
      <w:r>
        <w:t xml:space="preserve">Secuencia de cálculo</w:t>
      </w:r>
    </w:p>
    <w:p>
      <w:pPr>
        <w:pStyle w:val="FirstParagraph"/>
      </w:pPr>
      <w:r>
        <w:t xml:space="preserve">El procedimiento comprende las operaciones siguientes:</w:t>
      </w:r>
    </w:p>
    <w:p>
      <w:pPr>
        <w:pStyle w:val="ListNumber"/>
      </w:pPr>
      <w:r>
        <w:t xml:space="preserve">definir la geometría, la tapada, las propiedades del relleno, la condición</w:t>
      </w:r>
      <w:r>
        <w:t xml:space="preserve"> </w:t>
      </w:r>
      <w:r>
        <w:t xml:space="preserve">hidráulica y la sección de cada alternativa;</w:t>
      </w:r>
    </w:p>
    <w:p>
      <w:pPr>
        <w:pStyle w:val="ListNumber"/>
      </w:pPr>
      <w:r>
        <w:t xml:space="preserve">derivar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de las variables geotécnicas y calcular el estado efectivo en</w:t>
      </w:r>
      <w:r>
        <w:t xml:space="preserve"> </w:t>
      </w:r>
      <w:r>
        <w:t xml:space="preserve">la cota de referencia;</w:t>
      </w:r>
    </w:p>
    <w:p>
      <w:pPr>
        <w:pStyle w:val="ListNumber"/>
      </w:pPr>
      <w:r>
        <w:t xml:space="preserve">calcular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resolver la carga externa de</w:t>
      </w:r>
      <w:r>
        <w:t xml:space="preserve"> </w:t>
      </w:r>
      <w:r>
        <w:t xml:space="preserve">Schwartz–Einstein para cada revestimiento y cada límite de interfaz;</w:t>
      </w:r>
    </w:p>
    <w:p>
      <w:pPr>
        <w:pStyle w:val="ListNumber"/>
      </w:pPr>
      <w:r>
        <w:t xml:space="preserve">proyectar el gradiente geostático lineal, incorporar la reacción radial</w:t>
      </w:r>
      <w:r>
        <w:t xml:space="preserve"> </w:t>
      </w:r>
      <w:r>
        <w:t xml:space="preserve">que equilibra el modo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superponer sus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;</w:t>
      </w:r>
    </w:p>
    <w:p>
      <w:pPr>
        <w:pStyle w:val="ListNumber"/>
      </w:pPr>
      <w:r>
        <w:t xml:space="preserve">formar las combinaciones resistentes y recalcular las resultantes</w:t>
      </w:r>
      <w:r>
        <w:t xml:space="preserve"> </w:t>
      </w:r>
      <w:r>
        <w:t xml:space="preserve">concurrentes;</w:t>
      </w:r>
    </w:p>
    <w:p>
      <w:pPr>
        <w:pStyle w:val="ListNumber"/>
      </w:pPr>
      <w:r>
        <w:t xml:space="preserve">proyectar por separado el estado biaxial uniforme como carga prescrita, integrarlo y</w:t>
      </w:r>
      <w:r>
        <w:t xml:space="preserve"> </w:t>
      </w:r>
      <w:r>
        <w:t xml:space="preserve">controlarlo contra la solución cerrada y Fourier;</w:t>
      </w:r>
    </w:p>
    <w:p>
      <w:pPr>
        <w:pStyle w:val="ListNumber"/>
      </w:pPr>
      <w:r>
        <w:t xml:space="preserve">comprobar que cada alternativa conserva su propio radio y sus propias</w:t>
      </w:r>
      <w:r>
        <w:t xml:space="preserve"> </w:t>
      </w:r>
      <w:r>
        <w:t xml:space="preserve">rigideces;</w:t>
      </w:r>
    </w:p>
    <w:p>
      <w:pPr>
        <w:pStyle w:val="ListNumber"/>
      </w:pPr>
      <w:r>
        <w:t xml:space="preserve">evaluar la chapa mediante la rama de referencia AASHTO aplicable a</w:t>
      </w:r>
      <w:r>
        <w:t xml:space="preserve"> </w:t>
      </w:r>
      <w:r>
        <w:t xml:space="preserve">conductos corrugados, manteniendo separados pared, pandeo, costura,</w:t>
      </w:r>
      <w:r>
        <w:t xml:space="preserve"> </w:t>
      </w:r>
      <w:r>
        <w:t xml:space="preserve">flexibilidad y tapada mínima; y</w:t>
      </w:r>
    </w:p>
    <w:p>
      <w:pPr>
        <w:pStyle w:val="ListNumber"/>
      </w:pPr>
      <w:r>
        <w:t xml:space="preserve">evaluar el hormigón simple y armado mediante las comprobaciones seccionales</w:t>
      </w:r>
      <w:r>
        <w:t xml:space="preserve"> </w:t>
      </w:r>
      <w:r>
        <w:t xml:space="preserve">ACI adoptadas, incluida la familia de dominios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para distintas</w:t>
      </w:r>
      <w:r>
        <w:t xml:space="preserve"> </w:t>
      </w:r>
      <w:r>
        <w:t xml:space="preserve">cuantías de armadura.</w:t>
      </w:r>
    </w:p>
    <w:p>
      <w:pPr>
        <w:pStyle w:val="BodyText"/>
      </w:pPr>
      <w:r>
        <w:t xml:space="preserve">La comparación de armaduras es discreta. Cada curva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representa los</w:t>
      </w:r>
      <w:r>
        <w:t xml:space="preserve"> </w:t>
      </w:r>
      <w:r>
        <w:t xml:space="preserve">estados resistentes de una cuantía determinada; sus puntos no son iteraciones</w:t>
      </w:r>
      <w:r>
        <w:t xml:space="preserve"> </w:t>
      </w:r>
      <w:r>
        <w:t xml:space="preserve">del cálculo. Las mallas simétricas de un mismo espesor comparten la demanda</w:t>
      </w:r>
      <w:r>
        <w:t xml:space="preserve"> </w:t>
      </w:r>
      <w:r>
        <w:t xml:space="preserve">calculada con la rigidez fisurada adoptada. La sección compuesta recalcula la</w:t>
      </w:r>
      <w:r>
        <w:t xml:space="preserve"> </w:t>
      </w:r>
      <w:r>
        <w:t xml:space="preserve">demanda con sus propias rigideces. El usuario puede modificar los parámetros y</w:t>
      </w:r>
      <w:r>
        <w:t xml:space="preserve"> </w:t>
      </w:r>
      <w:r>
        <w:t xml:space="preserve">reevaluar el caso; la metodología no selecciona una cuantía óptima ni adopta</w:t>
      </w:r>
      <w:r>
        <w:t xml:space="preserve"> </w:t>
      </w:r>
      <w:r>
        <w:t xml:space="preserve">una malla final.</w:t>
      </w:r>
    </w:p>
    <w:bookmarkEnd w:id="24"/>
    <w:bookmarkStart w:id="25" w:name="bases-resistentes-y-límites"/>
    <w:p>
      <w:pPr>
        <w:pStyle w:val="Heading2"/>
      </w:pPr>
      <w:r>
        <w:t xml:space="preserve">Bases resistentes y límites</w:t>
      </w:r>
    </w:p>
    <w:p>
      <w:pPr>
        <w:pStyle w:val="FirstParagraph"/>
      </w:pPr>
      <w:r>
        <w:t xml:space="preserve">La clasificación del producto precede a la comprobación de la chapa. La rama</w:t>
      </w:r>
      <w:r>
        <w:t xml:space="preserve"> </w:t>
      </w:r>
      <w:r>
        <w:t xml:space="preserve">de cálculo reproduce relaciones identificadas para AASHTO LRFD, sección 12.7,</w:t>
      </w:r>
      <w:r>
        <w:t xml:space="preserve"> </w:t>
      </w:r>
      <w:r>
        <w:t xml:space="preserve">y conserva por separado el estado de verificación de la edición, las erratas y</w:t>
      </w:r>
      <w:r>
        <w:t xml:space="preserve"> </w:t>
      </w:r>
      <w:r>
        <w:t xml:space="preserve">la aplicabilidad del producto. Mientras esos tres elementos no estén</w:t>
      </w:r>
      <w:r>
        <w:t xml:space="preserve"> </w:t>
      </w:r>
      <w:r>
        <w:t xml:space="preserve">confirmados para la edición contractual, los resultados son comparaciones</w:t>
      </w:r>
      <w:r>
        <w:t xml:space="preserve"> </w:t>
      </w:r>
      <w:r>
        <w:t xml:space="preserve">aritméticas de una base de referencia y no una declaración de cumplimiento.</w:t>
      </w:r>
      <w:r>
        <w:t xml:space="preserve"> </w:t>
      </w:r>
      <w:r>
        <w:t xml:space="preserve">AISI se conserva como antecedente de investigación y no participa del dictamen</w:t>
      </w:r>
      <w:r>
        <w:t xml:space="preserve"> </w:t>
      </w:r>
      <w:r>
        <w:t xml:space="preserve">vigente.</w:t>
      </w:r>
    </w:p>
    <w:p>
      <w:pPr>
        <w:pStyle w:val="BodyText"/>
      </w:pPr>
      <w:r>
        <w:t xml:space="preserve">Para el hormigón proyectado, ACI CODE-318-25 proporciona las comprobaciones</w:t>
      </w:r>
      <w:r>
        <w:t xml:space="preserve"> </w:t>
      </w:r>
      <w:r>
        <w:t xml:space="preserve">seccionales de flexocompresión y corte. ACI 318.2-14 se conserva como base</w:t>
      </w:r>
      <w:r>
        <w:t xml:space="preserve"> </w:t>
      </w:r>
      <w:r>
        <w:t xml:space="preserve">bibliográfica explícita del control separado de armadura mínima y distribución</w:t>
      </w:r>
      <w:r>
        <w:t xml:space="preserve"> </w:t>
      </w:r>
      <w:r>
        <w:t xml:space="preserve">entre caras; ese control no selecciona una malla ni reemplaza el dominio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. La fisuración, el servicio, la durabilidad, las juntas, los anclajes,</w:t>
      </w:r>
      <w:r>
        <w:t xml:space="preserve"> </w:t>
      </w:r>
      <w:r>
        <w:t xml:space="preserve">la transferencia con la chapa y la estabilidad global requieren sus propias</w:t>
      </w:r>
      <w:r>
        <w:t xml:space="preserve"> </w:t>
      </w:r>
      <w:r>
        <w:t xml:space="preserve">comprobaciones.</w:t>
      </w:r>
    </w:p>
    <w:p>
      <w:pPr>
        <w:pStyle w:val="BodyText"/>
      </w:pPr>
      <w:r>
        <w:t xml:space="preserve">La metodología vigente es determinística. Las condiciones de interfaz, las</w:t>
      </w:r>
      <w:r>
        <w:t xml:space="preserve"> </w:t>
      </w:r>
      <w:r>
        <w:t xml:space="preserve">propiedades y las alternativas se evalúan como escenarios separados, sin</w:t>
      </w:r>
      <w:r>
        <w:t xml:space="preserve"> </w:t>
      </w:r>
      <w:r>
        <w:t xml:space="preserve">asignarles probabilidades ni combinarlos en una distribución de respuesta.</w:t>
      </w:r>
    </w:p>
    <w:bookmarkEnd w:id="25"/>
    <w:bookmarkEnd w:id="26"/>
    <w:bookmarkStart w:id="39" w:name="X14d3ee7709f00eedeeb2ac937bf1f53afc01ed1"/>
    <w:p>
      <w:pPr>
        <w:pStyle w:val="Heading1"/>
      </w:pPr>
      <w:r>
        <w:t xml:space="preserve">Antecedentes y alcance de las formulaciones de referencia</w:t>
      </w:r>
    </w:p>
    <w:p>
      <w:pPr>
        <w:pStyle w:val="FirstParagraph"/>
      </w:pPr>
      <w:r>
        <w:t xml:space="preserve">Las referencias examinadas corresponden a sistemas estructurales y secuencias</w:t>
      </w:r>
      <w:r>
        <w:t xml:space="preserve"> </w:t>
      </w:r>
      <w:r>
        <w:t xml:space="preserve">constructivas diferentes. La</w:t>
      </w:r>
      <w:r>
        <w:t xml:space="preserve"> </w:t>
      </w:r>
      <w:hyperlink w:anchor="tbl-methods">
        <w:r>
          <w:rPr>
            <w:rStyle w:val="Hyperlink"/>
          </w:rPr>
          <w:t xml:space="preserve">tabla 1</w:t>
        </w:r>
      </w:hyperlink>
      <w:r>
        <w:t xml:space="preserve"> </w:t>
      </w:r>
      <w:r>
        <w:t xml:space="preserve">identifica las magnitudes que aporta</w:t>
      </w:r>
      <w:r>
        <w:t xml:space="preserve"> </w:t>
      </w:r>
      <w:r>
        <w:t xml:space="preserve">cada una y su función dentro de la metodología.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methods"/>
          <w:p>
            <w:pPr>
              <w:jc w:val="left"/>
              <w:pStyle w:val="ImageCaption"/>
            </w:pPr>
            <w:r>
              <w:t xml:space="preserve">Tabla 1: Formulaciones consideradas y función asignada en el estudio.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Sistema considerado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Resultados que entrega la formulación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Función en la metodología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Baker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Baker1968">
                    <w:r>
                      <w:rPr>
                        <w:rStyle w:val="Hyperlink"/>
                      </w:rPr>
                      <w:t xml:space="preserve">Baker 1968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viga curva circular delgada con carga radial prescrita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y desplazamientos mediante series de Fourier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base mecánica del caso radial y comprobación con cargas por sectores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Schwartz–Einstein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SchwartzEinstein1980">
                    <w:r>
                      <w:rPr>
                        <w:rStyle w:val="Hyperlink"/>
                      </w:rPr>
                      <w:t xml:space="preserve">Schwartz y Einstein 1980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revestimiento circular extensible en un medio elástico homogéneo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 normal y momento en función de la rigidez relativa, el estado inicial y la interfaz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demanda interactiva mediante carga externa; descarga por excavación conservada como contraste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USACE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USACE2020">
                    <w:r>
                      <w:rPr>
                        <w:rStyle w:val="Hyperlink"/>
                      </w:rPr>
                      <w:t xml:space="preserve">U.S. Army Corps of Engineers 2020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tubería metálica corrugada enterrada, diseño LRFD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 normal circunferencial factorizada por unidad de longitud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comparación externa de la componente uniforme de fuerza normal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FHWA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McGrathEtAl1999">
                    <w:r>
                      <w:rPr>
                        <w:rStyle w:val="Hyperlink"/>
                      </w:rPr>
                      <w:t xml:space="preserve">McGrath et al. 1999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conductos instalados en zanja o terraplén; ensayos y análisis de interacción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carga vertical, empuje en hastiales y acción de la compactación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definición de estados de instalación y reproducción de la Ec. 5.1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Núñez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Nunez2000">
                    <w:r>
                      <w:rPr>
                        <w:rStyle w:val="Hyperlink"/>
                      </w:rPr>
                      <w:t xml:space="preserve">Núñez 2000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túneles excavados en suelos pampeanos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fuerzas normales y momentos en puntos característicos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comparación semiempírica con los ejemplos circulares sin presión de agua de 2000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Núñez, Sfriso y Laiún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NunezSfrisoLaiun2014">
                    <w:r>
                      <w:rPr>
                        <w:rStyle w:val="Hyperlink"/>
                      </w:rPr>
                      <w:t xml:space="preserve">Núñez et al. 2014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sostenimientos temporarios de túneles excavados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fuerzas normales y momentos calculados y obtenidos numéricamente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contraste de la versión 2014 y de su dispersión respecto de análisis bidimensionales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CSPI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CSPIHandbookChapter2">
                    <w:r>
                      <w:rPr>
                        <w:rStyle w:val="Hyperlink"/>
                      </w:rPr>
                      <w:t xml:space="preserve">Corrugated Steel Pipe Institute, s. f.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perfiles de chapa corrugada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geometría, área y segundo momento de área por unidad de ancho proyectado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propiedades de referencia de la sección corrugada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Mai</w:t>
                  </w:r>
                  <w:r>
                    <w:t xml:space="preserve"> </w:t>
                  </w:r>
                  <w:r>
                    <w:t xml:space="preserve">(</w:t>
                  </w:r>
                  <w:hyperlink w:anchor="ref-Mai2013">
                    <w:r>
                      <w:rPr>
                        <w:rStyle w:val="Hyperlink"/>
                      </w:rPr>
                      <w:t xml:space="preserve">Mai 2013</w:t>
                    </w:r>
                  </w:hyperlink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conductos de acero corrugado deteriorados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propiedades seccionales equivalentes y resultados experimentales y numéricos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comparación de la equivalencia entre rigideces seccionales</w:t>
                  </w:r>
                </w:p>
              </w:tc>
            </w:tr>
          </w:tbl>
          <w:bookmarkEnd w:id="27"/>
          <w:p/>
        </w:tc>
      </w:tr>
    </w:tbl>
    <w:bookmarkStart w:id="28" w:name="solución-de-baker-para-cargas-prescritas"/>
    <w:p>
      <w:pPr>
        <w:pStyle w:val="Heading2"/>
      </w:pPr>
      <w:r>
        <w:t xml:space="preserve">Solución de Baker para cargas prescritas</w:t>
      </w:r>
    </w:p>
    <w:p>
      <w:pPr>
        <w:pStyle w:val="FirstParagraph"/>
      </w:pPr>
      <w:r>
        <w:t xml:space="preserve">Baker formula la respuesta de una viga curva circular delgada sometida a carga</w:t>
      </w:r>
      <w:r>
        <w:t xml:space="preserve"> </w:t>
      </w:r>
      <w:r>
        <w:t xml:space="preserve">radial mediante equilibrio, compatibilidad y series de Fourier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1968, 15-21</w:t>
        </w:r>
      </w:hyperlink>
      <w:r>
        <w:t xml:space="preserve">)</w:t>
      </w:r>
      <w:r>
        <w:t xml:space="preserve">. En esa referencia la carga radial constituye un dato</w:t>
      </w:r>
      <w:r>
        <w:t xml:space="preserve"> </w:t>
      </w:r>
      <w:r>
        <w:t xml:space="preserve">del problema; por consiguiente, la caracterización geotécnica se establece por</w:t>
      </w:r>
      <w:r>
        <w:t xml:space="preserve"> </w:t>
      </w:r>
      <w:r>
        <w:t xml:space="preserve">separado.</w:t>
      </w:r>
    </w:p>
    <w:p>
      <w:pPr>
        <w:pStyle w:val="BodyText"/>
      </w:pPr>
      <w:r>
        <w:t xml:space="preserve">La tesis de Baker formula exclusivamente la carga radial. La componente</w:t>
      </w:r>
      <w:r>
        <w:t xml:space="preserve"> </w:t>
      </w:r>
      <w:r>
        <w:t xml:space="preserve">tangencial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se obtiene por equilibrio vectorial del elemento</w:t>
      </w:r>
      <w:r>
        <w:t xml:space="preserve"> </w:t>
      </w:r>
      <w:r>
        <w:t xml:space="preserve">diferencial y se comprueba por sustitución armónica. La derivación se presenta</w:t>
      </w:r>
      <w:r>
        <w:t xml:space="preserve"> </w:t>
      </w:r>
      <w:r>
        <w:t xml:space="preserve">en la sección estructural y en el apéndice.</w:t>
      </w:r>
    </w:p>
    <w:bookmarkEnd w:id="28"/>
    <w:bookmarkStart w:id="32" w:name="interacción-según-schwartzeinstein"/>
    <w:p>
      <w:pPr>
        <w:pStyle w:val="Heading2"/>
      </w:pPr>
      <w:r>
        <w:t xml:space="preserve">Interacción según Schwartz–Einstein</w:t>
      </w:r>
    </w:p>
    <w:p>
      <w:pPr>
        <w:pStyle w:val="FirstParagraph"/>
      </w:pPr>
      <w:r>
        <w:t xml:space="preserve">Schwartz y Einstein representan la interacción entre un revestimiento circular</w:t>
      </w:r>
      <w:r>
        <w:t xml:space="preserve"> </w:t>
      </w:r>
      <w:r>
        <w:t xml:space="preserve">y un medio elástico mediante las razones adimensionales de compresibilidad y</w:t>
      </w:r>
      <w:r>
        <w:t xml:space="preserve"> </w:t>
      </w:r>
      <w:r>
        <w:t xml:space="preserve">flexibilidad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ecs. 2.1–2.2, pp. 12–13)</w:t>
      </w:r>
      <w:r>
        <w:t xml:space="preserve">:</w:t>
      </w:r>
    </w:p>
    <w:p>
      <w:pPr>
        <w:pStyle w:val="BodyText"/>
      </w:pPr>
      <w:bookmarkStart w:id="29" w:name="eq-se-stiffness"/>
      <m:oMathPara>
        <m:oMathParaPr>
          <m:jc m:val="center"/>
        </m:oMathParaPr>
        <m:oMath>
          <m:sSup>
            <m:e>
              <m:r>
                <m:t>C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r>
                <m:t>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ℓ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ℓ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  <m:sSub>
                <m:e>
                  <m:r>
                    <m:t>I</m:t>
                  </m:r>
                </m:e>
                <m:sub>
                  <m:r>
                    <m:t>ℓ</m:t>
                  </m:r>
                </m:sub>
              </m:s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Aquí,</w:t>
      </w:r>
      <w:r>
        <w:t xml:space="preserve"> </w:t>
      </w:r>
      <m:oMath>
        <m:sSub>
          <m:e>
            <m:r>
              <m:t>E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son las propiedades elásticas del terreno;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ℓ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I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corresponden al revestimiento por</w:t>
      </w:r>
      <w:r>
        <w:t xml:space="preserve"> </w:t>
      </w:r>
      <w:r>
        <w:t xml:space="preserve">unidad de longitud axial. Para una tensión vertical inicial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y un</w:t>
      </w:r>
      <w:r>
        <w:t xml:space="preserve"> </w:t>
      </w:r>
      <w:r>
        <w:t xml:space="preserve">cociente horizontal/vertical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, las soluciones adoptan la forma</w:t>
      </w:r>
    </w:p>
    <w:p>
      <w:pPr>
        <w:pStyle w:val="BodyText"/>
      </w:pPr>
      <w:bookmarkStart w:id="30" w:name="eq-se-response"/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r>
                <m:t>R</m:t>
              </m:r>
            </m:den>
          </m:f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t>2</m:t>
          </m:r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P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t>2</m:t>
          </m:r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La fuente mide</w:t>
      </w:r>
      <w:r>
        <w:t xml:space="preserve"> </w:t>
      </w:r>
      <m:oMath>
        <m:sSub>
          <m:e>
            <m:r>
              <m:t>θ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desde el hastial derecho en sentido antihorario y</w:t>
      </w:r>
      <w:r>
        <w:t xml:space="preserve"> </w:t>
      </w:r>
      <w:r>
        <w:t xml:space="preserve">adopta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compresión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1980, fig. 2.6</w:t>
        </w:r>
      </w:hyperlink>
      <w:r>
        <w:t xml:space="preserve">, p. 22)</w:t>
      </w:r>
      <w:r>
        <w:t xml:space="preserve">. El cambio a la convención general es</w:t>
      </w:r>
    </w:p>
    <w:p>
      <w:pPr>
        <w:pStyle w:val="BodyText"/>
      </w:pPr>
      <w:bookmarkStart w:id="31" w:name="eq-se-coordinate-normal-conversion"/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θ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La conversión de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y de la fuerza cortante se detalla junto con los</w:t>
      </w:r>
      <w:r>
        <w:t xml:space="preserve"> </w:t>
      </w:r>
      <w:r>
        <w:t xml:space="preserve">coeficientes del apéndice. Los coeficientes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dependen de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, la secuencia de carga y la condición de</w:t>
      </w:r>
      <w:r>
        <w:t xml:space="preserve"> </w:t>
      </w:r>
      <w:r>
        <w:t xml:space="preserve">interfaz.</w:t>
      </w:r>
    </w:p>
    <w:p>
      <w:pPr>
        <w:pStyle w:val="BodyText"/>
      </w:pPr>
      <w:r>
        <w:t xml:space="preserve">La referencia distingue carga externa —el revestimiento existe cuando se</w:t>
      </w:r>
      <w:r>
        <w:t xml:space="preserve"> </w:t>
      </w:r>
      <w:r>
        <w:t xml:space="preserve">aplica el estado tensional— y descarga por excavación —el terreno está</w:t>
      </w:r>
      <w:r>
        <w:t xml:space="preserve"> </w:t>
      </w:r>
      <w:r>
        <w:t xml:space="preserve">tensionado antes de excavar e instalar el sostenimiento—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1980, sec. 2.3</w:t>
        </w:r>
      </w:hyperlink>
      <w:r>
        <w:t xml:space="preserve">, pp. 18–20)</w:t>
      </w:r>
      <w:r>
        <w:t xml:space="preserve">. Para el conducto colocado y</w:t>
      </w:r>
      <w:r>
        <w:t xml:space="preserve"> </w:t>
      </w:r>
      <w:r>
        <w:t xml:space="preserve">rellenado se adopta la carga externa como modelo de interacción. Sus límites</w:t>
      </w:r>
      <w:r>
        <w:t xml:space="preserve"> </w:t>
      </w:r>
      <w:r>
        <w:t xml:space="preserve">son explícitos: el medio infinito, el campo uniforme y la ausencia de tongadas</w:t>
      </w:r>
      <w:r>
        <w:t xml:space="preserve"> </w:t>
      </w:r>
      <w:r>
        <w:t xml:space="preserve">no reproducen la instalación real ni la superficie libre.</w:t>
      </w:r>
    </w:p>
    <w:p>
      <w:pPr>
        <w:pStyle w:val="BodyText"/>
      </w:pPr>
      <w:r>
        <w:t xml:space="preserve">Las razones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introducen la compatibilidad de deformaciones y el</w:t>
      </w:r>
      <w:r>
        <w:t xml:space="preserve"> </w:t>
      </w:r>
      <w:r>
        <w:t xml:space="preserve">reparto elástico de carga: un cambio de rigidez del revestimiento modifica los</w:t>
      </w:r>
      <w:r>
        <w:t xml:space="preserve"> </w:t>
      </w:r>
      <w:r>
        <w:t xml:space="preserve">coeficientes de fuerza normal y momento. Esta compatibilidad no es el método de</w:t>
      </w:r>
      <w:r>
        <w:t xml:space="preserve"> </w:t>
      </w:r>
      <w:r>
        <w:t xml:space="preserve">convergencia–confinamiento empleado para túneles excavados. La formulación</w:t>
      </w:r>
      <w:r>
        <w:t xml:space="preserve"> </w:t>
      </w:r>
      <w:r>
        <w:t xml:space="preserve">no construye una curva de reacción del terreno ni una curva característica del</w:t>
      </w:r>
      <w:r>
        <w:t xml:space="preserve"> </w:t>
      </w:r>
      <w:r>
        <w:t xml:space="preserve">sostenimiento, y por lo tanto no calcula la intersección denominada a veces</w:t>
      </w:r>
      <w:r>
        <w:t xml:space="preserve"> </w:t>
      </w:r>
      <w:r>
        <w:t xml:space="preserve">“punto de convergencia”. Tampoco necesita un factor de liberación por frente</w:t>
      </w:r>
      <w:r>
        <w:t xml:space="preserve"> </w:t>
      </w:r>
      <w:r>
        <w:t xml:space="preserve">para la secuencia de carga externa adoptada.</w:t>
      </w:r>
    </w:p>
    <w:bookmarkEnd w:id="32"/>
    <w:bookmarkStart w:id="35" w:name="formulación-circular-de-núñez-2000"/>
    <w:p>
      <w:pPr>
        <w:pStyle w:val="Heading2"/>
      </w:pPr>
      <w:r>
        <w:t xml:space="preserve">Formulación circular de Núñez (2000)</w:t>
      </w:r>
    </w:p>
    <w:p>
      <w:pPr>
        <w:pStyle w:val="FirstParagraph"/>
      </w:pPr>
      <w:r>
        <w:t xml:space="preserve">Núñez (2000) desarrolla una formulación semiempírica para túneles excavados y</w:t>
      </w:r>
      <w:r>
        <w:t xml:space="preserve"> </w:t>
      </w:r>
      <w:r>
        <w:t xml:space="preserve">publica ejemplos de una sección circular sin presión de agua</w:t>
      </w:r>
      <w:r>
        <w:t xml:space="preserve"> </w:t>
      </w:r>
      <w:r>
        <w:t xml:space="preserve">(</w:t>
      </w:r>
      <w:hyperlink w:anchor="ref-Nunez2000">
        <w:r>
          <w:rPr>
            <w:rStyle w:val="Hyperlink"/>
          </w:rPr>
          <w:t xml:space="preserve">Núñez 2000</w:t>
        </w:r>
      </w:hyperlink>
      <w:r>
        <w:t xml:space="preserve">, sec. </w:t>
      </w:r>
      <w:r>
        <w:t xml:space="preserve">“Cálculo aproximado del revestimiento”</w:t>
      </w:r>
      <w:r>
        <w:t xml:space="preserve">, pp. 13–15 de la versión digital)</w:t>
      </w:r>
      <w:r>
        <w:t xml:space="preserve">. Para diámetro</w:t>
      </w:r>
      <w:r>
        <w:t xml:space="preserve"> </w:t>
      </w:r>
      <m:oMath>
        <m:r>
          <m:t>D</m:t>
        </m:r>
      </m:oMath>
      <w:r>
        <w:t xml:space="preserve">, profundidad del eje</w:t>
      </w:r>
      <w:r>
        <w:t xml:space="preserve"> </w:t>
      </w:r>
      <m:oMath>
        <m:r>
          <m:t>H</m:t>
        </m:r>
      </m:oMath>
      <w:r>
        <w:t xml:space="preserve">, espesor homogéneo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y presión vertical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γ</m:t>
        </m:r>
        <m:r>
          <m:t>H</m:t>
        </m:r>
        <m:r>
          <m:rPr>
            <m:sty m:val="p"/>
          </m:rPr>
          <m:t>+</m:t>
        </m:r>
        <m:r>
          <m:t>q</m:t>
        </m:r>
      </m:oMath>
      <w:r>
        <w:t xml:space="preserve">, se definen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ℓ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acc>
                <m:accPr>
                  <m:chr m:val="‾"/>
                </m:accPr>
                <m:e>
                  <m:r>
                    <m:t>E</m:t>
                  </m:r>
                </m:e>
              </m:acc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ν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33" w:name="eq-nunez-flexibility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16</m:t>
              </m:r>
            </m:num>
            <m:den>
              <m:sSub>
                <m:e>
                  <m:r>
                    <m:t>χ</m:t>
                  </m:r>
                </m:e>
                <m:sub>
                  <m:r>
                    <m:t>N</m:t>
                  </m:r>
                </m:sub>
              </m:sSub>
            </m:den>
          </m:f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ℓ</m:t>
                  </m:r>
                </m:sub>
              </m:sSub>
            </m:num>
            <m:den>
              <m:sSub>
                <m:e>
                  <m:acc>
                    <m:accPr>
                      <m:chr m:val="‾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g</m:t>
                  </m:r>
                </m:sub>
              </m:sSub>
            </m:den>
          </m:f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e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</m:e>
            <m:sup>
              <m:r>
                <m:t>3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3"/>
    </w:p>
    <w:p>
      <w:pPr>
        <w:pStyle w:val="FirstParagraph"/>
      </w:pPr>
      <w:r>
        <w:t xml:space="preserve">El factor</w:t>
      </w:r>
      <w:r>
        <w:t xml:space="preserve"> </w:t>
      </w:r>
      <m:oMath>
        <m:sSub>
          <m:e>
            <m:r>
              <m:t>χ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es adimensional y modifica el módulo de reacción del terreno.</w:t>
      </w:r>
      <w:r>
        <w:t xml:space="preserve"> </w:t>
      </w:r>
      <w:r>
        <w:t xml:space="preserve">La fuente adopta</w:t>
      </w:r>
      <w:r>
        <w:t xml:space="preserve"> </w:t>
      </w:r>
      <m:oMath>
        <m:sSub>
          <m:e>
            <m:r>
              <m:t>χ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para el sostenimiento primario y</w:t>
      </w:r>
      <w:r>
        <w:t xml:space="preserve"> </w:t>
      </w:r>
      <m:oMath>
        <m:sSub>
          <m:e>
            <m:r>
              <m:t>χ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para el</w:t>
      </w:r>
      <w:r>
        <w:t xml:space="preserve"> </w:t>
      </w:r>
      <w:r>
        <w:t xml:space="preserve">revestimiento permanente en sus ejemplos. El parámetro</w:t>
      </w:r>
      <w:r>
        <w:t xml:space="preserve"> </w:t>
      </w:r>
      <m:oMath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representa la</w:t>
      </w:r>
      <w:r>
        <w:t xml:space="preserve"> </w:t>
      </w:r>
      <w:r>
        <w:t xml:space="preserve">relajación asociada al avance del frente.</w:t>
      </w:r>
    </w:p>
    <w:p>
      <w:pPr>
        <w:pStyle w:val="BodyText"/>
      </w:pPr>
      <w:r>
        <w:t xml:space="preserve">En la especialización circular sin presión de agua de 2000,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(</m:t>
              </m:r>
              <m:r>
                <m:t>2000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16</m:t>
              </m:r>
            </m:den>
          </m:f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34" w:name="eq-nunez-2000-resultants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2000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h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N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2000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2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η</m:t>
                  </m:r>
                </m:e>
                <m:sub>
                  <m:r>
                    <m:t>N</m:t>
                  </m:r>
                </m:sub>
              </m:sSub>
              <m:r>
                <m:t>γ</m:t>
              </m:r>
              <m:r>
                <m:t>H</m:t>
              </m:r>
              <m:r>
                <m:rPr>
                  <m:sty m:val="p"/>
                </m:rPr>
                <m:t>+</m:t>
              </m:r>
              <m:r>
                <m:t>q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4"/>
    </w:p>
    <w:p>
      <w:pPr>
        <w:pStyle w:val="FirstParagraph"/>
      </w:pPr>
      <w:r>
        <w:t xml:space="preserve">Los símbolos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designan la clave y el arranque a la cota del eje. La</w:t>
      </w:r>
      <w:r>
        <w:t xml:space="preserve"> </w:t>
      </w:r>
      <w:r>
        <w:t xml:space="preserve">fuente presenta las fuerzas normales positivas a compresión. Su conversión a</w:t>
      </w:r>
      <w:r>
        <w:t xml:space="preserve"> </w:t>
      </w:r>
      <w:r>
        <w:t xml:space="preserve">la convención general utiliza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(</m:t>
            </m:r>
            <m:r>
              <m:t>2000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en el punto</w:t>
      </w:r>
      <w:r>
        <w:t xml:space="preserve"> </w:t>
      </w:r>
      <w:r>
        <w:t xml:space="preserve">correspondiente;</w:t>
      </w:r>
      <w:r>
        <w:t xml:space="preserve"> </w:t>
      </w:r>
      <m:oMath>
        <m:sSubSup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(</m:t>
            </m:r>
            <m:r>
              <m:t>2000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se conserva como magnitud hasta asignar su</w:t>
      </w:r>
      <w:r>
        <w:t xml:space="preserve"> </w:t>
      </w:r>
      <w:r>
        <w:t xml:space="preserve">posición y signo.</w:t>
      </w:r>
    </w:p>
    <w:bookmarkEnd w:id="35"/>
    <w:bookmarkStart w:id="37" w:name="formulación-de-núñez-sfriso-y-laiún-2014"/>
    <w:p>
      <w:pPr>
        <w:pStyle w:val="Heading2"/>
      </w:pPr>
      <w:r>
        <w:t xml:space="preserve">Formulación de Núñez, Sfriso y Laiún (2014)</w:t>
      </w:r>
    </w:p>
    <w:p>
      <w:pPr>
        <w:pStyle w:val="FirstParagraph"/>
      </w:pPr>
      <w:r>
        <w:t xml:space="preserve">El trabajo de 2014 publica otra expresión para las fuerzas normales puntuales</w:t>
      </w:r>
      <w:r>
        <w:t xml:space="preserve"> </w:t>
      </w:r>
      <w:r>
        <w:t xml:space="preserve">(</w:t>
      </w:r>
      <w:hyperlink w:anchor="ref-NunezSfrisoLaiun2014">
        <w:r>
          <w:rPr>
            <w:rStyle w:val="Hyperlink"/>
          </w:rPr>
          <w:t xml:space="preserve">Núñez et al. 2014</w:t>
        </w:r>
      </w:hyperlink>
      <w:r>
        <w:t xml:space="preserve">, ecs. 22–25, p. 6)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rPr>
                  <m:sty m:val="p"/>
                </m:rPr>
                <m:t>max</m:t>
              </m:r>
            </m:sub>
            <m:sup>
              <m:r>
                <m:rPr>
                  <m:sty m:val="p"/>
                </m:rPr>
                <m:t>(</m:t>
              </m:r>
              <m:r>
                <m:t>2014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16</m:t>
              </m:r>
            </m:den>
          </m:f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sSup>
            <m:e>
              <m:r>
                <m:t>D</m:t>
              </m:r>
            </m:e>
            <m:sup>
              <m:r>
                <m:t>2</m:t>
              </m:r>
            </m:sup>
          </m:sSup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A</m:t>
              </m:r>
            </m:sub>
            <m:sup>
              <m:r>
                <m:rPr>
                  <m:sty m:val="p"/>
                </m:rPr>
                <m:t>(</m:t>
              </m:r>
              <m:r>
                <m:t>2014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2014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γ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36" w:name="eq-nunez-2014-resultants"/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(</m:t>
              </m:r>
              <m:r>
                <m:t>2014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b>
            <m:e>
              <m:r>
                <m:t>η</m:t>
              </m:r>
            </m:e>
            <m:sub>
              <m:r>
                <m:t>N</m:t>
              </m:r>
            </m:sub>
          </m:sSub>
          <m:r>
            <m:t>D</m:t>
          </m:r>
          <m:sSub>
            <m:e>
              <m:r>
                <m:t>p</m:t>
              </m:r>
            </m:e>
            <m:sub>
              <m:r>
                <m:t>0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3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K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12</m:t>
              </m:r>
            </m:den>
          </m:f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t>γ</m:t>
          </m:r>
          <m:sSup>
            <m:e>
              <m:r>
                <m:t>D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Estas ecuaciones también utilizan compresión positiva. No se combinan con las</w:t>
      </w:r>
      <w:r>
        <w:t xml:space="preserve"> </w:t>
      </w:r>
      <w:r>
        <w:t xml:space="preserve">expresiones de 2000: la posición de</w:t>
      </w:r>
      <w:r>
        <w:t xml:space="preserve"> </w:t>
      </w:r>
      <m:oMath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 de la sobrecarga produce</w:t>
      </w:r>
      <w:r>
        <w:t xml:space="preserve"> </w:t>
      </w:r>
      <w:r>
        <w:t xml:space="preserve">diferencias mensurables en</w:t>
      </w:r>
      <w:r>
        <w:t xml:space="preserve"> </w:t>
      </w:r>
      <m:oMath>
        <m:sSub>
          <m:e>
            <m:r>
              <m:t>N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N</m:t>
            </m:r>
          </m:e>
          <m:sub>
            <m:r>
              <m:t>A</m:t>
            </m:r>
          </m:sub>
        </m:sSub>
      </m:oMath>
      <w:r>
        <w:t xml:space="preserve">. La sección de comprobación cuantifica</w:t>
      </w:r>
      <w:r>
        <w:t xml:space="preserve"> </w:t>
      </w:r>
      <w:r>
        <w:t xml:space="preserve">esas diferencias. En ambas fuentes,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se mide hasta el eje; para una tapada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medida sobre la clave,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Las dos versiones corresponden a túneles excavados. Su función es proporcionar</w:t>
      </w:r>
      <w:r>
        <w:t xml:space="preserve"> </w:t>
      </w:r>
      <w:r>
        <w:t xml:space="preserve">comparaciones separadas para ese dominio; las cargas del conducto colocado y</w:t>
      </w:r>
      <w:r>
        <w:t xml:space="preserve"> </w:t>
      </w:r>
      <w:r>
        <w:t xml:space="preserve">rellenado se determinan mediante las formulaciones geotécnicas posteriores.</w:t>
      </w:r>
      <w:r>
        <w:t xml:space="preserve"> </w:t>
      </w:r>
      <w:r>
        <w:t xml:space="preserve">El parámetro</w:t>
      </w:r>
      <w:r>
        <w:t xml:space="preserve"> </w:t>
      </w:r>
      <m:oMath>
        <m:sSub>
          <m:e>
            <m:r>
              <m:t>η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representa específicamente la relajación asociada al</w:t>
      </w:r>
      <w:r>
        <w:t xml:space="preserve"> </w:t>
      </w:r>
      <w:r>
        <w:t xml:space="preserve">avance del frente y no se transfiere al conducto ejecutado a cielo abierto.</w:t>
      </w:r>
    </w:p>
    <w:bookmarkEnd w:id="37"/>
    <w:bookmarkStart w:id="38" w:name="usace-y-fhwa"/>
    <w:p>
      <w:pPr>
        <w:pStyle w:val="Heading2"/>
      </w:pPr>
      <w:r>
        <w:t xml:space="preserve">USACE y FHWA</w:t>
      </w:r>
    </w:p>
    <w:p>
      <w:pPr>
        <w:pStyle w:val="FirstParagraph"/>
      </w:pPr>
      <w:r>
        <w:t xml:space="preserve">El manual USACE aplica la especificación AASHTO a tuberías metálicas corrugadas</w:t>
      </w:r>
      <w:r>
        <w:t xml:space="preserve"> </w:t>
      </w:r>
      <w:r>
        <w:t xml:space="preserve">y calcula una fuerza normal circunferencial factorizada</w:t>
      </w:r>
      <w:r>
        <w:t xml:space="preserve"> </w:t>
      </w:r>
      <w:r>
        <w:t xml:space="preserve">(</w:t>
      </w:r>
      <w:hyperlink w:anchor="ref-USACE2020">
        <w:r>
          <w:rPr>
            <w:rStyle w:val="Hyperlink"/>
          </w:rPr>
          <w:t xml:space="preserve">U.S. Army Corps of Engineers 2020, sec. 4.12</w:t>
        </w:r>
      </w:hyperlink>
      <w:r>
        <w:t xml:space="preserve">)</w:t>
      </w:r>
      <w:r>
        <w:t xml:space="preserve">. Esa magnitud permite comparar la componente uniforme</w:t>
      </w:r>
      <w:r>
        <w:t xml:space="preserve"> </w:t>
      </w:r>
      <w:r>
        <w:t xml:space="preserve">de fuerza normal circunferencial dentro del procedimiento citado. La</w:t>
      </w:r>
      <w:r>
        <w:t xml:space="preserve"> </w:t>
      </w:r>
      <w:r>
        <w:t xml:space="preserve">distribución angular base para calcular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se obtiene con Schwartz–Einstein; la variación lineal</w:t>
      </w:r>
      <w:r>
        <w:t xml:space="preserve"> </w:t>
      </w:r>
      <w:r>
        <w:t xml:space="preserve">entre clave y solera se agrega mediante la corrección equilibrada de</w:t>
      </w:r>
      <w:r>
        <w:t xml:space="preserve"> </w:t>
      </w:r>
      <w:r>
        <w:t xml:space="preserve">gradiente. La comparación</w:t>
      </w:r>
      <w:r>
        <w:t xml:space="preserve"> </w:t>
      </w:r>
      <w:r>
        <w:t xml:space="preserve">AASHTO/USACE permanece como una rama escalar separada: la tapada y la luz</w:t>
      </w:r>
      <w:r>
        <w:t xml:space="preserve"> </w:t>
      </w:r>
      <w:r>
        <w:t xml:space="preserve">determinan el nivel de empuje anular, pero esa expresión no proporciona una</w:t>
      </w:r>
      <w:r>
        <w:t xml:space="preserve"> </w:t>
      </w:r>
      <w:r>
        <w:t xml:space="preserve">corrección general por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</m:oMath>
      <w:r>
        <w:t xml:space="preserve">, una ley de interfaz ni la distribución angular</w:t>
      </w:r>
      <w:r>
        <w:t xml:space="preserve"> </w:t>
      </w:r>
      <w:r>
        <w:t xml:space="preserve">de flexión y corte.</w:t>
      </w:r>
    </w:p>
    <w:p>
      <w:pPr>
        <w:pStyle w:val="BodyText"/>
      </w:pPr>
      <w:r>
        <w:t xml:space="preserve">FHWA-RD-98-191 combina caracterización de rellenos, ensayos de instalación y</w:t>
      </w:r>
      <w:r>
        <w:t xml:space="preserve"> </w:t>
      </w:r>
      <w:r>
        <w:t xml:space="preserve">análisis bidimensionales. El material, la densidad alcanzada, el procedimiento</w:t>
      </w:r>
      <w:r>
        <w:t xml:space="preserve"> </w:t>
      </w:r>
      <w:r>
        <w:t xml:space="preserve">de compactación, el tratamiento de riñones y la geometría de la zanja modifican</w:t>
      </w:r>
      <w:r>
        <w:t xml:space="preserve"> </w:t>
      </w:r>
      <w:r>
        <w:t xml:space="preserve">la respuesta del conducto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</w:t>
        </w:r>
      </w:hyperlink>
      <w:r>
        <w:t xml:space="preserve">, caps. 4–5)</w:t>
      </w:r>
      <w:r>
        <w:t xml:space="preserve">. La acción horizontal</w:t>
      </w:r>
      <w:r>
        <w:t xml:space="preserve"> </w:t>
      </w:r>
      <w:r>
        <w:t xml:space="preserve">empleada para reproducir la compactación se transforma a cargas perimetrales en</w:t>
      </w:r>
      <w:r>
        <w:t xml:space="preserve"> </w:t>
      </w:r>
      <w:r>
        <w:t xml:space="preserve">la sección siguiente. En el procedimiento vigente sólo está formulada esa</w:t>
      </w:r>
      <w:r>
        <w:t xml:space="preserve"> </w:t>
      </w:r>
      <w:r>
        <w:t xml:space="preserve">acción constructiva; permanece inactiva mientras no se definan equipo,</w:t>
      </w:r>
      <w:r>
        <w:t xml:space="preserve"> </w:t>
      </w:r>
      <w:r>
        <w:t xml:space="preserve">tongadas y retención. No se utiliza FHWA como un factor oculto para reducir o</w:t>
      </w:r>
      <w:r>
        <w:t xml:space="preserve"> </w:t>
      </w:r>
      <w:r>
        <w:t xml:space="preserve">aumentar la demanda permanente de Schwartz–Einstein.</w:t>
      </w:r>
    </w:p>
    <w:bookmarkEnd w:id="38"/>
    <w:bookmarkEnd w:id="39"/>
    <w:bookmarkStart w:id="54" w:name="X03a1465178a2e8636e7a735b216f7aa765445be"/>
    <w:p>
      <w:pPr>
        <w:pStyle w:val="Heading1"/>
      </w:pPr>
      <w:r>
        <w:t xml:space="preserve">Estimación del coeficiente de empuje en reposo</w:t>
      </w:r>
    </w:p>
    <w:bookmarkStart w:id="40" w:name="estado-lateral-efectivo-del-relleno"/>
    <w:p>
      <w:pPr>
        <w:pStyle w:val="Heading2"/>
      </w:pPr>
      <w:r>
        <w:t xml:space="preserve">Estado lateral efectivo del relleno</w:t>
      </w:r>
    </w:p>
    <w:p>
      <w:pPr>
        <w:pStyle w:val="FirstParagraph"/>
      </w:pPr>
      <w:r>
        <w:t xml:space="preserve">El coeficiente de empuje en reposo caracteriza el estado efectivo inicial del</w:t>
      </w:r>
      <w:r>
        <w:t xml:space="preserve"> </w:t>
      </w:r>
      <w:r>
        <w:t xml:space="preserve">relleno. Interviene como dato geotécnico en modelos que representen la</w:t>
      </w:r>
      <w:r>
        <w:t xml:space="preserve"> </w:t>
      </w:r>
      <w:r>
        <w:t xml:space="preserve">interacción suelo–conducto y, separadamente, en el estado biaxial analítico de</w:t>
      </w:r>
      <w:r>
        <w:t xml:space="preserve"> </w:t>
      </w:r>
      <w:r>
        <w:t xml:space="preserve">control desarrollado en esta metodología. No reemplaza la presión vertical</w:t>
      </w:r>
      <w:r>
        <w:t xml:space="preserve"> </w:t>
      </w:r>
      <w:r>
        <w:t xml:space="preserve">mayorada en la clave utilizada para obtener el empuje circunferencial</w:t>
      </w:r>
      <w:r>
        <w:t xml:space="preserve"> </w:t>
      </w:r>
      <w:r>
        <w:t xml:space="preserve">reglamentario, ni determina por sí solo la presión de contacto sobre un</w:t>
      </w:r>
      <w:r>
        <w:t xml:space="preserve"> </w:t>
      </w:r>
      <w:r>
        <w:t xml:space="preserve">conducto flexible.</w:t>
      </w:r>
    </w:p>
    <w:p>
      <w:pPr>
        <w:pStyle w:val="BodyText"/>
      </w:pPr>
      <w:r>
        <w:t xml:space="preserve">El capítulo caracteriza las formulaciones aplicables según la trayectoria</w:t>
      </w:r>
      <w:r>
        <w:t xml:space="preserve"> </w:t>
      </w:r>
      <w:r>
        <w:t xml:space="preserve">tensional, identifica sus variables primitivas y establece la separación entre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y una eventual tensión horizontal residual inducida por la compactación.</w:t>
      </w:r>
    </w:p>
    <w:bookmarkEnd w:id="40"/>
    <w:bookmarkStart w:id="41" w:name="definición-del-estado-lateral"/>
    <w:p>
      <w:pPr>
        <w:pStyle w:val="Heading2"/>
      </w:pPr>
      <w:r>
        <w:t xml:space="preserve">Definición del estado lateral</w:t>
      </w:r>
    </w:p>
    <w:p>
      <w:pPr>
        <w:pStyle w:val="FirstParagraph"/>
      </w:pPr>
      <w:r>
        <w:t xml:space="preserve">En condiciones de deformación lateral nula, el coeficiente de empuje en reposo</w:t>
      </w:r>
      <w:r>
        <w:t xml:space="preserve"> </w:t>
      </w:r>
      <w:r>
        <w:t xml:space="preserve">se define mediante tensiones efectivas: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tensión horizontal total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σ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 la presión intersticial. Esta separación evita aplicar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</w:t>
      </w:r>
      <w:r>
        <w:t xml:space="preserve"> </w:t>
      </w:r>
      <w:r>
        <w:t xml:space="preserve">una tensión vertical total y contabilizar el agua dos veces</w:t>
      </w:r>
      <w:r>
        <w:t xml:space="preserve"> </w:t>
      </w:r>
      <w:r>
        <w:t xml:space="preserve">(</w:t>
      </w:r>
      <w:hyperlink w:anchor="ref-ChristopherEtAl2006">
        <w:r>
          <w:rPr>
            <w:rStyle w:val="Hyperlink"/>
          </w:rPr>
          <w:t xml:space="preserve">Christopher et al. 2006, sec. 5.4.9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La salida de este módulo geotécnico es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. Su transferencia al</w:t>
      </w:r>
      <w:r>
        <w:t xml:space="preserve"> </w:t>
      </w:r>
      <w:r>
        <w:t xml:space="preserve">cálculo estructural requiere una formulación de interacción o un estado de</w:t>
      </w:r>
      <w:r>
        <w:t xml:space="preserve"> </w:t>
      </w:r>
      <w:r>
        <w:t xml:space="preserve">carga analítico explícitamente prescrito. Para organizar el procedimiento, una</w:t>
      </w:r>
      <w:r>
        <w:t xml:space="preserve"> </w:t>
      </w:r>
      <w:r>
        <w:t xml:space="preserve">rama geotécnica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se expresa</w:t>
      </w:r>
      <w:r>
        <w:t xml:space="preserve"> </w:t>
      </w:r>
      <w:r>
        <w:t xml:space="preserve">como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K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m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"/>
                    </m:rPr>
                    <m:t>x</m:t>
                  </m:r>
                </m:e>
                <m:sub>
                  <m:r>
                    <m:t>m</m:t>
                  </m:r>
                </m:sub>
              </m:sSub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p>
            <m:e>
              <m:r>
                <m:t>​</m:t>
              </m:r>
            </m:e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K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</w:t>
      </w:r>
      <w:r>
        <w:t xml:space="preserve"> </w:t>
      </w:r>
      <m:oMath>
        <m:sSub>
          <m:e>
            <m:r>
              <m:rPr>
                <m:sty m:val="b"/>
              </m:rP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contiene únicamente las variables primitivas requeridas por</w:t>
      </w:r>
      <w:r>
        <w:t xml:space="preserve"> </w:t>
      </w:r>
      <w:r>
        <w:t xml:space="preserve">esa formulación.</w:t>
      </w:r>
    </w:p>
    <w:bookmarkEnd w:id="41"/>
    <w:bookmarkStart w:id="42" w:name="carga-primaria"/>
    <w:p>
      <w:pPr>
        <w:pStyle w:val="Heading2"/>
      </w:pPr>
      <w:r>
        <w:t xml:space="preserve">Carga primaria</w:t>
      </w:r>
    </w:p>
    <w:p>
      <w:pPr>
        <w:pStyle w:val="FirstParagraph"/>
      </w:pPr>
      <w:r>
        <w:t xml:space="preserve">Para carga primaria, la expresión de uso habitual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el ángulo de fricción interna efectiva correspondiente al</w:t>
      </w:r>
      <w:r>
        <w:t xml:space="preserve"> </w:t>
      </w:r>
      <w:r>
        <w:t xml:space="preserve">material y al intervalo tensional considerado. Mayne y Kulhawy confrontaron</w:t>
      </w:r>
      <w:r>
        <w:t xml:space="preserve"> </w:t>
      </w:r>
      <w:r>
        <w:t xml:space="preserve">esta relación con una base de datos de suelos cohesivos y no cohesivos y la</w:t>
      </w:r>
      <w:r>
        <w:t xml:space="preserve"> </w:t>
      </w:r>
      <w:r>
        <w:t xml:space="preserve">adoptaron como representación de la rama normalmente consolidada</w:t>
      </w:r>
      <w:r>
        <w:t xml:space="preserve"> </w:t>
      </w:r>
      <w:r>
        <w:t xml:space="preserve">(</w:t>
      </w:r>
      <w:hyperlink w:anchor="ref-MayneKulhawy1982">
        <w:r>
          <w:rPr>
            <w:rStyle w:val="Hyperlink"/>
          </w:rPr>
          <w:t xml:space="preserve">Mayne y Kulhawy 1982, 852-53</w:t>
        </w:r>
      </w:hyperlink>
      <w:r>
        <w:t xml:space="preserve">)</w:t>
      </w:r>
      <w:r>
        <w:t xml:space="preserve">. FHWA la presenta para suelos no cohesivos y</w:t>
      </w:r>
      <w:r>
        <w:t xml:space="preserve"> </w:t>
      </w:r>
      <w:r>
        <w:t xml:space="preserve">suelos cohesivos normalmente consolidados</w:t>
      </w:r>
      <w:r>
        <w:t xml:space="preserve"> </w:t>
      </w:r>
      <w:r>
        <w:t xml:space="preserve">(</w:t>
      </w:r>
      <w:hyperlink w:anchor="ref-ChristopherEtAl2006">
        <w:r>
          <w:rPr>
            <w:rStyle w:val="Hyperlink"/>
          </w:rPr>
          <w:t xml:space="preserve">Christopher et al. 2006</w:t>
        </w:r>
      </w:hyperlink>
      <w:r>
        <w:t xml:space="preserve">, ec. 5.38)</w:t>
      </w:r>
      <w:r>
        <w:t xml:space="preserve">.</w:t>
      </w:r>
    </w:p>
    <w:p>
      <w:pPr>
        <w:pStyle w:val="BodyText"/>
      </w:pPr>
      <w:r>
        <w:t xml:space="preserve">La relación es una correlación para una trayectoria de carga primaria. Las</w:t>
      </w:r>
      <w:r>
        <w:t xml:space="preserve"> </w:t>
      </w:r>
      <w:r>
        <w:t xml:space="preserve">trayectorias de descarga y recarga, así como una eventual tensión horizontal</w:t>
      </w:r>
      <w:r>
        <w:t xml:space="preserve"> </w:t>
      </w:r>
      <w:r>
        <w:t xml:space="preserve">retenida durante la construcción, requieren formulaciones independientes.</w:t>
      </w:r>
    </w:p>
    <w:p>
      <w:pPr>
        <w:pStyle w:val="BodyText"/>
      </w:pPr>
      <w:r>
        <w:t xml:space="preserve">La relación se emplea con parámetros efectivos para suelos no cohesivos y para</w:t>
      </w:r>
      <w:r>
        <w:t xml:space="preserve"> </w:t>
      </w:r>
      <w:r>
        <w:t xml:space="preserve">suelos cohesivos normalmente consolidados en condiciones drenadas. No se le</w:t>
      </w:r>
      <w:r>
        <w:t xml:space="preserve"> </w:t>
      </w:r>
      <w:r>
        <w:t xml:space="preserve">agrega un término genérico en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: las expresiones que contienen</w:t>
      </w:r>
      <w:r>
        <w:t xml:space="preserve"> </w:t>
      </w:r>
      <m:oMath>
        <m:r>
          <m:rPr>
            <m:sty m:val="p"/>
          </m:rPr>
          <m:t>±</m:t>
        </m:r>
        <m:r>
          <m:t>2</m:t>
        </m:r>
        <m:sSup>
          <m:e>
            <m:r>
              <m:t>c</m:t>
            </m:r>
          </m:e>
          <m:sup>
            <m:r>
              <m:rPr>
                <m:sty m:val="p"/>
              </m:rPr>
              <m:t>′</m:t>
            </m:r>
          </m:sup>
        </m:sSup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 </w:t>
      </w:r>
      <w:r>
        <w:t xml:space="preserve">corresponden a estados límite activo o pasivo, no al estado en</w:t>
      </w:r>
      <w:r>
        <w:t xml:space="preserve"> </w:t>
      </w:r>
      <w:r>
        <w:t xml:space="preserve">reposo. Un análisis no drenado en tensiones totales constituye otra rama</w:t>
      </w:r>
      <w:r>
        <w:t xml:space="preserve"> </w:t>
      </w:r>
      <w:r>
        <w:t xml:space="preserve">constitutiva y no se habilita sin datos y evidencia propios.</w:t>
      </w:r>
    </w:p>
    <w:p>
      <w:pPr>
        <w:pStyle w:val="BodyText"/>
      </w:pPr>
      <w:r>
        <w:t xml:space="preserve">Michalowski transcribe la forma obtenida por Jáky en 1944: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J</m:t>
              </m:r>
              <m:acc>
                <m:accPr>
                  <m:chr m:val="́"/>
                </m:accPr>
                <m:e>
                  <m:r>
                    <m:rPr>
                      <m:sty m:val="p"/>
                    </m:rPr>
                    <m:t>a</m:t>
                  </m:r>
                </m:e>
              </m:acc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y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1944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Jáky eliminó posteriormente el factor fraccionario y produjo la forma</w:t>
      </w:r>
      <w:r>
        <w:t xml:space="preserve"> </w:t>
      </w:r>
      <w:r>
        <w:t xml:space="preserve">abreviada. Michalowski observa que la derivación de 1944 utiliza el campo</w:t>
      </w:r>
      <w:r>
        <w:t xml:space="preserve"> </w:t>
      </w:r>
      <w:r>
        <w:t xml:space="preserve">tensional de un prisma de arena y que ese campo no representa una trayectoria</w:t>
      </w:r>
      <w:r>
        <w:t xml:space="preserve"> </w:t>
      </w:r>
      <w:r>
        <w:t xml:space="preserve">general de deformación unidimensional</w:t>
      </w:r>
      <w:r>
        <w:t xml:space="preserve"> </w:t>
      </w:r>
      <w:r>
        <w:t xml:space="preserve">(</w:t>
      </w:r>
      <w:hyperlink w:anchor="ref-Michalowski2005">
        <w:r>
          <w:rPr>
            <w:rStyle w:val="Hyperlink"/>
          </w:rPr>
          <w:t xml:space="preserve">Michalowski 2005</w:t>
        </w:r>
      </w:hyperlink>
      <w:r>
        <w:t xml:space="preserve">, ec. 8)</w:t>
      </w:r>
      <w:r>
        <w:t xml:space="preserve">. Por ello, la</w:t>
      </w:r>
      <w:r>
        <w:t xml:space="preserve"> </w:t>
      </w:r>
      <w:r>
        <w:t xml:space="preserve">forma abreviada se utiliza aquí como correlación respaldada por observaciones,</w:t>
      </w:r>
      <w:r>
        <w:t xml:space="preserve"> </w:t>
      </w:r>
      <w:r>
        <w:t xml:space="preserve">no como una consecuencia universal de la elasticidad ni como una segunda rama</w:t>
      </w:r>
      <w:r>
        <w:t xml:space="preserve"> </w:t>
      </w:r>
      <w:r>
        <w:t xml:space="preserve">probabilística independiente de la forma original.</w:t>
      </w:r>
    </w:p>
    <w:bookmarkEnd w:id="42"/>
    <w:bookmarkStart w:id="43" w:name="idealización-elástica-confinada"/>
    <w:p>
      <w:pPr>
        <w:pStyle w:val="Heading2"/>
      </w:pPr>
      <w:r>
        <w:t xml:space="preserve">Idealización elástica confinada</w:t>
      </w:r>
    </w:p>
    <w:p>
      <w:pPr>
        <w:pStyle w:val="FirstParagraph"/>
      </w:pPr>
      <w:r>
        <w:t xml:space="preserve">Para un continuo elástico lineal e isótropo con deformación lateral impedida,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es el coeficiente de Poisson de la idealización constitutiva</w:t>
      </w:r>
      <w:r>
        <w:t xml:space="preserve"> </w:t>
      </w:r>
      <w:r>
        <w:t xml:space="preserve">(</w:t>
      </w:r>
      <w:hyperlink w:anchor="ref-ChristopherEtAl2006">
        <w:r>
          <w:rPr>
            <w:rStyle w:val="Hyperlink"/>
          </w:rPr>
          <w:t xml:space="preserve">Christopher et al. 2006</w:t>
        </w:r>
      </w:hyperlink>
      <w:r>
        <w:t xml:space="preserve">, ec. 5.37)</w:t>
      </w:r>
      <w:r>
        <w:t xml:space="preserve">. Esta relación constituye una referencia</w:t>
      </w:r>
      <w:r>
        <w:t xml:space="preserve"> </w:t>
      </w:r>
      <w:r>
        <w:t xml:space="preserve">elástica. No sustituye una formulación que represente explícitamente la</w:t>
      </w:r>
      <w:r>
        <w:t xml:space="preserve"> </w:t>
      </w:r>
      <w:r>
        <w:t xml:space="preserve">historia tensional de un suelo compactado.</w:t>
      </w:r>
    </w:p>
    <w:bookmarkEnd w:id="43"/>
    <w:bookmarkStart w:id="44" w:name="descarga-primaria"/>
    <w:p>
      <w:pPr>
        <w:pStyle w:val="Heading2"/>
      </w:pPr>
      <w:r>
        <w:t xml:space="preserve">Descarga primaria</w:t>
      </w:r>
    </w:p>
    <w:p>
      <w:pPr>
        <w:pStyle w:val="FirstParagraph"/>
      </w:pPr>
      <w:r>
        <w:t xml:space="preserve">Mayne y Kulhawy expresan el efecto de la sobreconsolidación mediante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p>
              <m:r>
                <m:t>a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O</m:t>
          </m:r>
          <m:r>
            <m:rPr>
              <m:sty m:val="p"/>
            </m:rPr>
            <m:t>C</m:t>
          </m:r>
          <m:r>
            <m:rPr>
              <m:sty m:val="p"/>
            </m:rPr>
            <m:t>R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datos reunidos por los autores sustentan la aproximación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con lo cual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O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r>
            <m:t> 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p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expresión corresponde a descarga desde la rama de compresión virgen</w:t>
      </w:r>
      <w:r>
        <w:t xml:space="preserve"> </w:t>
      </w:r>
      <w:r>
        <w:t xml:space="preserve">(</w:t>
      </w:r>
      <w:hyperlink w:anchor="ref-MayneKulhawy1982">
        <w:r>
          <w:rPr>
            <w:rStyle w:val="Hyperlink"/>
          </w:rPr>
          <w:t xml:space="preserve">Mayne y Kulhawy 1982</w:t>
        </w:r>
      </w:hyperlink>
      <w:r>
        <w:t xml:space="preserve">, ecs. 6–10)</w:t>
      </w:r>
      <w:r>
        <w:t xml:space="preserve">. Los exponentes fueron ajustados generalmente</w:t>
      </w:r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&lt;</m:t>
        </m:r>
        <m:r>
          <m:t>15</m:t>
        </m:r>
      </m:oMath>
      <w:r>
        <w:t xml:space="preserve">. La variable OCR sólo tiene significado cuando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max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representa una tensión máxima histórica identificable. OCR</w:t>
      </w:r>
      <w:r>
        <w:t xml:space="preserve"> </w:t>
      </w:r>
      <w:r>
        <w:t xml:space="preserve">se emplea únicamente cuando esa tensión puede definirse a partir de la</w:t>
      </w:r>
      <w:r>
        <w:t xml:space="preserve"> </w:t>
      </w:r>
      <w:r>
        <w:t xml:space="preserve">trayectoria considerada.</w:t>
      </w:r>
    </w:p>
    <w:bookmarkEnd w:id="44"/>
    <w:bookmarkStart w:id="45" w:name="descarga-seguida-de-recarga"/>
    <w:p>
      <w:pPr>
        <w:pStyle w:val="Heading2"/>
      </w:pPr>
      <w:r>
        <w:t xml:space="preserve">Descarga seguida de recarga</w:t>
      </w:r>
    </w:p>
    <w:p>
      <w:pPr>
        <w:pStyle w:val="FirstParagraph"/>
      </w:pPr>
      <w:r>
        <w:t xml:space="preserve">Para una trayectoria de descarga y recarga se requiere una segunda medida de</w:t>
      </w:r>
      <w:r>
        <w:t xml:space="preserve"> </w:t>
      </w:r>
      <w:r>
        <w:t xml:space="preserve">la historia: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min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relación general propuesta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)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</m:num>
                <m:den>
                  <m:sSubSup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  <m:sup>
                      <m:r>
                        <m:t> 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</m:num>
                    <m:den>
                      <m:sSub>
                        <m:e>
                          <m:r>
                            <m:rPr>
                              <m:sty m:val="p"/>
                            </m:rPr>
                            <m:t>O</m:t>
                          </m:r>
                          <m:r>
                            <m:rPr>
                              <m:sty m:val="p"/>
                            </m:rPr>
                            <m:t>C</m:t>
                          </m:r>
                          <m:r>
                            <m:rPr>
                              <m:sty m:val="p"/>
                            </m:rPr>
                            <m:t>R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max</m:t>
                          </m:r>
                        </m:sub>
                      </m:sSub>
                    </m:den>
                  </m:f>
                </m:e>
              </m:d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se recupera la expresión de descarga</w:t>
      </w:r>
      <w:r>
        <w:t xml:space="preserve"> </w:t>
      </w:r>
      <w:r>
        <w:t xml:space="preserve">primaria. Si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 recupera la rama</w:t>
      </w:r>
      <w:r>
        <w:t xml:space="preserve"> </w:t>
      </w:r>
      <w:r>
        <w:t xml:space="preserve">normalmente consolidada. La relación de recarga se construyó con una base de</w:t>
      </w:r>
      <w:r>
        <w:t xml:space="preserve"> </w:t>
      </w:r>
      <w:r>
        <w:t xml:space="preserve">datos más reducida que las ramas anteriores y exige conocer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(</w:t>
      </w:r>
      <w:hyperlink w:anchor="ref-MayneKulhawy1982">
        <w:r>
          <w:rPr>
            <w:rStyle w:val="Hyperlink"/>
          </w:rPr>
          <w:t xml:space="preserve">Mayne y Kulhawy 1982</w:t>
        </w:r>
      </w:hyperlink>
      <w:r>
        <w:t xml:space="preserve">, ecs. 14–18)</w:t>
      </w:r>
      <w:r>
        <w:t xml:space="preserve">. Su aplicación se</w:t>
      </w:r>
      <w:r>
        <w:t xml:space="preserve"> </w:t>
      </w:r>
      <w:r>
        <w:t xml:space="preserve">restringe a trayectorias de descarga y recarga cuya historia máxima pueda</w:t>
      </w:r>
      <w:r>
        <w:t xml:space="preserve"> </w:t>
      </w:r>
      <w:r>
        <w:t xml:space="preserve">establecerse.</w:t>
      </w:r>
    </w:p>
    <w:bookmarkEnd w:id="45"/>
    <w:bookmarkStart w:id="46" w:name="límite-de-la-condición-en-reposo"/>
    <w:p>
      <w:pPr>
        <w:pStyle w:val="Heading2"/>
      </w:pPr>
      <w:r>
        <w:t xml:space="preserve">Límite de la condición en reposo</w:t>
      </w:r>
    </w:p>
    <w:p>
      <w:pPr>
        <w:pStyle w:val="FirstParagraph"/>
      </w:pPr>
      <w:r>
        <w:t xml:space="preserve">Mayne y Kulhawy adoptan el coeficiente pasivo de Rankine como límite de la</w:t>
      </w:r>
      <w:r>
        <w:t xml:space="preserve"> </w:t>
      </w:r>
      <w:r>
        <w:t xml:space="preserve">rama de descarga: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 imponer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O</m:t>
            </m:r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se obtiene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b>
              <m:r>
                <m:rPr>
                  <m:sty m:val="p"/>
                </m:rPr>
                <m:t>lim</m:t>
              </m:r>
            </m:sub>
          </m:sSub>
          <m:r>
            <m:rPr>
              <m:sty m:val="p"/>
            </m:rPr>
            <m:t>=</m:t>
          </m:r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sin</m:t>
                      </m:r>
                      <m:sSup>
                        <m:e>
                          <m:r>
                            <m:t>ϕ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Para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lim</m:t>
            </m:r>
          </m:sub>
        </m:sSub>
      </m:oMath>
      <w:r>
        <w:t xml:space="preserve">, la correlación deja de describir</w:t>
      </w:r>
      <w:r>
        <w:t xml:space="preserve"> </w:t>
      </w:r>
      <w:r>
        <w:t xml:space="preserve">un estado en reposo</w:t>
      </w:r>
      <w:r>
        <w:t xml:space="preserve"> </w:t>
      </w:r>
      <w:r>
        <w:t xml:space="preserve">(</w:t>
      </w:r>
      <w:hyperlink w:anchor="ref-MayneKulhawy1982">
        <w:r>
          <w:rPr>
            <w:rStyle w:val="Hyperlink"/>
          </w:rPr>
          <w:t xml:space="preserve">Mayne y Kulhawy 1982</w:t>
        </w:r>
      </w:hyperlink>
      <w:r>
        <w:t xml:space="preserve">, ecs. 11–12)</w:t>
      </w:r>
      <w:r>
        <w:t xml:space="preserve">. El control debe informar</w:t>
      </w:r>
      <w:r>
        <w:t xml:space="preserve"> </w:t>
      </w:r>
      <w:r>
        <w:t xml:space="preserve">esa condición y no recortar silenciosamente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 Este uso de</w:t>
      </w:r>
      <w:r>
        <w:t xml:space="preserve"> </w:t>
      </w:r>
      <m:oMath>
        <m:sSub>
          <m:e>
            <m:r>
              <m:t>K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 define</w:t>
      </w:r>
      <w:r>
        <w:t xml:space="preserve"> </w:t>
      </w:r>
      <w:r>
        <w:t xml:space="preserve">una ley de interfaz ni una capacidad general del relleno contra el</w:t>
      </w:r>
      <w:r>
        <w:t xml:space="preserve"> </w:t>
      </w:r>
      <w:r>
        <w:t xml:space="preserve">revestimiento.</w:t>
      </w:r>
    </w:p>
    <w:bookmarkEnd w:id="46"/>
    <w:bookmarkStart w:id="47" w:name="Xc655ed560daf59eaae0015294b961154cbdb4ac"/>
    <w:p>
      <w:pPr>
        <w:pStyle w:val="Heading2"/>
      </w:pPr>
      <w:r>
        <w:t xml:space="preserve">Discrepancia de transcripción en FHWA NHI-05-037</w:t>
      </w:r>
    </w:p>
    <w:p>
      <w:pPr>
        <w:pStyle w:val="FirstParagraph"/>
      </w:pPr>
      <w:r>
        <w:t xml:space="preserve">La ecuación 5.39 de FHWA NHI-05-037 imprime el término de recarga como</w:t>
      </w:r>
      <w:r>
        <w:t xml:space="preserve"> </w:t>
      </w:r>
      <w:r>
        <w:t xml:space="preserve">(</w:t>
      </w:r>
      <w:hyperlink w:anchor="ref-ChristopherEtAl2006">
        <w:r>
          <w:rPr>
            <w:rStyle w:val="Hyperlink"/>
          </w:rPr>
          <w:t xml:space="preserve">Christopher et al. 2006</w:t>
        </w:r>
      </w:hyperlink>
      <w:r>
        <w:t xml:space="preserve">, ec. 5.39)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num>
            <m:den>
              <m:sSub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mientras que la ecuación 18 del artículo primario contiene</w:t>
      </w:r>
      <w:r>
        <w:t xml:space="preserve"> </w:t>
      </w:r>
      <w:r>
        <w:t xml:space="preserve">(</w:t>
      </w:r>
      <w:hyperlink w:anchor="ref-MayneKulhawy1982">
        <w:r>
          <w:rPr>
            <w:rStyle w:val="Hyperlink"/>
          </w:rPr>
          <w:t xml:space="preserve">Mayne y Kulhawy 1982</w:t>
        </w:r>
      </w:hyperlink>
      <w:r>
        <w:t xml:space="preserve">, ec. 18)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versión del manual produciría</w:t>
      </w:r>
      <w:r>
        <w:t xml:space="preserve"> </w:t>
      </w:r>
      <m:oMath>
        <m:r>
          <m:t>1.75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para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 no recuperaría la relación normalmente</w:t>
      </w:r>
      <w:r>
        <w:t xml:space="preserve"> </w:t>
      </w:r>
      <w:r>
        <w:t xml:space="preserve">consolidada presentada inmediatamente antes por el mismo manual. La expresión</w:t>
      </w:r>
      <w:r>
        <w:t xml:space="preserve"> </w:t>
      </w:r>
      <w:r>
        <w:t xml:space="preserve">primaria satisface los límites de carga primaria y descarga; por ello gobierna</w:t>
      </w:r>
      <w:r>
        <w:t xml:space="preserve"> </w:t>
      </w:r>
      <w:r>
        <w:t xml:space="preserve">la metodología y la versión FHWA queda excluida del cálculo.</w:t>
      </w:r>
    </w:p>
    <w:bookmarkEnd w:id="47"/>
    <w:bookmarkStart w:id="49" w:name="compactación-y-tensión-lateral-residual"/>
    <w:p>
      <w:pPr>
        <w:pStyle w:val="Heading2"/>
      </w:pPr>
      <w:r>
        <w:t xml:space="preserve">Compactación y tensión lateral residual</w:t>
      </w:r>
    </w:p>
    <w:p>
      <w:pPr>
        <w:pStyle w:val="FirstParagraph"/>
      </w:pPr>
      <w:r>
        <w:t xml:space="preserve">La densificación de un relleno puede modificar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generar una historia</w:t>
      </w:r>
      <w:r>
        <w:t xml:space="preserve"> </w:t>
      </w:r>
      <w:r>
        <w:t xml:space="preserve">de carga–descarga y dejar una tensión horizontal residual. Estos efectos no</w:t>
      </w:r>
      <w:r>
        <w:t xml:space="preserve"> </w:t>
      </w:r>
      <w:r>
        <w:t xml:space="preserve">deben concentrarse automáticamente en un único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aumentado. La</w:t>
      </w:r>
      <w:r>
        <w:t xml:space="preserve"> </w:t>
      </w:r>
      <w:r>
        <w:t xml:space="preserve">representación general 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t> 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sub>
        </m:sSub>
      </m:oMath>
      <w:r>
        <w:t xml:space="preserve"> </w:t>
      </w:r>
      <w:r>
        <w:t xml:space="preserve">describe un estado base y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representa, únicamente cuando exista un modelo</w:t>
      </w:r>
      <w:r>
        <w:t xml:space="preserve"> </w:t>
      </w:r>
      <w:r>
        <w:t xml:space="preserve">aplicable, la tensión efectiva residual atribuida a la construcción.</w:t>
      </w:r>
    </w:p>
    <w:p>
      <w:pPr>
        <w:pStyle w:val="BodyText"/>
      </w:pPr>
      <w:r>
        <w:t xml:space="preserve">Esta descomposición y una relación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que ya representa la misma</w:t>
      </w:r>
      <w:r>
        <w:t xml:space="preserve"> </w:t>
      </w:r>
      <w:r>
        <w:t xml:space="preserve">trayectoria de carga son alternativas: no se suman sin demostrar que describen</w:t>
      </w:r>
      <w:r>
        <w:t xml:space="preserve"> </w:t>
      </w:r>
      <w:r>
        <w:t xml:space="preserve">fenómenos distintos. Para un revestimiento circular flexible, la magnitud y la</w:t>
      </w:r>
      <w:r>
        <w:t xml:space="preserve"> </w:t>
      </w:r>
      <w:r>
        <w:t xml:space="preserve">distribución 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permanecen sin determinar hasta</w:t>
      </w:r>
      <w:r>
        <w:t xml:space="preserve"> </w:t>
      </w:r>
      <w:r>
        <w:t xml:space="preserve">caracterizar la secuencia, el equipo, el contenido de agua, la densidad</w:t>
      </w:r>
      <w:r>
        <w:t xml:space="preserve"> </w:t>
      </w:r>
      <w:r>
        <w:t xml:space="preserve">alcanzada y la movilidad del revestimiento.</w:t>
      </w:r>
    </w:p>
    <w:p>
      <w:pPr>
        <w:pStyle w:val="BodyText"/>
      </w:pPr>
      <w:r>
        <w:t xml:space="preserve">FHWA-RD-98-191 propone, para representar la acción de un equipo de</w:t>
      </w:r>
      <w:r>
        <w:t xml:space="preserve"> </w:t>
      </w:r>
      <w:r>
        <w:t xml:space="preserve">compactación durante la colocación del relleno, la presión nodal horizontal</w:t>
      </w:r>
      <w:r>
        <w:t xml:space="preserve"> </w:t>
      </w:r>
      <w:r>
        <w:t xml:space="preserve">equivalente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1999, sec. 5.2.1</w:t>
        </w:r>
      </w:hyperlink>
      <w:r>
        <w:t xml:space="preserve">, ec. 5.1)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1.3</m:t>
          </m:r>
          <m:r>
            <m:t>P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b>
            <m:e>
              <m:r>
                <m:t>ϕ</m:t>
              </m:r>
            </m:e>
            <m:sub>
              <m:r>
                <m:t>ℓ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3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970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250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En esta relación,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se expresa en kPa, la fuerza total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del equipo en</w:t>
      </w:r>
      <w:r>
        <w:t xml:space="preserve"> </w:t>
      </w:r>
      <w:r>
        <w:t xml:space="preserve">kN, el diámetro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medido hasta el baricentro de la pared en mm y</w:t>
      </w:r>
      <w:r>
        <w:t xml:space="preserve"> </w:t>
      </w:r>
      <m:oMath>
        <m:sSub>
          <m:e>
            <m:r>
              <m:t>ϕ</m:t>
            </m:r>
          </m:e>
          <m:sub>
            <m:r>
              <m:t>ℓ</m:t>
            </m:r>
          </m:sub>
        </m:sSub>
      </m:oMath>
      <w:r>
        <w:t xml:space="preserve"> </w:t>
      </w:r>
      <w:r>
        <w:t xml:space="preserve">es el ángulo de fricción del relleno en estado suelto. La fuente</w:t>
      </w:r>
      <w:r>
        <w:t xml:space="preserve"> </w:t>
      </w:r>
      <w:r>
        <w:t xml:space="preserve">adopta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4</m:t>
        </m:r>
      </m:oMath>
      <w:r>
        <w:t xml:space="preserve"> </w:t>
      </w:r>
      <w:r>
        <w:t xml:space="preserve">kN para representar</w:t>
      </w:r>
      <w:r>
        <w:t xml:space="preserve"> </w:t>
      </w:r>
      <w:r>
        <w:t xml:space="preserve">también el efecto gravitatorio del relleno. La correlación se ajustó a un</w:t>
      </w:r>
      <w:r>
        <w:t xml:space="preserve"> </w:t>
      </w:r>
      <w:r>
        <w:t xml:space="preserve">conjunto limitado de análisis de conductos de diámetros nominales de 900 y</w:t>
      </w:r>
      <w:r>
        <w:t xml:space="preserve"> </w:t>
      </w:r>
      <w:r>
        <w:t xml:space="preserve">1500 mm, con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aproximadamente igual a 970 y 1575 mm, materiales con</w:t>
      </w:r>
      <w:r>
        <w:t xml:space="preserve"> </w:t>
      </w:r>
      <m:oMath>
        <m:sSub>
          <m:e>
            <m:r>
              <m:t>ϕ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p>
          <m:e>
            <m:r>
              <m:t>28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y fuerzas de 4.0, 5.2 y 20.5 kN. Su empleo</w:t>
      </w:r>
      <w:r>
        <w:t xml:space="preserve"> </w:t>
      </w:r>
      <w:r>
        <w:t xml:space="preserve">fuera de ese dominio requiere justificación específica.</w:t>
      </w:r>
    </w:p>
    <w:p>
      <w:pPr>
        <w:pStyle w:val="BodyText"/>
      </w:pPr>
      <w:r>
        <w:t xml:space="preserve">La Tabla 5.5 de esa referencia reúne los casos utilizados para comprobar la</w:t>
      </w:r>
      <w:r>
        <w:t xml:space="preserve"> </w:t>
      </w:r>
      <w:r>
        <w:t xml:space="preserve">ecuación; no contiene coeficientes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ni valores directamente</w:t>
      </w:r>
      <w:r>
        <w:t xml:space="preserve"> </w:t>
      </w:r>
      <w:r>
        <w:t xml:space="preserve">transferibles a otro proyecto. Tampoco es una tabla AASHTO: AASHTO T 99 se</w:t>
      </w:r>
      <w:r>
        <w:t xml:space="preserve"> </w:t>
      </w:r>
      <w:r>
        <w:t xml:space="preserve">menciona en la fuente únicamente como procedimiento de control de densidad.</w:t>
      </w:r>
      <w:r>
        <w:t xml:space="preserve"> </w:t>
      </w:r>
      <w:r>
        <w:t xml:space="preserve">El modelo de FHWA aplica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directamente a los nodos comprendidos hasta</w:t>
      </w:r>
      <w:r>
        <w:t xml:space="preserve"> </w:t>
      </w:r>
      <w:r>
        <w:t xml:space="preserve">300 mm por debajo de la superficie de la tongada activa. La ecuación no</w:t>
      </w:r>
      <w:r>
        <w:t xml:space="preserve"> </w:t>
      </w:r>
      <w:r>
        <w:t xml:space="preserve">establece una fracción de presión retenida después de retirar el equipo ni una</w:t>
      </w:r>
      <w:r>
        <w:t xml:space="preserve"> </w:t>
      </w:r>
      <w:r>
        <w:t xml:space="preserve">distribución angular general para un revestimiento circular.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tbl-methodology-fhwa-compaction"/>
          <w:p>
            <w:pPr>
              <w:jc w:val="left"/>
              <w:pStyle w:val="ImageCaption"/>
            </w:pPr>
            <w:r>
              <w:t xml:space="preserve">Tabla 2: Casos publicados en la Tabla 5.5 de FHWA-RD-98-191</w:t>
            </w:r>
            <w:r>
              <w:t xml:space="preserve"> </w:t>
            </w:r>
            <w:r>
              <w:t xml:space="preserve">(</w:t>
            </w:r>
            <w:hyperlink w:anchor="ref-McGrathEtAl1999">
              <w:r>
                <w:rPr>
                  <w:rStyle w:val="Hyperlink"/>
                </w:rPr>
                <w:t xml:space="preserve">McGrath et al. 1999, 177-78</w:t>
              </w:r>
            </w:hyperlink>
            <w:r>
              <w:t xml:space="preserve">)</w:t>
            </w:r>
            <w:r>
              <w:t xml:space="preserve">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es la fuerza total del equipo en kN,</w:t>
            </w:r>
            <w:r>
              <w:t xml:space="preserve"> </w:t>
            </w:r>
            <m:oMath>
              <m:sSub>
                <m:e>
                  <m:r>
                    <m:t>ϕ</m:t>
                  </m:r>
                </m:e>
                <m:sub>
                  <m:r>
                    <m:t>ℓ</m:t>
                  </m:r>
                </m:sub>
              </m:sSub>
            </m:oMath>
            <w:r>
              <w:t xml:space="preserve"> </w:t>
            </w:r>
            <w:r>
              <w:t xml:space="preserve">el ángulo de fricción del relleno suelto en grados,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el diámetro centroidal en mm y</w:t>
            </w:r>
            <w:r>
              <w:t xml:space="preserve"> </w:t>
            </w:r>
            <m:oMath>
              <m:sSub>
                <m:e>
                  <m:r>
                    <m:t>n</m:t>
                  </m:r>
                </m:e>
                <m:sub>
                  <m:r>
                    <m:t>p</m:t>
                  </m:r>
                </m:sub>
              </m:sSub>
            </m:oMath>
            <w:r>
              <w:t xml:space="preserve"> </w:t>
            </w:r>
            <w:r>
              <w:t xml:space="preserve">la presión nodal horizontal equivalente en kPa. Las filas documentan el dominio de ajuste de la ecuación 5.1; no son coeficientes de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ni valores de diseño transferibles a otro conducto.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i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P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ϕ</m:t>
                        </m:r>
                      </m:e>
                      <m:sub>
                        <m:r>
                          <m:rPr>
                            <m:sty m:val="p"/>
                          </m:rPr>
                          <m:t>ℓ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d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n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oMath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7.2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0.9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1,575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1,575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0.5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970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1,575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</w:t>
                  </w:r>
                </w:p>
              </w:tc>
            </w:tr>
          </w:tbl>
          <w:bookmarkEnd w:id="48"/>
          <w:p/>
        </w:tc>
      </w:tr>
    </w:tbl>
    <w:p>
      <w:pPr>
        <w:pStyle w:val="BodyText"/>
      </w:pPr>
      <w:r>
        <w:t xml:space="preserve">La fila 9 se conserva como aparece en la fuente: con el valor impreso</w:t>
      </w:r>
      <w:r>
        <w:t xml:space="preserve"> </w:t>
      </w:r>
      <m:oMath>
        <m:sSub>
          <m:e>
            <m:r>
              <m:t>ϕ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p>
          <m:e>
            <m:r>
              <m:t>28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no reproduce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kPa, mientras que</w:t>
      </w:r>
      <w:r>
        <w:t xml:space="preserve"> </w:t>
      </w:r>
      <m:oMath>
        <m:sSub>
          <m:e>
            <m:r>
              <m:t>ϕ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sí lo hace al redondear. Esta discrepancia documental no</w:t>
      </w:r>
      <w:r>
        <w:t xml:space="preserve"> </w:t>
      </w:r>
      <w:r>
        <w:t xml:space="preserve">autoriza a sustituir el parámetro impreso ni constituye una alternativa de</w:t>
      </w:r>
      <w:r>
        <w:t xml:space="preserve"> </w:t>
      </w:r>
      <w:r>
        <w:t xml:space="preserve">diseño.</w:t>
      </w:r>
    </w:p>
    <w:p>
      <w:pPr>
        <w:pStyle w:val="BodyText"/>
      </w:pPr>
      <w:r>
        <w:t xml:space="preserve">La aplicación de la relación de FHWA sigue una secuencia distinta de la</w:t>
      </w:r>
      <w:r>
        <w:t xml:space="preserve"> </w:t>
      </w:r>
      <w:r>
        <w:t xml:space="preserve">estimación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ListNumber"/>
      </w:pPr>
      <w:r>
        <w:t xml:space="preserve">El estado permanente del relleno se define mediante la rama de historia</w:t>
      </w:r>
      <w:r>
        <w:t xml:space="preserve"> </w:t>
      </w:r>
      <w:r>
        <w:t xml:space="preserve">tensional aplicable y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b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</w:p>
    <w:p>
      <w:pPr>
        <w:pStyle w:val="ListNumber"/>
      </w:pPr>
      <w:r>
        <w:t xml:space="preserve">Si se comprueba una etapa activa de compactación y el equipo, el material y</w:t>
      </w:r>
      <w:r>
        <w:t xml:space="preserve"> </w:t>
      </w:r>
      <w:r>
        <w:t xml:space="preserve">la geometría se encuentran dentro de un dominio justificable, se calcula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con los parámetros de esa etapa.</w:t>
      </w:r>
    </w:p>
    <w:p>
      <w:pPr>
        <w:pStyle w:val="ListNumber"/>
      </w:pP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se introduce como una acción horizontal independiente sobre la banda</w:t>
      </w:r>
      <w:r>
        <w:t xml:space="preserve"> </w:t>
      </w:r>
      <w:r>
        <w:t xml:space="preserve">activa de 300 mm. El modelo de la etapa debe declarar su extensión, su</w:t>
      </w:r>
      <w:r>
        <w:t xml:space="preserve"> </w:t>
      </w:r>
      <w:r>
        <w:t xml:space="preserve">dirección y la regla con la que se combina con las acciones preexistentes.</w:t>
      </w:r>
      <w:r>
        <w:t xml:space="preserve"> </w:t>
      </w:r>
      <w:r>
        <w:t xml:space="preserve">La ecuación 5.1 no autoriza la sustitución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ni la transformación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+</m:t>
        </m:r>
        <m:sSub>
          <m:e>
            <m:r>
              <m:t>n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</w:p>
    <w:p>
      <w:pPr>
        <w:pStyle w:val="ListNumber"/>
      </w:pPr>
      <w:r>
        <w:t xml:space="preserve">Al finalizar la compactación,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 se conserva en el estado permanente.</w:t>
      </w:r>
      <w:r>
        <w:t xml:space="preserve"> </w:t>
      </w:r>
      <w:r>
        <w:t xml:space="preserve">Una tensión residual sólo puede incorporarse mediante un modelo o una</w:t>
      </w:r>
      <w:r>
        <w:t xml:space="preserve"> </w:t>
      </w:r>
      <w:r>
        <w:t xml:space="preserve">medición independiente de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Cuando esa tensión residual ha sido determinada de manera independiente y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&gt;</m:t>
        </m:r>
        <m:r>
          <m:t>0</m:t>
        </m:r>
      </m:oMath>
      <w:r>
        <w:t xml:space="preserve">, puede informarse para una profundidad y una etapa dadas el</w:t>
      </w:r>
      <w:r>
        <w:t xml:space="preserve"> </w:t>
      </w:r>
      <w:r>
        <w:t xml:space="preserve">coeficiente equivalente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h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sSubSup>
                <m:e>
                  <m:r>
                    <m:t>σ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num>
            <m:den>
              <m:sSubSup>
                <m:e>
                  <m:r>
                    <m:t>σ</m:t>
                  </m:r>
                </m:e>
                <m:sub>
                  <m:r>
                    <m:t>v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es el cociente resultante de un estado ya definido; no constituye</w:t>
      </w:r>
      <w:r>
        <w:t xml:space="preserve"> </w:t>
      </w:r>
      <w:r>
        <w:t xml:space="preserve">una nueva correlación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 En particular,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 puede utilizarse como</w:t>
      </w:r>
      <w:r>
        <w:t xml:space="preserve"> </w:t>
      </w:r>
      <m:oMath>
        <m:r>
          <m:rPr>
            <m:sty m:val="p"/>
          </m:rPr>
          <m:t>Δ</m:t>
        </m:r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porque la fuente no establece retención permanente y el</w:t>
      </w:r>
      <w:r>
        <w:t xml:space="preserve"> </w:t>
      </w:r>
      <w:r>
        <w:t xml:space="preserve">valor mínimo 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ya incorpora el efecto gravitatorio. Su adición directa al</w:t>
      </w:r>
      <w:r>
        <w:t xml:space="preserve"> </w:t>
      </w:r>
      <w:r>
        <w:t xml:space="preserve">estado geostático puede contabilizar dos veces una misma contribución.</w:t>
      </w:r>
    </w:p>
    <w:bookmarkEnd w:id="49"/>
    <w:bookmarkStart w:id="50" w:name="Xcff71fa43fa0c1c2206fe65676c18185df1b4d4"/>
    <w:p>
      <w:pPr>
        <w:pStyle w:val="Heading2"/>
      </w:pPr>
      <w:r>
        <w:t xml:space="preserve">Función dentro del análisis de conductos enterrados</w:t>
      </w:r>
    </w:p>
    <w:p>
      <w:pPr>
        <w:pStyle w:val="FirstParagraph"/>
      </w:pPr>
      <w:r>
        <w:t xml:space="preserve">La referencia normativa principal es AASHTO LRFD Bridge Design</w:t>
      </w:r>
      <w:r>
        <w:t xml:space="preserve"> </w:t>
      </w:r>
      <w:r>
        <w:t xml:space="preserve">Specifications, sección 12. La rama resistente no se selecciona a partir de la</w:t>
      </w:r>
      <w:r>
        <w:t xml:space="preserve"> </w:t>
      </w:r>
      <w:r>
        <w:t xml:space="preserve">forma circular solamente: el índice oficial distingue los tubos, arcos y</w:t>
      </w:r>
      <w:r>
        <w:t xml:space="preserve"> </w:t>
      </w:r>
      <w:r>
        <w:t xml:space="preserve">estructuras de arco metálicos del artículo 12.7, las estructuras de gran luz</w:t>
      </w:r>
      <w:r>
        <w:t xml:space="preserve"> </w:t>
      </w:r>
      <w:r>
        <w:t xml:space="preserve">de chapas estructurales del artículo 12.8, el subcaso de corrugación profunda</w:t>
      </w:r>
      <w:r>
        <w:t xml:space="preserve"> </w:t>
      </w:r>
      <w:r>
        <w:t xml:space="preserve">del artículo 12.8.9 y las chapas de acero para revestimiento de túneles del</w:t>
      </w:r>
      <w:r>
        <w:t xml:space="preserve"> </w:t>
      </w:r>
      <w:r>
        <w:t xml:space="preserve">artículo 12.13</w:t>
      </w:r>
      <w:r>
        <w:t xml:space="preserve"> </w:t>
      </w:r>
      <w:r>
        <w:t xml:space="preserve">(</w:t>
      </w:r>
      <w:hyperlink w:anchor="ref-AASHTO2024TOC">
        <w:r>
          <w:rPr>
            <w:rStyle w:val="Hyperlink"/>
          </w:rPr>
          <w:t xml:space="preserve">American Association of State Highway and Transportation Officials 2024</w:t>
        </w:r>
      </w:hyperlink>
      <w:r>
        <w:t xml:space="preserve">)</w:t>
      </w:r>
      <w:r>
        <w:t xml:space="preserve">. La identificación</w:t>
      </w:r>
      <w:r>
        <w:t xml:space="preserve"> </w:t>
      </w:r>
      <w:r>
        <w:t xml:space="preserve">del producto y de su procedimiento de montaje determina qué artículo y, cuando</w:t>
      </w:r>
      <w:r>
        <w:t xml:space="preserve"> </w:t>
      </w:r>
      <w:r>
        <w:t xml:space="preserve">corresponda, qué subartículo resultan aplicables.</w:t>
      </w:r>
    </w:p>
    <w:p>
      <w:pPr>
        <w:pStyle w:val="BodyText"/>
      </w:pPr>
      <w:r>
        <w:t xml:space="preserve">Para conductos metálicos corrugados, USACE reproduce como relación de empuje</w:t>
      </w:r>
      <w:r>
        <w:t xml:space="preserve"> </w:t>
      </w:r>
      <w:r>
        <w:t xml:space="preserve">por unidad de longitud de pared</w:t>
      </w:r>
      <w:r>
        <w:t xml:space="preserve"> </w:t>
      </w:r>
      <w:r>
        <w:t xml:space="preserve">(</w:t>
      </w:r>
      <w:hyperlink w:anchor="ref-USACE2020">
        <w:r>
          <w:rPr>
            <w:rStyle w:val="Hyperlink"/>
          </w:rPr>
          <w:t xml:space="preserve">U.S. Army Corps of Engineers 2020</w:t>
        </w:r>
      </w:hyperlink>
      <w:r>
        <w:t xml:space="preserve">, ec. 4-20)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F</m:t>
              </m:r>
            </m:sub>
          </m:sSub>
          <m:f>
            <m:fPr>
              <m:type m:val="bar"/>
            </m:fPr>
            <m:num>
              <m:r>
                <m:t>S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sSub>
          <m:e>
            <m:r>
              <m:t>P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reúne la acción vertical mayorada del suelo y las sobrecargas, y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la luz. Esta expresión es una reproducción pública del procedimiento que</w:t>
      </w:r>
      <w:r>
        <w:t xml:space="preserve"> </w:t>
      </w:r>
      <w:r>
        <w:t xml:space="preserve">USACE atribuía a AASHTO en 2020; no se presenta como transcripción verificada</w:t>
      </w:r>
      <w:r>
        <w:t xml:space="preserve"> </w:t>
      </w:r>
      <w:r>
        <w:t xml:space="preserve">del articulado de la décima edición. Antes de utilizarla en una comprobación</w:t>
      </w:r>
      <w:r>
        <w:t xml:space="preserve"> </w:t>
      </w:r>
      <w:r>
        <w:t xml:space="preserve">reglamentaria deben confirmarse en la edición adoptada su permanencia, las</w:t>
      </w:r>
      <w:r>
        <w:t xml:space="preserve"> </w:t>
      </w:r>
      <w:r>
        <w:t xml:space="preserve">definiciones de las variables, los factores, las combinaciones y el dominio de</w:t>
      </w:r>
      <w:r>
        <w:t xml:space="preserve"> </w:t>
      </w:r>
      <w:r>
        <w:t xml:space="preserve">la rama seleccionada. CIRSOC 804-4 conserva una relación coincidente y una</w:t>
      </w:r>
      <w:r>
        <w:t xml:space="preserve"> </w:t>
      </w:r>
      <w:r>
        <w:t xml:space="preserve">numeración basada en una edición anterior de AASHTO, pero se mantiene sólo como</w:t>
      </w:r>
      <w:r>
        <w:t xml:space="preserve"> </w:t>
      </w:r>
      <w:r>
        <w:t xml:space="preserve">contraste métrico y no como autoridad normativa de este procedimiento</w:t>
      </w:r>
      <w:r>
        <w:t xml:space="preserve"> </w:t>
      </w:r>
      <w:r>
        <w:t xml:space="preserve">(</w:t>
      </w:r>
      <w:hyperlink w:anchor="ref-CIRSOC8044">
        <w:r>
          <w:rPr>
            <w:rStyle w:val="Hyperlink"/>
          </w:rPr>
          <w:t xml:space="preserve">INTI-CIRSOC 2023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En particular, el índice de AASHTO identifica una comprobación combinada de</w:t>
      </w:r>
      <w:r>
        <w:t xml:space="preserve"> </w:t>
      </w:r>
      <w:r>
        <w:t xml:space="preserve">empuje y momento en el artículo 12.8.9.5 para corrugación profunda. Esa</w:t>
      </w:r>
      <w:r>
        <w:t xml:space="preserve"> </w:t>
      </w:r>
      <w:r>
        <w:t xml:space="preserve">disposición no se transfiere a los artículos 12.7 o 12.13. Las ecuaciones de</w:t>
      </w:r>
      <w:r>
        <w:t xml:space="preserve"> </w:t>
      </w:r>
      <w:r>
        <w:t xml:space="preserve">resistencia de pared o área, pandeo, costuras y conexiones permanecen</w:t>
      </w:r>
      <w:r>
        <w:t xml:space="preserve"> </w:t>
      </w:r>
      <w:r>
        <w:t xml:space="preserve">pendientes hasta consultar el articulado vigente y clasificar el producto.</w:t>
      </w:r>
    </w:p>
    <w:p>
      <w:pPr>
        <w:pStyle w:val="BodyText"/>
      </w:pPr>
      <w:r>
        <w:t xml:space="preserve">Cuando se necesita la variación angular de las acciones y de las resultantes,</w:t>
      </w:r>
      <w:r>
        <w:t xml:space="preserve"> </w:t>
      </w:r>
      <w:r>
        <w:t xml:space="preserve">debe adoptarse una formulación de interacción que represente el relleno, la</w:t>
      </w:r>
      <w:r>
        <w:t xml:space="preserve"> </w:t>
      </w:r>
      <w:r>
        <w:t xml:space="preserve">rigidez del conducto, el arqueo, la interfaz y las etapas constructivas. En esa</w:t>
      </w:r>
      <w:r>
        <w:t xml:space="preserve"> </w:t>
      </w:r>
      <w:r>
        <w:t xml:space="preserve">formulación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puede definir el estado inicial de tensiones del relleno; no</w:t>
      </w:r>
      <w:r>
        <w:t xml:space="preserve"> </w:t>
      </w:r>
      <w:r>
        <w:t xml:space="preserve">se iguala sin demostración a la relación entre presiones de contacto</w:t>
      </w:r>
      <w:r>
        <w:t xml:space="preserve"> </w:t>
      </w:r>
      <w:r>
        <w:t xml:space="preserve">horizontal y vertical sobre la pared.</w:t>
      </w:r>
    </w:p>
    <w:bookmarkEnd w:id="50"/>
    <w:bookmarkStart w:id="51" w:name="selección-de-la-formulación"/>
    <w:p>
      <w:pPr>
        <w:pStyle w:val="Heading2"/>
      </w:pPr>
      <w:r>
        <w:t xml:space="preserve">Selección de la formulación</w:t>
      </w:r>
    </w:p>
    <w:p>
      <w:pPr>
        <w:pStyle w:val="FirstParagraph"/>
      </w:pPr>
      <w:r>
        <w:t xml:space="preserve">La secuencia de selección es:</w:t>
      </w:r>
    </w:p>
    <w:p>
      <w:pPr>
        <w:pStyle w:val="ListNumber"/>
      </w:pPr>
      <w:r>
        <w:t xml:space="preserve">utilizar una medición representativa cuando exista y conservar su</w:t>
      </w:r>
      <w:r>
        <w:t xml:space="preserve"> </w:t>
      </w:r>
      <w:r>
        <w:t xml:space="preserve">profundidad, trayectoria tensional e incertidumbre;</w:t>
      </w:r>
    </w:p>
    <w:p>
      <w:pPr>
        <w:pStyle w:val="ListNumber"/>
      </w:pPr>
      <w:r>
        <w:t xml:space="preserve">emplear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N</m:t>
            </m:r>
            <m:r>
              <m:t>C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sin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para carga primaria o estado normalmente</w:t>
      </w:r>
      <w:r>
        <w:t xml:space="preserve"> </w:t>
      </w:r>
      <w:r>
        <w:t xml:space="preserve">consolidado;</w:t>
      </w:r>
    </w:p>
    <w:p>
      <w:pPr>
        <w:pStyle w:val="ListNumber"/>
      </w:pPr>
      <w:r>
        <w:t xml:space="preserve">emplear la relación de descarga sólo cuando OCR sea físicamente definible;</w:t>
      </w:r>
    </w:p>
    <w:p>
      <w:pPr>
        <w:pStyle w:val="ListNumber"/>
      </w:pPr>
      <w:r>
        <w:t xml:space="preserve">emplear la relación de recarga sólo cuando OCR y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estén documentados;</w:t>
      </w:r>
    </w:p>
    <w:p>
      <w:pPr>
        <w:pStyle w:val="ListNumber"/>
      </w:pPr>
      <w:r>
        <w:t xml:space="preserve">mantener como escenarios separados las historias que no puedan</w:t>
      </w:r>
      <w:r>
        <w:t xml:space="preserve"> </w:t>
      </w:r>
      <w:r>
        <w:t xml:space="preserve">discriminarse; y</w:t>
      </w:r>
    </w:p>
    <w:p>
      <w:pPr>
        <w:pStyle w:val="ListNumber"/>
      </w:pPr>
      <w:r>
        <w:t xml:space="preserve">tratar un valor constante adoptado como sensibilidad o comprobación, no</w:t>
      </w:r>
      <w:r>
        <w:t xml:space="preserve"> </w:t>
      </w:r>
      <w:r>
        <w:t xml:space="preserve">como estimación del relleno.</w:t>
      </w:r>
    </w:p>
    <w:p>
      <w:pPr>
        <w:pStyle w:val="BodyText"/>
      </w:pPr>
      <w:r>
        <w:t xml:space="preserve">La relación elástica se conserva como referencia constitutiva y no se combina</w:t>
      </w:r>
      <w:r>
        <w:t xml:space="preserve"> </w:t>
      </w:r>
      <w:r>
        <w:t xml:space="preserve">con las correlaciones de historia tensional para obtener un promedio.</w:t>
      </w:r>
    </w:p>
    <w:bookmarkEnd w:id="51"/>
    <w:bookmarkStart w:id="52" w:name="comparación-entre-formulaciones"/>
    <w:p>
      <w:pPr>
        <w:pStyle w:val="Heading2"/>
      </w:pPr>
      <w:r>
        <w:t xml:space="preserve">Comparación entre formulaciones</w:t>
      </w:r>
    </w:p>
    <w:p>
      <w:pPr>
        <w:pStyle w:val="FirstParagraph"/>
      </w:pPr>
      <w:r>
        <w:t xml:space="preserve">Las relaciones anteriores no constituyen estimadores intercambiables de una</w:t>
      </w:r>
      <w:r>
        <w:t xml:space="preserve"> </w:t>
      </w:r>
      <w:r>
        <w:t xml:space="preserve">misma condición. La comparación debe preservar la clase de material y la</w:t>
      </w:r>
      <w:r>
        <w:t xml:space="preserve"> </w:t>
      </w:r>
      <w:r>
        <w:t xml:space="preserve">trayectoria tensional que define cada rama. En particular, la expresión</w:t>
      </w:r>
      <w:r>
        <w:t xml:space="preserve"> </w:t>
      </w:r>
      <w:r>
        <w:t xml:space="preserve">elástica utiliza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, la relación de Jáky utiliza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 las relaciones</w:t>
      </w:r>
      <w:r>
        <w:t xml:space="preserve"> </w:t>
      </w:r>
      <w:r>
        <w:t xml:space="preserve">de Mayne–Kulhawy incorporan además la historia representada por OCR y</w:t>
      </w:r>
      <w:r>
        <w:t xml:space="preserve"> </w:t>
      </w:r>
      <m:oMath>
        <m:sSub>
          <m:e>
            <m:r>
              <m:rPr>
                <m:sty m:val="p"/>
              </m:rPr>
              <m:t>O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R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FHWA y USACE no aportan, en las secciones verificadas, nuevas correlaciones</w:t>
      </w:r>
      <w:r>
        <w:t xml:space="preserve"> </w:t>
      </w:r>
      <w:r>
        <w:t xml:space="preserve">independientes: FHWA presenta la referencia elástica y la relación abreviada</w:t>
      </w:r>
      <w:r>
        <w:t xml:space="preserve"> </w:t>
      </w:r>
      <w:r>
        <w:t xml:space="preserve">de Jáky, mientras USACE utiliza esta última dentro de una comprobación</w:t>
      </w:r>
      <w:r>
        <w:t xml:space="preserve"> </w:t>
      </w:r>
      <w:r>
        <w:t xml:space="preserve">específica</w:t>
      </w:r>
      <w:r>
        <w:t xml:space="preserve"> </w:t>
      </w:r>
      <w:r>
        <w:t xml:space="preserve">(</w:t>
      </w:r>
      <w:hyperlink w:anchor="ref-ChristopherEtAl2006">
        <w:r>
          <w:rPr>
            <w:rStyle w:val="Hyperlink"/>
          </w:rPr>
          <w:t xml:space="preserve">Christopher et al. 2006, sec. 5.4.9</w:t>
        </w:r>
      </w:hyperlink>
      <w:r>
        <w:t xml:space="preserve">;</w:t>
      </w:r>
      <w:r>
        <w:t xml:space="preserve"> </w:t>
      </w:r>
      <w:hyperlink w:anchor="ref-USACE2020">
        <w:r>
          <w:rPr>
            <w:rStyle w:val="Hyperlink"/>
          </w:rPr>
          <w:t xml:space="preserve">U.S. Army Corps of Engineers 2020, sec. 7.5.3.4.6</w:t>
        </w:r>
      </w:hyperlink>
      <w:r>
        <w:t xml:space="preserve">)</w:t>
      </w:r>
      <w:r>
        <w:t xml:space="preserve">. En</w:t>
      </w:r>
      <w:r>
        <w:t xml:space="preserve"> </w:t>
      </w:r>
      <w:r>
        <w:t xml:space="preserve">Núñez (2000),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interviene como parámetro de la formulación de cargas e</w:t>
      </w:r>
      <w:r>
        <w:t xml:space="preserve"> </w:t>
      </w:r>
      <w:r>
        <w:t xml:space="preserve">interacción; no se identificó allí una expresión independiente para estimarlo</w:t>
      </w:r>
      <w:r>
        <w:t xml:space="preserve"> </w:t>
      </w:r>
      <w:r>
        <w:t xml:space="preserve">(</w:t>
      </w:r>
      <w:hyperlink w:anchor="ref-Nunez2000">
        <w:r>
          <w:rPr>
            <w:rStyle w:val="Hyperlink"/>
          </w:rPr>
          <w:t xml:space="preserve">Núñez 2000, 13-15</w:t>
        </w:r>
      </w:hyperlink>
      <w:r>
        <w:t xml:space="preserve">)</w:t>
      </w:r>
      <w:r>
        <w:t xml:space="preserve">. Por ello, FHWA, USACE y Núñez no se incorporan como</w:t>
      </w:r>
      <w:r>
        <w:t xml:space="preserve"> </w:t>
      </w:r>
      <w:r>
        <w:t xml:space="preserve">tres modelos adicionales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Sea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sin</m:t>
        </m:r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Para un mismo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la rama normalmente consolidada</w:t>
      </w:r>
      <w:r>
        <w:t xml:space="preserve"> </w:t>
      </w:r>
      <w:r>
        <w:t xml:space="preserve">define el valor de referencia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comparación con la descarga primaria puede escribirse sin fijar valores</w:t>
      </w:r>
      <w:r>
        <w:t xml:space="preserve"> </w:t>
      </w:r>
      <w:r>
        <w:t xml:space="preserve">numéricos: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O</m:t>
                  </m:r>
                  <m:r>
                    <m:t>C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e>
            <m:sup>
              <m:r>
                <m:t>s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Por lo tanto, ambas ramas coinciden para</w:t>
      </w:r>
      <w:r>
        <w:t xml:space="preserve"> </w:t>
      </w:r>
      <m:oMath>
        <m:r>
          <m:rPr>
            <m:sty m:val="p"/>
          </m:rPr>
          <m:t>O</m:t>
        </m:r>
        <m:r>
          <m:rPr>
            <m:sty m:val="p"/>
          </m:rPr>
          <m:t>C</m:t>
        </m:r>
        <m:r>
          <m:rPr>
            <m:sty m:val="p"/>
          </m:rP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y, para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la descarga incrementa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en forma monótona mientras la relación</w:t>
      </w:r>
      <w:r>
        <w:t xml:space="preserve"> </w:t>
      </w:r>
      <w:r>
        <w:t xml:space="preserve">permanezca dentro de su dominio. Para descarga seguida de recarga,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R</m:t>
              </m:r>
            </m:num>
            <m:den>
              <m:sSubSup>
                <m:e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  <m:sup>
                  <m:r>
                    <m:t> 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s</m:t>
                  </m:r>
                </m:sup>
              </m:sSubSup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3</m:t>
              </m:r>
            </m:num>
            <m:den>
              <m:r>
                <m:t>4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O</m:t>
                  </m:r>
                  <m:r>
                    <m:rPr>
                      <m:sty m:val="p"/>
                    </m:rPr>
                    <m:t>C</m:t>
                  </m:r>
                  <m:r>
                    <m:rPr>
                      <m:sty m:val="p"/>
                    </m:rPr>
                    <m:t>R</m:t>
                  </m:r>
                </m:num>
                <m:den>
                  <m:sSub>
                    <m:e>
                      <m:r>
                        <m:rPr>
                          <m:sty m:val="p"/>
                        </m:rPr>
                        <m:t>O</m:t>
                      </m:r>
                      <m:r>
                        <m:rPr>
                          <m:sty m:val="p"/>
                        </m:rPr>
                        <m:t>C</m:t>
                      </m:r>
                      <m:r>
                        <m:rPr>
                          <m:sty m:val="p"/>
                        </m:rPr>
                        <m:t>R</m:t>
                      </m:r>
                    </m:e>
                    <m:sub>
                      <m:r>
                        <m:rPr>
                          <m:sty m:val="p"/>
                        </m:rPr>
                        <m:t>max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Esta forma permite comprobar directamente los límites de carga primaria y</w:t>
      </w:r>
      <w:r>
        <w:t xml:space="preserve"> </w:t>
      </w:r>
      <w:r>
        <w:t xml:space="preserve">descarga sin introducir resultados tabulados. La igualdad formal entre la</w:t>
      </w:r>
      <w:r>
        <w:t xml:space="preserve"> </w:t>
      </w:r>
      <w:r>
        <w:t xml:space="preserve">idealización elástica y la relación de Jáky se obtiene cuando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ν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igualdad es sólo un control algebraico; no establece una relación</w:t>
      </w:r>
      <w:r>
        <w:t xml:space="preserve"> </w:t>
      </w:r>
      <w:r>
        <w:t xml:space="preserve">constitutiva entre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ni autoriza a derivar uno de esos</w:t>
      </w:r>
      <w:r>
        <w:t xml:space="preserve"> </w:t>
      </w:r>
      <w:r>
        <w:t xml:space="preserve">parámetros a partir del otro.</w:t>
      </w:r>
    </w:p>
    <w:p>
      <w:pPr>
        <w:pStyle w:val="BodyText"/>
      </w:pPr>
      <w:r>
        <w:t xml:space="preserve">Para aislar la incidencia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en el estado biaxial prescrito, se mantienen</w:t>
      </w:r>
      <w:r>
        <w:t xml:space="preserve"> </w:t>
      </w:r>
      <w:r>
        <w:t xml:space="preserve">iguales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</m:oMath>
      <w:r>
        <w:t xml:space="preserve"> </w:t>
      </w:r>
      <w:r>
        <w:t xml:space="preserve">entre escenarios. Entonces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r>
            <m:t>u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incremento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aumenta la componente media con</w:t>
      </w:r>
      <w:r>
        <w:t xml:space="preserve"> </w:t>
      </w:r>
      <m:oMath>
        <m:r>
          <m:rPr>
            <m:sty m:val="p"/>
          </m:rPr>
          <m:t>∂</m:t>
        </m:r>
        <m:sSub>
          <m:e>
            <m:r>
              <m:t>p</m:t>
            </m:r>
          </m:e>
          <m:sub>
            <m:r>
              <m:t>m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y reduce la amplitud desviadora con</w:t>
      </w:r>
      <w:r>
        <w:t xml:space="preserve"> </w:t>
      </w:r>
      <m:oMath>
        <m:r>
          <m:rPr>
            <m:sty m:val="p"/>
          </m:rPr>
          <m:t>∂</m:t>
        </m:r>
        <m:r>
          <m:rPr>
            <m:sty m:val="p"/>
          </m:rPr>
          <m:t>Δ</m:t>
        </m:r>
        <m:r>
          <m:t>σ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Para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desaparece la</w:t>
      </w:r>
      <w:r>
        <w:t xml:space="preserve"> </w:t>
      </w:r>
      <w:r>
        <w:t xml:space="preserve">componente armónica de esa proyección; para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cambia su signo. Estas</w:t>
      </w:r>
      <w:r>
        <w:t xml:space="preserve"> </w:t>
      </w:r>
      <w:r>
        <w:t xml:space="preserve">relaciones describen el escenario biaxial analítico y no sustituyen una ley</w:t>
      </w:r>
      <w:r>
        <w:t xml:space="preserve"> </w:t>
      </w:r>
      <w:r>
        <w:t xml:space="preserve">de contacto suelo–conducto.</w:t>
      </w:r>
    </w:p>
    <w:p>
      <w:pPr>
        <w:pStyle w:val="BodyText"/>
      </w:pPr>
      <w:r>
        <w:t xml:space="preserve">La comparación numérica se construye a partir de casos declarados. Cada caso</w:t>
      </w:r>
      <w:r>
        <w:t xml:space="preserve"> </w:t>
      </w:r>
      <w:r>
        <w:t xml:space="preserve">registra la formulación, sus variables primitivas, el estado de dominio y la</w:t>
      </w:r>
      <w:r>
        <w:t xml:space="preserve"> </w:t>
      </w:r>
      <w:r>
        <w:t xml:space="preserve">misma definición de tensiones y agua empleada en la comparación. Los valores</w:t>
      </w:r>
      <w:r>
        <w:t xml:space="preserve"> </w:t>
      </w:r>
      <w:r>
        <w:t xml:space="preserve">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t>σ</m:t>
        </m:r>
      </m:oMath>
      <w:r>
        <w:t xml:space="preserve"> </w:t>
      </w:r>
      <w:r>
        <w:t xml:space="preserve">y, cuando corresponda, las</w:t>
      </w:r>
      <w:r>
        <w:t xml:space="preserve"> </w:t>
      </w:r>
      <w:r>
        <w:t xml:space="preserve">resultantes se calculan desde esas entradas. Si la trayectoria del relleno no</w:t>
      </w:r>
      <w:r>
        <w:t xml:space="preserve"> </w:t>
      </w:r>
      <w:r>
        <w:t xml:space="preserve">permite seleccionar una única formulación, las ramas se mantienen como</w:t>
      </w:r>
      <w:r>
        <w:t xml:space="preserve"> </w:t>
      </w:r>
      <w:r>
        <w:t xml:space="preserve">escenarios discretos sin promediarlas ni asignarles probabilidades no</w:t>
      </w:r>
      <w:r>
        <w:t xml:space="preserve"> </w:t>
      </w:r>
      <w:r>
        <w:t xml:space="preserve">documentadas.</w:t>
      </w:r>
    </w:p>
    <w:bookmarkEnd w:id="52"/>
    <w:bookmarkStart w:id="53" w:name="alcance"/>
    <w:p>
      <w:pPr>
        <w:pStyle w:val="Heading2"/>
      </w:pPr>
      <w:r>
        <w:t xml:space="preserve">Alcance</w:t>
      </w:r>
    </w:p>
    <w:p>
      <w:pPr>
        <w:pStyle w:val="FirstParagraph"/>
      </w:pPr>
      <w:r>
        <w:t xml:space="preserve">Las relaciones anteriores determinan el estado lateral efectivo del relleno.</w:t>
      </w:r>
      <w:r>
        <w:t xml:space="preserve"> </w:t>
      </w:r>
      <w:r>
        <w:t xml:space="preserve">No calculan la presión de contacto ni las resultantes estructurales, y tampoco</w:t>
      </w:r>
      <w:r>
        <w:t xml:space="preserve"> </w:t>
      </w:r>
      <w:r>
        <w:t xml:space="preserve">reemplazan la solicitación reglamentaria de la rama AASHTO aplicable. La aplicación</w:t>
      </w:r>
      <w:r>
        <w:t xml:space="preserve"> </w:t>
      </w:r>
      <w:r>
        <w:t xml:space="preserve">al revestimiento existente requiere clasificar el producto, el relleno y el</w:t>
      </w:r>
      <w:r>
        <w:t xml:space="preserve"> </w:t>
      </w:r>
      <w:r>
        <w:t xml:space="preserve">procedimiento constructivo, reconstruir la historia tensional y seleccionar</w:t>
      </w:r>
      <w:r>
        <w:t xml:space="preserve"> </w:t>
      </w:r>
      <w:r>
        <w:t xml:space="preserve">una formulación de interacción cuando se pretendan obtener distribuciones</w:t>
      </w:r>
      <w:r>
        <w:t xml:space="preserve"> </w:t>
      </w:r>
      <w:r>
        <w:t xml:space="preserve">angulares de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.</w:t>
      </w:r>
    </w:p>
    <w:bookmarkEnd w:id="53"/>
    <w:bookmarkEnd w:id="54"/>
    <w:bookmarkStart w:id="80" w:name="X00a2c232658d7241cfb84a35e51ce9613a63fb8"/>
    <w:p>
      <w:pPr>
        <w:pStyle w:val="Heading1"/>
      </w:pPr>
      <w:r>
        <w:t xml:space="preserve">Estado tensional y modelo híbrido de demanda</w:t>
      </w:r>
    </w:p>
    <w:bookmarkStart w:id="60" w:name="tensión-vertical-efectiva-de-referencia"/>
    <w:p>
      <w:pPr>
        <w:pStyle w:val="Heading2"/>
      </w:pPr>
      <w:r>
        <w:t xml:space="preserve">Tensión vertical efectiva de referencia</w:t>
      </w:r>
    </w:p>
    <w:p>
      <w:pPr>
        <w:pStyle w:val="FirstParagraph"/>
      </w:pPr>
      <w:r>
        <w:t xml:space="preserve">La acción de cálculo parte del estado efectivo del relleno en ausencia del</w:t>
      </w:r>
      <w:r>
        <w:t xml:space="preserve"> </w:t>
      </w:r>
      <w:r>
        <w:t xml:space="preserve">revestimiento, evaluado en una cota de referencia declarada. Si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es la</w:t>
      </w:r>
      <w:r>
        <w:t xml:space="preserve"> </w:t>
      </w:r>
      <w:r>
        <w:t xml:space="preserve">altura de relleno sobre la clave y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la distancia entre la clave y el</w:t>
      </w:r>
      <w:r>
        <w:t xml:space="preserve"> </w:t>
      </w:r>
      <w:r>
        <w:t xml:space="preserve">centro geométrico de la sección, la profundidad utilizada es</w:t>
      </w:r>
    </w:p>
    <w:p>
      <w:pPr>
        <w:pStyle w:val="BodyText"/>
      </w:pPr>
      <w:bookmarkStart w:id="55" w:name="eq-methodology-reference-depth"/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5"/>
    </w:p>
    <w:p>
      <w:pPr>
        <w:pStyle w:val="FirstParagraph"/>
      </w:pPr>
      <w:r>
        <w:t xml:space="preserve">Para un relleno homogéneo,</w:t>
      </w:r>
    </w:p>
    <w:p>
      <w:pPr>
        <w:pStyle w:val="BodyText"/>
      </w:pPr>
      <w:bookmarkStart w:id="56" w:name="eq-methodology-effective-vertical-stress"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donde</w:t>
      </w:r>
      <w:r>
        <w:t xml:space="preserve"> </w:t>
      </w:r>
      <m:oMath>
        <m:sSup>
          <m:e>
            <m:r>
              <m:t>q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la sobrecarga asignada al estado efectivo y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es el peso</w:t>
      </w:r>
      <w:r>
        <w:t xml:space="preserve"> </w:t>
      </w:r>
      <w:r>
        <w:t xml:space="preserve">unitario efectivo adoptado. En una estratigrafía general, el término</w:t>
      </w:r>
      <w:r>
        <w:t xml:space="preserve"> </w:t>
      </w:r>
      <m:oMath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</m:oMath>
      <w:r>
        <w:t xml:space="preserve"> </w:t>
      </w:r>
      <w:r>
        <w:t xml:space="preserve">se sustituye por la integral de los pesos unitarios por</w:t>
      </w:r>
      <w:r>
        <w:t xml:space="preserve"> </w:t>
      </w:r>
      <w:r>
        <w:t xml:space="preserve">estrato. La condición hidráulica se incorpora mediante la tensión efectiva y</w:t>
      </w:r>
      <w:r>
        <w:t xml:space="preserve"> </w:t>
      </w:r>
      <w:r>
        <w:t xml:space="preserve">la diferencia de presión de agua exterior–interior; no se suma una segunda</w:t>
      </w:r>
      <w:r>
        <w:t xml:space="preserve"> </w:t>
      </w:r>
      <w:r>
        <w:t xml:space="preserve">corrección implícita por agua.</w:t>
      </w:r>
    </w:p>
    <w:p>
      <w:pPr>
        <w:pStyle w:val="BodyText"/>
      </w:pPr>
      <w:r>
        <w:t xml:space="preserve">La tensión horizontal se obtiene con el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seleccionado en el capítulo</w:t>
      </w:r>
      <w:r>
        <w:t xml:space="preserve"> </w:t>
      </w:r>
      <w:r>
        <w:t xml:space="preserve">anterior:</w:t>
      </w:r>
    </w:p>
    <w:p>
      <w:pPr>
        <w:pStyle w:val="BodyText"/>
      </w:pPr>
      <w:bookmarkStart w:id="57" w:name="Xf31032aa4860e05be9c9bdd36a28f5b0b776b1e"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t> </m:t>
          </m:r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7"/>
    </w:p>
    <w:p>
      <w:pPr>
        <w:pStyle w:val="FirstParagraph"/>
      </w:pPr>
      <w:r>
        <w:t xml:space="preserve">En el terreno, ambas tensiones varían con la profundidad. Para un punto del</w:t>
      </w:r>
      <w:r>
        <w:t xml:space="preserve"> </w:t>
      </w:r>
      <w:r>
        <w:t xml:space="preserve">perímetro del conducto, medido 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clave, la profundidad</w:t>
      </w:r>
      <w:r>
        <w:t xml:space="preserve"> </w:t>
      </w:r>
      <w:r>
        <w:t xml:space="preserve">geométrica sería</w:t>
      </w:r>
    </w:p>
    <w:p>
      <w:pPr>
        <w:pStyle w:val="BodyText"/>
      </w:pPr>
      <w:bookmarkStart w:id="58" w:name="eq-methodology-perimeter-depth"/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z</m:t>
              </m:r>
            </m:e>
            <m:sub>
              <m:r>
                <m:t>r</m:t>
              </m:r>
              <m:r>
                <m:t>e</m:t>
              </m:r>
              <m:r>
                <m:t>f</m:t>
              </m:r>
            </m:sub>
          </m:sSub>
          <m:r>
            <m:rPr>
              <m:sty m:val="p"/>
            </m:rPr>
            <m:t>−</m:t>
          </m:r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8"/>
    </w:p>
    <w:p>
      <w:pPr>
        <w:pStyle w:val="FirstParagraph"/>
      </w:pPr>
      <w:r>
        <w:t xml:space="preserve">Esta relación permite reconocer el gradiente geostático entre clave y solera,</w:t>
      </w:r>
      <w:r>
        <w:t xml:space="preserve"> </w:t>
      </w:r>
      <w:r>
        <w:t xml:space="preserve">pero no se sustituye punto por punto dentro de Schwartz–Einstein.</w:t>
      </w:r>
      <w:r>
        <w:t xml:space="preserve"> </w:t>
      </w:r>
      <w:r>
        <w:t xml:space="preserve">La solución publicada supone un campo libre uniforme en un medio infinito y</w:t>
      </w:r>
      <w:r>
        <w:t xml:space="preserve"> </w:t>
      </w:r>
      <w:r>
        <w:t xml:space="preserve">utiliza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como dos escalares. El</w:t>
      </w:r>
      <w:r>
        <w:t xml:space="preserve"> </w:t>
      </w:r>
      <w:r>
        <w:t xml:space="preserve">procedimiento adoptado conserva esa solución para los modos uniformes y de</w:t>
      </w:r>
      <w:r>
        <w:t xml:space="preserve"> </w:t>
      </w:r>
      <w:r>
        <w:t xml:space="preserve">ovalización y superpone, mediante las ecuaciones de equilibrio del anillo, la</w:t>
      </w:r>
      <w:r>
        <w:t xml:space="preserve"> </w:t>
      </w:r>
      <w:r>
        <w:t xml:space="preserve">descomposición modal analítica del gradiente lineal entre clave y solera.</w:t>
      </w:r>
    </w:p>
    <w:p>
      <w:pPr>
        <w:pStyle w:val="BodyText"/>
      </w:pP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caracteriza el estado efectivo inicial. No representa arqueo, fricción</w:t>
      </w:r>
      <w:r>
        <w:t xml:space="preserve"> </w:t>
      </w:r>
      <w:r>
        <w:t xml:space="preserve">de interfaz ni una reducción universal de la carga con la profundidad.</w:t>
      </w:r>
      <w:r>
        <w:t xml:space="preserve"> </w:t>
      </w:r>
      <w:r>
        <w:t xml:space="preserve">Para carga primaria normalmente consolidada, la especialización utilizada en</w:t>
      </w:r>
      <w:r>
        <w:t xml:space="preserve"> </w:t>
      </w:r>
      <w:r>
        <w:t xml:space="preserve">los controles es</w:t>
      </w:r>
    </w:p>
    <w:p>
      <w:pPr>
        <w:pStyle w:val="BodyText"/>
      </w:pPr>
      <w:bookmarkStart w:id="59" w:name="eq-k0-jaky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N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sSup>
            <m:e>
              <m:r>
                <m:t>ϕ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El estado de cálculo se define mediante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bSup>
          <m:e>
            <m:r>
              <m:t>σ</m:t>
            </m:r>
          </m:e>
          <m:sub>
            <m:r>
              <m:t>h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sSub>
          <m:e>
            <m:r>
              <m:t>z</m:t>
            </m:r>
          </m:e>
          <m:sub>
            <m:r>
              <m:t>r</m:t>
            </m:r>
            <m:r>
              <m:t>e</m:t>
            </m:r>
            <m:r>
              <m:t>f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. Para cada revestimiento, la solución de</w:t>
      </w:r>
      <w:r>
        <w:t xml:space="preserve"> </w:t>
      </w:r>
      <w:r>
        <w:t xml:space="preserve">carga externa de Schwartz–Einstein transforma ese campo libre en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utilizando sus propias razones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 Se calculan los límites con deslizamiento libre y sin deslizamiento; la</w:t>
      </w:r>
      <w:r>
        <w:t xml:space="preserve"> </w:t>
      </w:r>
      <w:r>
        <w:t xml:space="preserve">presión hidráulica neta uniforme se superpone a la componente media de fuerza</w:t>
      </w:r>
      <w:r>
        <w:t xml:space="preserve"> </w:t>
      </w:r>
      <w:r>
        <w:t xml:space="preserve">circunferencial. A esas resultantes se agrega la corrección equilibrada de</w:t>
      </w:r>
      <w:r>
        <w:t xml:space="preserve"> </w:t>
      </w:r>
      <w:r>
        <w:t xml:space="preserve">gradiente desarrollada más adelante. Por ello, la respuesta final contiene</w:t>
      </w:r>
      <w:r>
        <w:t xml:space="preserve"> </w:t>
      </w:r>
      <w:r>
        <w:t xml:space="preserve">los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: la interacción por rigidez permanece 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y la</w:t>
      </w:r>
      <w:r>
        <w:t xml:space="preserve"> </w:t>
      </w:r>
      <w:r>
        <w:t xml:space="preserve">variación geostática sobre la altura aporta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.</w:t>
      </w:r>
    </w:p>
    <w:p>
      <w:pPr>
        <w:pStyle w:val="BodyText"/>
      </w:pPr>
      <w:r>
        <w:t xml:space="preserve">La tapada interviene en la magnitud de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</m:oMath>
      <w:r>
        <w:t xml:space="preserve"> </w:t>
      </w:r>
      <w:r>
        <w:t xml:space="preserve">y, a través de</w:t>
      </w:r>
      <w:r>
        <w:t xml:space="preserve"> </w:t>
      </w:r>
      <m:oMath>
        <m:r>
          <m:t>z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en la diferencia entre clave y solera. El cociente</w:t>
      </w:r>
      <w:r>
        <w:t xml:space="preserve"> </w:t>
      </w:r>
      <m:oMath>
        <m:r>
          <m:t>H</m:t>
        </m:r>
        <m:r>
          <m:rPr>
            <m:sty m:val="p"/>
          </m:rPr>
          <m:t>/</m:t>
        </m:r>
        <m:r>
          <m:t>D</m:t>
        </m:r>
      </m:oMath>
      <w:r>
        <w:t xml:space="preserve"> </w:t>
      </w:r>
      <w:r>
        <w:t xml:space="preserve">no</w:t>
      </w:r>
      <w:r>
        <w:t xml:space="preserve"> </w:t>
      </w:r>
      <w:r>
        <w:t xml:space="preserve">aparece como una corrección empírica independiente. El modelo no reproduce</w:t>
      </w:r>
      <w:r>
        <w:t xml:space="preserve"> </w:t>
      </w:r>
      <w:r>
        <w:t xml:space="preserve">una superficie libre próxima, el arqueo tridimensional de una zanja ni la</w:t>
      </w:r>
      <w:r>
        <w:t xml:space="preserve"> </w:t>
      </w:r>
      <w:r>
        <w:t xml:space="preserve">secuencia de relleno; por ello no debe interpretarse la corrección lineal como</w:t>
      </w:r>
      <w:r>
        <w:t xml:space="preserve"> </w:t>
      </w:r>
      <w:r>
        <w:t xml:space="preserve">una calibración de esos fenómenos.</w:t>
      </w:r>
    </w:p>
    <w:bookmarkEnd w:id="60"/>
    <w:bookmarkStart w:id="66" w:name="proyección-del-estado-biaxial"/>
    <w:p>
      <w:pPr>
        <w:pStyle w:val="Heading2"/>
      </w:pPr>
      <w:r>
        <w:t xml:space="preserve">Proyección del estado biaxial</w:t>
      </w:r>
    </w:p>
    <w:p>
      <w:pPr>
        <w:pStyle w:val="FirstParagraph"/>
      </w:pPr>
      <w:r>
        <w:t xml:space="preserve">Como control independiente se prescribe en el centro de la sección un estado</w:t>
      </w:r>
      <w:r>
        <w:t xml:space="preserve"> </w:t>
      </w:r>
      <w:r>
        <w:t xml:space="preserve">uniforme con componentes</w:t>
      </w:r>
      <w:r>
        <w:t xml:space="preserve"> </w:t>
      </w:r>
      <w:r>
        <w:t xml:space="preserve">principales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Con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la clave, su</w:t>
      </w:r>
      <w:r>
        <w:t xml:space="preserve"> </w:t>
      </w:r>
      <w:r>
        <w:t xml:space="preserve">proyección normal y tangencial sobre el contorno es</w:t>
      </w:r>
    </w:p>
    <w:p>
      <w:pPr>
        <w:pStyle w:val="BodyText"/>
      </w:pPr>
      <w:bookmarkStart w:id="61" w:name="eq-methodology-stress-projection"/>
      <m:oMathPara>
        <m:oMathParaPr>
          <m:jc m:val="center"/>
        </m:oMathParaPr>
        <m:oMath>
          <m:eqArr>
            <m:e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sSup>
                <m:e>
                  <m:r>
                    <m:rPr>
                      <m:sty m:val="p"/>
                    </m:rPr>
                    <m:t>sin</m:t>
                  </m:r>
                </m:e>
                <m:sup>
                  <m:r>
                    <m:t>2</m:t>
                  </m:r>
                </m:sup>
              </m:sSup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p</m:t>
                  </m:r>
                </m:e>
                <m:sub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σ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θ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p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u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La convención estructural adopta la tracción radial positiva hacia afuera y la</w:t>
      </w:r>
      <w:r>
        <w:t xml:space="preserve"> </w:t>
      </w:r>
      <w:r>
        <w:t xml:space="preserve">tracción tangencial positiva con el incremento de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62" w:name="eq-methodology-tangential-projection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representa la proyección tangencial completa y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una</w:t>
      </w:r>
      <w:r>
        <w:t xml:space="preserve"> </w:t>
      </w:r>
      <w:r>
        <w:t xml:space="preserve">acción exclusivamente normal. Los dos valores son prescripciones de cálculo;</w:t>
      </w:r>
      <w:r>
        <w:t xml:space="preserve"> </w:t>
      </w:r>
      <m:oMath>
        <m:sSub>
          <m:e>
            <m:r>
              <m:t>λ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no es un coeficiente de fricción ni una ley de contacto.</w:t>
      </w:r>
    </w:p>
    <w:p>
      <w:pPr>
        <w:pStyle w:val="BodyText"/>
      </w:pPr>
      <w:r>
        <w:t xml:space="preserve">Al definir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Δ</m:t>
          </m:r>
          <m:sSub>
            <m:e>
              <m:r>
                <m:t>u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Sup>
                <m:e>
                  <m:r>
                    <m:t>σ</m:t>
                  </m:r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σ</m:t>
                  </m:r>
                </m:e>
                <m:sub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σ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se obtiene la forma armónica</w:t>
      </w:r>
    </w:p>
    <w:p>
      <w:pPr>
        <w:pStyle w:val="BodyText"/>
      </w:pPr>
      <w:bookmarkStart w:id="63" w:name="eq-normal-pressur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3"/>
    </w:p>
    <w:p>
      <w:pPr>
        <w:pStyle w:val="FirstParagraph"/>
      </w:pPr>
      <w:bookmarkStart w:id="64" w:name="eq-tangential-traction"/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64"/>
    </w:p>
    <w:p>
      <w:pPr>
        <w:pStyle w:val="FirstParagraph"/>
      </w:pPr>
      <w:r>
        <w:t xml:space="preserve">Por consiguiente,</w:t>
      </w:r>
    </w:p>
    <w:p>
      <w:pPr>
        <w:pStyle w:val="BodyText"/>
      </w:pPr>
      <w:bookmarkStart w:id="65" w:name="eq-methodology-biaxial-load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t>t</m:t>
              </m:r>
            </m:sub>
          </m:sSub>
          <m:sSubSup>
            <m:e>
              <m:r>
                <m:t>p</m:t>
              </m:r>
            </m:e>
            <m:sub>
              <m:r>
                <m:t>t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65"/>
    </w:p>
    <w:p>
      <w:pPr>
        <w:pStyle w:val="FirstParagraph"/>
      </w:pPr>
      <w:r>
        <w:t xml:space="preserve">Estas tracciones alimentan la integración directa de las ecuaciones de</w:t>
      </w:r>
      <w:r>
        <w:t xml:space="preserve"> </w:t>
      </w:r>
      <w:r>
        <w:t xml:space="preserve">equilibrio y compatibilidad. La solución cerrada y Fourier controlan la misma</w:t>
      </w:r>
      <w:r>
        <w:t xml:space="preserve"> </w:t>
      </w:r>
      <w:r>
        <w:t xml:space="preserve">acción prescrita. No son la ley de interfaz de Schwartz–Einstein y sus</w:t>
      </w:r>
      <w:r>
        <w:t xml:space="preserve"> </w:t>
      </w:r>
      <w:r>
        <w:t xml:space="preserve">resultantes no alimentan las comprobaciones resistentes.</w:t>
      </w:r>
    </w:p>
    <w:bookmarkEnd w:id="66"/>
    <w:bookmarkStart w:id="73" w:name="X85bb99458177afe53e2020b16564b79a292a192"/>
    <w:p>
      <w:pPr>
        <w:pStyle w:val="Heading2"/>
      </w:pPr>
      <w:r>
        <w:t xml:space="preserve">Descomposición armónica de un gradiente lineal</w:t>
      </w:r>
    </w:p>
    <w:p>
      <w:pPr>
        <w:pStyle w:val="FirstParagraph"/>
      </w:pPr>
      <w:r>
        <w:t xml:space="preserve">Para evaluar el estado geostático a lo largo de la altura del conducto se</w:t>
      </w:r>
      <w:r>
        <w:t xml:space="preserve"> </w:t>
      </w:r>
      <w:r>
        <w:t xml:space="preserve">considera el caso homogéneo</w:t>
      </w:r>
    </w:p>
    <w:p>
      <w:pPr>
        <w:pStyle w:val="BodyText"/>
      </w:pPr>
      <w:bookmarkStart w:id="67" w:name="eq-methodology-linear-gradient-stress"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v</m:t>
              </m:r>
            </m:sub>
          </m:sSub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−</m:t>
          </m:r>
          <m:sSub>
            <m:e>
              <m:r>
                <m:t>γ</m:t>
              </m:r>
            </m:e>
            <m:sub>
              <m:r>
                <m:t>h</m:t>
              </m:r>
            </m:sub>
          </m:sSub>
          <m:r>
            <m:t>R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67"/>
    </w:p>
    <w:p>
      <w:pPr>
        <w:pStyle w:val="FirstParagraph"/>
      </w:pPr>
      <w:r>
        <w:t xml:space="preserve">Para un relleno homogéneo con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constante,</w:t>
      </w:r>
      <w:r>
        <w:t xml:space="preserve"> </w:t>
      </w:r>
      <m:oMath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=</m:t>
        </m:r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γ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</m:sub>
        </m:sSub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 Una sobrecarga uniforme modifica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σ</m:t>
            </m:r>
          </m:e>
          <m:sub>
            <m:r>
              <m:t>h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, pero no estos gradientes. Si se adopta un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sub>
        </m:sSub>
      </m:oMath>
      <w:r>
        <w:t xml:space="preserve"> </w:t>
      </w:r>
      <w:r>
        <w:t xml:space="preserve">uniforme por compactación, se utiliza de igual manera</w:t>
      </w:r>
      <w:r>
        <w:t xml:space="preserve"> </w:t>
      </w:r>
      <m:oMath>
        <m:sSub>
          <m:e>
            <m:r>
              <m:t>γ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sSub>
          <m:e>
            <m:r>
              <m:t>K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</m:sub>
        </m:sSub>
        <m:sSup>
          <m:e>
            <m:r>
              <m:t>γ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 una distribución por tongadas requiere su propia</w:t>
      </w:r>
      <w:r>
        <w:t xml:space="preserve"> </w:t>
      </w:r>
      <w:r>
        <w:t xml:space="preserve">proyección.</w:t>
      </w:r>
    </w:p>
    <w:p>
      <w:pPr>
        <w:pStyle w:val="BodyText"/>
      </w:pPr>
      <w:r>
        <w:t xml:space="preserve">Al proyectar ambas componentes sobre el contorno, la diferencia respecto del</w:t>
      </w:r>
      <w:r>
        <w:t xml:space="preserve"> </w:t>
      </w:r>
      <w:r>
        <w:t xml:space="preserve">estado uniforme del eje puede escribirse como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sSubSup>
            <m:e>
              <m:r>
                <m:t>a</m:t>
              </m:r>
            </m:e>
            <m:sub>
              <m:r>
                <m:t>3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cos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sSubSup>
            <m:e>
              <m:r>
                <m:t>d</m:t>
              </m:r>
            </m:e>
            <m:sub>
              <m:r>
                <m:t>3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68" w:name="eq-methodology-linear-gradient-load"/>
      <m:oMathPara>
        <m:oMathParaPr>
          <m:jc m:val="center"/>
        </m:oMathParaPr>
        <m:oMath>
          <m:eqArr>
            <m:e>
              <m:sSubSup>
                <m:e>
                  <m:r>
                    <m:t>a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sSubSup>
                <m:e>
                  <m:r>
                    <m:t>d</m:t>
                  </m:r>
                </m:e>
                <m:sub>
                  <m:r>
                    <m:t>1</m:t>
                  </m:r>
                </m:sub>
                <m:sup>
                  <m:r>
                    <m:t>g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a</m:t>
                  </m:r>
                </m:e>
                <m:sub>
                  <m:r>
                    <m:t>3</m:t>
                  </m:r>
                </m:sub>
                <m:sup>
                  <m:r>
                    <m:t>g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sSubSup>
                <m:e>
                  <m:r>
                    <m:t>d</m:t>
                  </m:r>
                </m:e>
                <m:sub>
                  <m:r>
                    <m:t>3</m:t>
                  </m:r>
                </m:sub>
                <m:sup>
                  <m:r>
                    <m:t>g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R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γ</m:t>
                  </m:r>
                </m:e>
                <m:sub>
                  <m:r>
                    <m:t>v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γ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68"/>
    </w:p>
    <w:p>
      <w:pPr>
        <w:pStyle w:val="FirstParagraph"/>
      </w:pPr>
      <w:r>
        <w:t xml:space="preserve">Por lo tanto, un gradiente lineal no requiere una serie extensa: agrega</w:t>
      </w:r>
      <w:r>
        <w:t xml:space="preserve"> </w:t>
      </w:r>
      <w:r>
        <w:t xml:space="preserve">exactamente los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Antes de introducir una reacción, sus</w:t>
      </w:r>
      <w:r>
        <w:t xml:space="preserve"> </w:t>
      </w:r>
      <w:r>
        <w:t xml:space="preserve">coeficientes de orden uno no satisfacen la</w:t>
      </w:r>
      <w:r>
        <w:t xml:space="preserve"> </w:t>
      </w:r>
      <w:hyperlink w:anchor="eq-first-mode-balance">
        <w:r>
          <w:rPr>
            <w:rStyle w:val="Hyperlink"/>
          </w:rPr>
          <w:t xml:space="preserve">ec. 46</w:t>
        </w:r>
      </w:hyperlink>
      <w:r>
        <w:t xml:space="preserve"> </w:t>
      </w:r>
      <w:r>
        <w:t xml:space="preserve">y la</w:t>
      </w:r>
      <w:r>
        <w:t xml:space="preserve"> </w:t>
      </w:r>
      <w:r>
        <w:t xml:space="preserve">resultante vertical por unidad de longitud es</w:t>
      </w:r>
    </w:p>
    <w:p>
      <w:pPr>
        <w:pStyle w:val="BodyText"/>
      </w:pPr>
      <w:bookmarkStart w:id="69" w:name="eq-methodology-linear-gradient-resultant"/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z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π</m:t>
          </m:r>
          <m:sSub>
            <m:e>
              <m:r>
                <m:t>γ</m:t>
              </m:r>
            </m:e>
            <m:sub>
              <m:r>
                <m:t>v</m:t>
              </m:r>
            </m:sub>
          </m:sSub>
          <m:sSup>
            <m:e>
              <m:r>
                <m:t>R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Ese valor es la resultante del campo gravitatorio sobre el material encerrado</w:t>
      </w:r>
      <w:r>
        <w:t xml:space="preserve"> </w:t>
      </w:r>
      <w:r>
        <w:t xml:space="preserve">por el contorno. El anillo no puede recibirla como cuerpo libre sin una</w:t>
      </w:r>
      <w:r>
        <w:t xml:space="preserve"> </w:t>
      </w:r>
      <w:r>
        <w:t xml:space="preserve">reacción. Se representa el contacto continuo mediante una restricción radial</w:t>
      </w:r>
      <w:r>
        <w:t xml:space="preserve"> </w:t>
      </w:r>
      <w:r>
        <w:t xml:space="preserve">distribuida sobre toda la circunferencia y rigidez tangencial nula. La</w:t>
      </w:r>
      <w:r>
        <w:t xml:space="preserve"> </w:t>
      </w:r>
      <w:r>
        <w:t xml:space="preserve">reacción sólo necesita el modo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w:bookmarkStart w:id="70" w:name="eq-methodology-gradient-support-reaction"/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1</m:t>
              </m:r>
            </m:sub>
            <m:sup>
              <m:r>
                <m:t>s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d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−</m:t>
          </m:r>
          <m:sSubSup>
            <m:e>
              <m:r>
                <m:t>a</m:t>
              </m:r>
            </m:e>
            <m:sub>
              <m:r>
                <m:t>1</m:t>
              </m:r>
            </m:sub>
            <m:sup>
              <m:r>
                <m:t>g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sSub>
            <m:e>
              <m:r>
                <m:t>γ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70"/>
    </w:p>
    <w:p>
      <w:pPr>
        <w:pStyle w:val="FirstParagraph"/>
      </w:pPr>
      <w:r>
        <w:t xml:space="preserve">Después de superponerla,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Sup>
          <m:e>
            <m:r>
              <m:t>d</m:t>
            </m:r>
          </m:e>
          <m:sub>
            <m:r>
              <m:t>1</m:t>
            </m:r>
          </m:sub>
          <m:sup>
            <m:r>
              <m:t>g</m:t>
            </m:r>
          </m:sup>
        </m:sSubSup>
      </m:oMath>
      <w:r>
        <w:t xml:space="preserve"> </w:t>
      </w:r>
      <w:r>
        <w:t xml:space="preserve">y la resultante global es nula. Esta es</w:t>
      </w:r>
      <w:r>
        <w:t xml:space="preserve"> </w:t>
      </w:r>
      <w:r>
        <w:t xml:space="preserve">una reacción de restricción obtenida por equilibrio; no se adopta un valor de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ni se calcula un desplazamiento del terreno. La solución modal de la</w:t>
      </w:r>
      <w:r>
        <w:t xml:space="preserve"> </w:t>
      </w:r>
      <w:r>
        <w:t xml:space="preserve">carga equilibrada da, con</w:t>
      </w:r>
      <w:r>
        <w:t xml:space="preserve"> </w:t>
      </w:r>
      <m:oMath>
        <m:r>
          <m:rPr>
            <m:sty m:val="p"/>
          </m:rPr>
          <m:t>Δ</m:t>
        </m:r>
        <m:r>
          <m:t>γ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−</m:t>
        </m:r>
        <m:sSub>
          <m:e>
            <m:r>
              <m:t>γ</m:t>
            </m:r>
          </m:e>
          <m:sub>
            <m:r>
              <m:t>h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γ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γ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71" w:name="X4b3c6bc0887821aa4e550ed4946da62a9025c1b"/>
      <m:oMathPara>
        <m:oMathParaPr>
          <m:jc m:val="center"/>
        </m:oMathParaPr>
        <m:oMath>
          <m:r>
            <m:rPr>
              <m:sty m:val="p"/>
            </m:rPr>
            <m:t>Δ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Δ</m:t>
              </m:r>
              <m:r>
                <m:t>γ</m:t>
              </m:r>
            </m:num>
            <m:den>
              <m:r>
                <m:t>24</m:t>
              </m:r>
            </m:den>
          </m:f>
          <m:r>
            <m:rPr>
              <m:sty m:val="p"/>
            </m:rPr>
            <m:t>cos</m:t>
          </m:r>
          <m:r>
            <m:t>3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γ</m:t>
              </m:r>
            </m:num>
            <m:den>
              <m:r>
                <m:t>8</m:t>
              </m:r>
            </m:den>
          </m:f>
          <m:r>
            <m:rPr>
              <m:sty m:val="p"/>
            </m:rPr>
            <m:t>sin</m:t>
          </m:r>
          <m:r>
            <m:t>3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71"/>
    </w:p>
    <w:p>
      <w:pPr>
        <w:pStyle w:val="FirstParagraph"/>
      </w:pPr>
      <w:r>
        <w:t xml:space="preserve">La respuesta empleada en las comprobaciones es la suma de las resultantes</w:t>
      </w:r>
      <w:r>
        <w:t xml:space="preserve"> </w:t>
      </w:r>
      <w:r>
        <w:t xml:space="preserve">Schwartz–Einstein y de la</w:t>
      </w:r>
      <w:r>
        <w:t xml:space="preserve"> </w:t>
      </w:r>
      <w:hyperlink w:anchor="X4b3c6bc0887821aa4e550ed4946da62a9025c1b">
        <w:r>
          <w:rPr>
            <w:rStyle w:val="Hyperlink"/>
          </w:rPr>
          <w:t xml:space="preserve">ec. 21</w:t>
        </w:r>
      </w:hyperlink>
      <w:r>
        <w:t xml:space="preserve">. Esta</w:t>
      </w:r>
      <w:r>
        <w:t xml:space="preserve"> </w:t>
      </w:r>
      <w:r>
        <w:t xml:space="preserve">superposición no extiende la ley de impedancia de Schwartz–Einstein a los</w:t>
      </w:r>
      <w:r>
        <w:t xml:space="preserve"> </w:t>
      </w:r>
      <w:r>
        <w:t xml:space="preserve">modos impares: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la interfaz continúan actuando sólo sobre los</w:t>
      </w:r>
      <w:r>
        <w:t xml:space="preserve"> </w:t>
      </w:r>
      <w:r>
        <w:t xml:space="preserve">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del campo uniforme. Los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son una corrección de</w:t>
      </w:r>
      <w:r>
        <w:t xml:space="preserve"> </w:t>
      </w:r>
      <w:r>
        <w:t xml:space="preserve">carga prescrita, equilibrada y controlada mediante Fourier e integración</w:t>
      </w:r>
      <w:r>
        <w:t xml:space="preserve"> </w:t>
      </w:r>
      <w:r>
        <w:t xml:space="preserve">numérica. La compresión normal prescrita se verifica sobre todo el perímetro;</w:t>
      </w:r>
      <w:r>
        <w:t xml:space="preserve"> </w:t>
      </w:r>
      <w:r>
        <w:t xml:space="preserve">si apareciera tracción de contacto, el modelo lineal dejaría de ser aplicable.</w:t>
      </w:r>
    </w:p>
    <w:p>
      <w:pPr>
        <w:pStyle w:val="BodyText"/>
      </w:pPr>
      <w:r>
        <w:t xml:space="preserve">La implementación combina ambas componentes para cada revestimiento y cada</w:t>
      </w:r>
      <w:r>
        <w:t xml:space="preserve"> </w:t>
      </w:r>
      <w:r>
        <w:t xml:space="preserve">límite de interfaz:</w:t>
      </w:r>
    </w:p>
    <w:p>
      <w:pPr>
        <w:pStyle w:val="BodyText"/>
      </w:pPr>
      <w:bookmarkStart w:id="72" w:name="eq-methodology-hybrid-resultants"/>
      <m:oMathPara>
        <m:oMathParaPr>
          <m:jc m:val="center"/>
        </m:oMathParaPr>
        <m:oMath>
          <m:eqArr>
            <m:e>
              <m:sSubSup>
                <m:e>
                  <m:r>
                    <m:t>N</m:t>
                  </m:r>
                </m:e>
                <m:sub>
                  <m:r>
                    <m:t>θ</m:t>
                  </m:r>
                </m:sub>
                <m:sup>
                  <m:r>
                    <m:t>H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θ</m:t>
                  </m:r>
                </m:sub>
                <m:sup>
                  <m:r>
                    <m:t>S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M</m:t>
                  </m:r>
                </m:e>
                <m:sub>
                  <m:r>
                    <m:t>θ</m:t>
                  </m:r>
                </m:sub>
                <m:sup>
                  <m:r>
                    <m:t>H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t>θ</m:t>
                  </m:r>
                </m:sub>
                <m:sup>
                  <m:r>
                    <m:t>S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Q</m:t>
                  </m:r>
                </m:e>
                <m:sub>
                  <m:r>
                    <m:t>θ</m:t>
                  </m:r>
                </m:sub>
                <m:sup>
                  <m:r>
                    <m:t>H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Q</m:t>
                  </m:r>
                </m:e>
                <m:sub>
                  <m:r>
                    <m:t>θ</m:t>
                  </m:r>
                </m:sub>
                <m:sup>
                  <m:r>
                    <m:t>S</m:t>
                  </m:r>
                  <m:r>
                    <m:t>E</m:t>
                  </m:r>
                </m:sup>
              </m:sSub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72"/>
    </w:p>
    <w:p>
      <w:pPr>
        <w:pStyle w:val="FirstParagraph"/>
      </w:pPr>
      <w:r>
        <w:t xml:space="preserve">La componente</w:t>
      </w:r>
      <w:r>
        <w:t xml:space="preserve"> </w:t>
      </w:r>
      <m:oMath>
        <m:r>
          <m:t>S</m:t>
        </m:r>
        <m:r>
          <m:t>E</m:t>
        </m:r>
      </m:oMath>
      <w:r>
        <w:t xml:space="preserve"> </w:t>
      </w:r>
      <w:r>
        <w:t xml:space="preserve">se recalcula con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propios de la chapa y de</w:t>
      </w:r>
      <w:r>
        <w:t xml:space="preserve"> </w:t>
      </w:r>
      <w:r>
        <w:t xml:space="preserve">cada alternativa de hormigón. La corrección de gradiente</w:t>
      </w:r>
      <w:r>
        <w:t xml:space="preserve"> </w:t>
      </w:r>
      <w:r>
        <w:t xml:space="preserve">conserva la misma acción geostática, pero utiliza el radio baricéntrico de la</w:t>
      </w:r>
      <w:r>
        <w:t xml:space="preserve"> </w:t>
      </w:r>
      <w:r>
        <w:t xml:space="preserve">sección correspondiente. Las tres resultantes de cada fila proceden de una</w:t>
      </w:r>
      <w:r>
        <w:t xml:space="preserve"> </w:t>
      </w:r>
      <w:r>
        <w:t xml:space="preserve">misma combinación de acciones y de una misma posición angular.</w:t>
      </w:r>
    </w:p>
    <w:bookmarkEnd w:id="73"/>
    <w:bookmarkStart w:id="78" w:name="acción-constructiva-de-compactación"/>
    <w:p>
      <w:pPr>
        <w:pStyle w:val="Heading2"/>
      </w:pPr>
      <w:r>
        <w:t xml:space="preserve">Acción constructiva de compactación</w:t>
      </w:r>
    </w:p>
    <w:p>
      <w:pPr>
        <w:pStyle w:val="FirstParagraph"/>
      </w:pPr>
      <w:r>
        <w:t xml:space="preserve">Cuando se estudia una etapa de compactación, la presión lateral propuesta por</w:t>
      </w:r>
      <w:r>
        <w:t xml:space="preserve"> </w:t>
      </w:r>
      <w:r>
        <w:t xml:space="preserve">FHWA-RD-98-191 se mantiene separada del estado permanente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. En las</w:t>
      </w:r>
      <w:r>
        <w:t xml:space="preserve"> </w:t>
      </w:r>
      <w:r>
        <w:t xml:space="preserve">unidades SI de la fuente,</w:t>
      </w:r>
    </w:p>
    <w:p>
      <w:pPr>
        <w:pStyle w:val="BodyText"/>
      </w:pPr>
      <w:bookmarkStart w:id="74" w:name="eq-fhwa-compaction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1.3</m:t>
          </m:r>
          <m:r>
            <m:t>P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sin</m:t>
                  </m:r>
                  <m:r>
                    <m:t>ϕ</m:t>
                  </m:r>
                </m:e>
              </m:d>
            </m:e>
            <m:sup>
              <m:r>
                <m:t>3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970</m:t>
                      </m:r>
                    </m:num>
                    <m:den>
                      <m:sSub>
                        <m:e>
                          <m:r>
                            <m:t>d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250</m:t>
                      </m:r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donde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es la fuerza total del equipo en kN,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el ángulo de fricción en</w:t>
      </w:r>
      <w:r>
        <w:t xml:space="preserve"> </w:t>
      </w:r>
      <w:r>
        <w:t xml:space="preserve">estado suelto y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el diámetro centroidal en mm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</w:t>
        </w:r>
      </w:hyperlink>
      <w:r>
        <w:t xml:space="preserve">, ec. 5.1, pp. 176–178)</w:t>
      </w:r>
      <w:r>
        <w:t xml:space="preserve">. Para una franja lateral de una</w:t>
      </w:r>
      <w:r>
        <w:t xml:space="preserve"> </w:t>
      </w:r>
      <w:r>
        <w:t xml:space="preserve">tongada se define</w:t>
      </w:r>
    </w:p>
    <w:p>
      <w:pPr>
        <w:pStyle w:val="BodyText"/>
      </w:pPr>
      <w:bookmarkStart w:id="75" w:name="eq-fhwa-band"/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1</m:t>
              </m:r>
            </m:e>
            <m:sub>
              <m:r>
                <m:rPr>
                  <m:sty m:val="p"/>
                </m:rPr>
                <m:t>[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,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]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cos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y la acción horizontal hacia el eje se proyecta como</w:t>
      </w:r>
    </w:p>
    <w:p>
      <w:pPr>
        <w:pStyle w:val="BodyText"/>
      </w:pPr>
      <w:bookmarkStart w:id="76" w:name="eq-fhwa-perimeter-load"/>
      <m:oMathPara>
        <m:oMathParaPr>
          <m:jc m:val="center"/>
        </m:oMathParaPr>
        <m:oMath>
          <m:sSubSup>
            <m:e>
              <m:r>
                <m:t>P</m:t>
              </m:r>
            </m:e>
            <m:sub>
              <m:r>
                <m:t>r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|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|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P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sgn</m:t>
          </m:r>
          <m:r>
            <m:rPr>
              <m:sty m:val="p"/>
            </m:rPr>
            <m:t>(</m:t>
          </m:r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sSub>
            <m:e>
              <m:r>
                <m:t>I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FHWA no prescribe una fracción universal de retención de</w:t>
      </w:r>
      <w:r>
        <w:t xml:space="preserve"> </w:t>
      </w:r>
      <m:oMath>
        <m:sSub>
          <m:e>
            <m:r>
              <m:t>n</m:t>
            </m:r>
          </m:e>
          <m:sub>
            <m:r>
              <m:t>p</m:t>
            </m:r>
          </m:sub>
        </m:sSub>
      </m:oMath>
      <w:r>
        <w:t xml:space="preserve">. Una</w:t>
      </w:r>
      <w:r>
        <w:t xml:space="preserve"> </w:t>
      </w:r>
      <w:r>
        <w:t xml:space="preserve">representación del estado permanente compactado utiliza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representación alternativa separa una componente residual:</w:t>
      </w:r>
    </w:p>
    <w:p>
      <w:pPr>
        <w:pStyle w:val="BodyText"/>
      </w:pPr>
      <w:bookmarkStart w:id="77" w:name="eq-compaction-history"/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+</m:t>
          </m:r>
          <m:r>
            <m:rPr>
              <m:sty m:val="p"/>
            </m:rPr>
            <m:t>Δ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Cada caso utiliza una sola parametrización para evitar contabilizar dos veces</w:t>
      </w:r>
      <w:r>
        <w:t xml:space="preserve"> </w:t>
      </w:r>
      <w:r>
        <w:t xml:space="preserve">la compactación. La memoria determinística vigente no incorpora esta acción</w:t>
      </w:r>
      <w:r>
        <w:t xml:space="preserve"> </w:t>
      </w:r>
      <w:r>
        <w:t xml:space="preserve">porque los datos de construcción y retención no están definidos.</w:t>
      </w:r>
    </w:p>
    <w:bookmarkEnd w:id="78"/>
    <w:bookmarkStart w:id="79" w:name="alcance-de-la-acción-prescrita"/>
    <w:p>
      <w:pPr>
        <w:pStyle w:val="Heading2"/>
      </w:pPr>
      <w:r>
        <w:t xml:space="preserve">Alcance de la acción prescrita</w:t>
      </w:r>
    </w:p>
    <w:p>
      <w:pPr>
        <w:pStyle w:val="FirstParagraph"/>
      </w:pPr>
      <w:r>
        <w:t xml:space="preserve">La solución final conserva explícitamente la dependencia con la tapada, el</w:t>
      </w:r>
      <w:r>
        <w:t xml:space="preserve"> </w:t>
      </w:r>
      <w:r>
        <w:t xml:space="preserve">peso unitario, la sobrecarga,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 OCR y el agua. Schwartz–Einstein</w:t>
      </w:r>
      <w:r>
        <w:t xml:space="preserve"> </w:t>
      </w:r>
      <w:r>
        <w:t xml:space="preserve">incorpora la redistribución elástica por rigidez relativa para el campo</w:t>
      </w:r>
      <w:r>
        <w:t xml:space="preserve"> </w:t>
      </w:r>
      <w:r>
        <w:t xml:space="preserve">uniforme; la corrección equilibrada incorpora la variación lineal de ese campo</w:t>
      </w:r>
      <w:r>
        <w:t xml:space="preserve"> </w:t>
      </w:r>
      <w:r>
        <w:t xml:space="preserve">sobre la altura. El procedimiento no reproduce por sí solo la secuencia de</w:t>
      </w:r>
      <w:r>
        <w:t xml:space="preserve"> </w:t>
      </w:r>
      <w:r>
        <w:t xml:space="preserve">compactación, el arqueo de una zanja, una superficie libre próxima ni una ley</w:t>
      </w:r>
      <w:r>
        <w:t xml:space="preserve"> </w:t>
      </w:r>
      <w:r>
        <w:t xml:space="preserve">constitutiva completa para los modos impares. Esos efectos requieren datos</w:t>
      </w:r>
      <w:r>
        <w:t xml:space="preserve"> </w:t>
      </w:r>
      <w:r>
        <w:t xml:space="preserve">propios y no se introducen mediante un factor oculto.</w:t>
      </w:r>
    </w:p>
    <w:bookmarkEnd w:id="79"/>
    <w:bookmarkEnd w:id="80"/>
    <w:bookmarkStart w:id="91" w:name="X673236069cc237b3ce406df5df2cff8735e4853"/>
    <w:p>
      <w:pPr>
        <w:pStyle w:val="Heading1"/>
      </w:pPr>
      <w:r>
        <w:t xml:space="preserve">Rigideces circunferenciales de la chapa corrugada</w:t>
      </w:r>
    </w:p>
    <w:bookmarkStart w:id="85" w:name="Xe6fb4887683e092a3b3f9a3d51b34a1ff122847"/>
    <w:p>
      <w:pPr>
        <w:pStyle w:val="Heading2"/>
      </w:pPr>
      <w:r>
        <w:t xml:space="preserve">Idealización seccional en el plano transversal</w:t>
      </w:r>
    </w:p>
    <w:p>
      <w:pPr>
        <w:pStyle w:val="FirstParagraph"/>
      </w:pPr>
      <w:r>
        <w:t xml:space="preserve">El modelo estructural adopta una viga curva por unidad de longitud axial. Su</w:t>
      </w:r>
      <w:r>
        <w:t xml:space="preserve"> </w:t>
      </w:r>
      <w:r>
        <w:t xml:space="preserve">cinemática contiene únicamente la deformación circunferencial</w:t>
      </w:r>
      <w:r>
        <w:t xml:space="preserve"> </w:t>
      </w:r>
      <m:oMath>
        <m:sSub>
          <m:e>
            <m:r>
              <m:t>ε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 el cambio de curvatura</w:t>
      </w:r>
      <w:r>
        <w:t xml:space="preserve"> </w:t>
      </w:r>
      <m:oMath>
        <m:sSub>
          <m:e>
            <m:r>
              <m:t>κ</m:t>
            </m:r>
          </m:e>
          <m:sub>
            <m:r>
              <m:t>θ</m:t>
            </m:r>
          </m:sub>
        </m:sSub>
      </m:oMath>
      <w:r>
        <w:t xml:space="preserve">; no incorpora</w:t>
      </w:r>
      <w:r>
        <w:t xml:space="preserve"> </w:t>
      </w:r>
      <w:r>
        <w:t xml:space="preserve">deformación axial, torsión ni curvaturas mixtas. El trabajo interno virtual por</w:t>
      </w:r>
      <w:r>
        <w:t xml:space="preserve"> </w:t>
      </w:r>
      <w:r>
        <w:t xml:space="preserve">unidad de longitud axial es</w:t>
      </w:r>
    </w:p>
    <w:p>
      <w:pPr>
        <w:pStyle w:val="BodyText"/>
      </w:pPr>
      <w:bookmarkStart w:id="81" w:name="eq-sectional-virtual-work"/>
      <m:oMathPara>
        <m:oMathParaPr>
          <m:jc m:val="center"/>
        </m:oMathParaPr>
        <m:oMath>
          <m:r>
            <m:t>δ</m:t>
          </m:r>
          <m:r>
            <m:t>U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N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t> </m:t>
                  </m:r>
                  <m:r>
                    <m:t>δ</m:t>
                  </m:r>
                  <m:sSub>
                    <m:e>
                      <m:r>
                        <m:t>ε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θ</m:t>
                      </m:r>
                    </m:sub>
                  </m:sSub>
                  <m:r>
                    <m:t> </m:t>
                  </m:r>
                  <m:r>
                    <m:t>δ</m:t>
                  </m:r>
                  <m:sSub>
                    <m:e>
                      <m:r>
                        <m:t>κ</m:t>
                      </m:r>
                    </m:e>
                    <m:sub>
                      <m:r>
                        <m:t>θ</m:t>
                      </m:r>
                    </m:sub>
                  </m:sSub>
                </m:e>
              </m:d>
            </m:e>
          </m:nary>
          <m:r>
            <m:t>R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81"/>
    </w:p>
    <w:p>
      <w:pPr>
        <w:pStyle w:val="FirstParagraph"/>
      </w:pPr>
      <w:r>
        <w:t xml:space="preserve">Dentro de esta idealización, la ley seccional queda reducida a</w:t>
      </w:r>
    </w:p>
    <w:p>
      <w:pPr>
        <w:pStyle w:val="BodyText"/>
      </w:pPr>
      <w:bookmarkStart w:id="82" w:name="eq-sectional-constitutive-law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N</m:t>
              </m:r>
            </m:sub>
          </m:sSub>
          <m:sSub>
            <m:e>
              <m:r>
                <m:t>ε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sSub>
            <m:e>
              <m:r>
                <m:t>κ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Esta reducción es una hipótesis cinemática del modelo de viga curva; su dominio</w:t>
      </w:r>
      <w:r>
        <w:t xml:space="preserve"> </w:t>
      </w:r>
      <w:r>
        <w:t xml:space="preserve">se limita a la respuesta circunferencial de la sección transversal. Cuando</w:t>
      </w:r>
      <w:r>
        <w:t xml:space="preserve"> </w:t>
      </w:r>
      <w:r>
        <w:t xml:space="preserve">resultan relevantes, la respuesta axial, el cortante en el plano de la chapa y</w:t>
      </w:r>
      <w:r>
        <w:t xml:space="preserve"> </w:t>
      </w:r>
      <w:r>
        <w:t xml:space="preserve">los acoplamientos ortótropos requieren una formulación de lámina ortótropa con</w:t>
      </w:r>
      <w:r>
        <w:t xml:space="preserve"> </w:t>
      </w:r>
      <w:r>
        <w:t xml:space="preserve">las rigideces correspondientes.</w:t>
      </w:r>
    </w:p>
    <w:p>
      <w:pPr>
        <w:pStyle w:val="BodyText"/>
      </w:pPr>
      <w:r>
        <w:t xml:space="preserve">Para corrugaciones cuya dirección resistente principal coincide con la</w:t>
      </w:r>
      <w:r>
        <w:t xml:space="preserve"> </w:t>
      </w:r>
      <w:r>
        <w:t xml:space="preserve">circunferencia, el área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y el segundo momento de área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del perfil,</w:t>
      </w:r>
      <w:r>
        <w:t xml:space="preserve"> </w:t>
      </w:r>
      <w:r>
        <w:t xml:space="preserve">ambos por unidad de ancho axial proyectado, proporcionan</w:t>
      </w:r>
    </w:p>
    <w:p>
      <w:pPr>
        <w:pStyle w:val="BodyText"/>
      </w:pPr>
      <w:bookmarkStart w:id="83" w:name="eq-corrugated-rigidities"/>
      <m:oMathPara>
        <m:oMathParaPr>
          <m:jc m:val="center"/>
        </m:oMathParaPr>
        <m:oMath>
          <m:sSub>
            <m:e>
              <m:r>
                <m:t>K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ℓ</m:t>
              </m:r>
            </m:sub>
          </m:sSub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K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sSub>
            <m:e>
              <m:r>
                <m:t>E</m:t>
              </m:r>
            </m:e>
            <m:sub>
              <m:r>
                <m:t>ℓ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83"/>
    </w:p>
    <w:p>
      <w:pPr>
        <w:pStyle w:val="FirstParagraph"/>
      </w:pPr>
      <w:r>
        <w:t xml:space="preserve">La ley unidimensional de viga curva adoptada utiliza el módulo circunferencial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</m:oMath>
      <w:r>
        <w:t xml:space="preserve">. Para el ejemplo se toma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 es decir,</w:t>
      </w:r>
      <w:r>
        <w:t xml:space="preserve"> </w:t>
      </w:r>
      <w:r>
        <w:t xml:space="preserve">el módulo elástico uniaxial del acero, sin amplificación por restricción axial.</w:t>
      </w:r>
      <w:r>
        <w:t xml:space="preserve"> </w:t>
      </w:r>
      <w:r>
        <w:t xml:space="preserve">Como el mismo módulo interviene en ambas rigideces, se obtiene</w:t>
      </w:r>
    </w:p>
    <w:p>
      <w:pPr>
        <w:pStyle w:val="BodyText"/>
      </w:pPr>
      <w:bookmarkStart w:id="84" w:name="eq-corrugated-ratio"/>
      <m:oMathPara>
        <m:oMathParaPr>
          <m:jc m:val="center"/>
        </m:oMathParaPr>
        <m:oMath>
          <m:sSub>
            <m:e>
              <m:r>
                <m:t>η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I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que es la propiedad seccional que interviene en el cierre de compatibilidad de</w:t>
      </w:r>
      <w:r>
        <w:t xml:space="preserve"> </w:t>
      </w:r>
      <w:r>
        <w:t xml:space="preserve">la respuesta bajo cargas prescritas.</w:t>
      </w:r>
    </w:p>
    <w:bookmarkEnd w:id="85"/>
    <w:bookmarkStart w:id="87" w:name="sección-lisa-equivalente"/>
    <w:p>
      <w:pPr>
        <w:pStyle w:val="Heading2"/>
      </w:pPr>
      <w:r>
        <w:t xml:space="preserve">Sección lisa equivalente</w:t>
      </w:r>
    </w:p>
    <w:p>
      <w:pPr>
        <w:pStyle w:val="FirstParagraph"/>
      </w:pPr>
      <w:r>
        <w:t xml:space="preserve">Para comparar con formulaciones que emplean una sección lisa, se define un</w:t>
      </w:r>
      <w:r>
        <w:t xml:space="preserve"> </w:t>
      </w:r>
      <w:r>
        <w:t xml:space="preserve">espesor y un módulo equivalentes que conservan simultáneamente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:</w:t>
      </w:r>
    </w:p>
    <w:p>
      <w:pPr>
        <w:pStyle w:val="BodyText"/>
      </w:pPr>
      <w:bookmarkStart w:id="86" w:name="eq-equivalent-smooth-section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12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p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p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E</m:t>
              </m:r>
            </m:e>
            <m:sub>
              <m:r>
                <m:t>e</m:t>
              </m:r>
              <m:r>
                <m:t>q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E</m:t>
                  </m:r>
                </m:e>
                <m:sub>
                  <m:r>
                    <m:t>ℓ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p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e</m:t>
                  </m:r>
                  <m:r>
                    <m:t>q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El par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t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reproduce las dos rigideces globales en la dirección</w:t>
      </w:r>
      <w:r>
        <w:t xml:space="preserve"> </w:t>
      </w:r>
      <w:r>
        <w:t xml:space="preserve">circunferencial.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q</m:t>
            </m:r>
          </m:sub>
        </m:sSub>
      </m:oMath>
      <w:r>
        <w:t xml:space="preserve"> </w:t>
      </w:r>
      <w:r>
        <w:t xml:space="preserve">es un parámetro de equivalencia seccional; el espesor</w:t>
      </w:r>
      <w:r>
        <w:t xml:space="preserve"> </w:t>
      </w:r>
      <w:r>
        <w:t xml:space="preserve">base de la chapa es la dimensión que corresponde a la posterior recuperación</w:t>
      </w:r>
      <w:r>
        <w:t xml:space="preserve"> </w:t>
      </w:r>
      <w:r>
        <w:t xml:space="preserve">de tensiones locales y a las verificaciones resistentes.</w:t>
      </w:r>
    </w:p>
    <w:bookmarkEnd w:id="87"/>
    <w:bookmarkStart w:id="89" w:name="Xfe4243510eb9de21d87a3ec82d980468b2bc719"/>
    <w:p>
      <w:pPr>
        <w:pStyle w:val="Heading2"/>
      </w:pPr>
      <w:r>
        <w:t xml:space="preserve">Propiedades del perfil CSPI de</w:t>
      </w:r>
      <w:r>
        <w:t xml:space="preserve"> </w:t>
      </w:r>
      <m:oMath>
        <m:r>
          <m:t>76</m:t>
        </m:r>
        <m:r>
          <m:rPr>
            <m:sty m:val="p"/>
          </m:rPr>
          <m:t>×</m:t>
        </m:r>
        <m:r>
          <m:t>25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</w:p>
    <w:p>
      <w:pPr>
        <w:pStyle w:val="FirstParagraph"/>
      </w:pPr>
      <w:r>
        <w:t xml:space="preserve">La fuente seccional adoptada es el Capítulo 2 del manual CSPI. La fila de</w:t>
      </w:r>
      <w:r>
        <w:t xml:space="preserve"> </w:t>
      </w:r>
      <w:r>
        <w:t xml:space="preserve">espesor especificado</w:t>
      </w:r>
      <w:r>
        <w:t xml:space="preserve"> </w:t>
      </w:r>
      <m:oMath>
        <m:r>
          <m:t>3.5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de su Tabla 2.4 corresponde a un</w:t>
      </w:r>
      <w:r>
        <w:t xml:space="preserve"> </w:t>
      </w:r>
      <w:r>
        <w:t xml:space="preserve">espesor base de</w:t>
      </w:r>
      <w:r>
        <w:t xml:space="preserve"> </w:t>
      </w:r>
      <m:oMath>
        <m:r>
          <m:t>3.35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y proporciona, por unidad de ancho</w:t>
      </w:r>
      <w:r>
        <w:t xml:space="preserve"> </w:t>
      </w:r>
      <w:r>
        <w:t xml:space="preserve">proyectado,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4.169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  <m:r>
              <m:rPr>
                <m:sty m:val="p"/>
              </m:rPr>
              <m:t>,</m:t>
            </m:r>
            <m:r>
              <m:t>b</m:t>
            </m:r>
          </m:sub>
        </m:sSub>
        <m:r>
          <m:rPr>
            <m:sty m:val="p"/>
          </m:rPr>
          <m:t>=</m:t>
        </m:r>
        <m:r>
          <m:t>319.77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(</w:t>
      </w:r>
      <w:hyperlink w:anchor="ref-CSPIHandbookChapter2">
        <w:r>
          <w:rPr>
            <w:rStyle w:val="Hyperlink"/>
          </w:rPr>
          <w:t xml:space="preserve">Corrugated Steel Pipe Institute, s. f., fig. 2.1</w:t>
        </w:r>
      </w:hyperlink>
      <w:r>
        <w:t xml:space="preserve"> </w:t>
      </w:r>
      <w:r>
        <w:t xml:space="preserve">y tabla 2.4)</w:t>
      </w:r>
      <w:r>
        <w:t xml:space="preserve">.</w:t>
      </w:r>
    </w:p>
    <w:p>
      <w:pPr>
        <w:pStyle w:val="BodyText"/>
      </w:pPr>
      <w:r>
        <w:t xml:space="preserve">La pérdida de espesor se representa mediante adelgazamiento uniforme con la</w:t>
      </w:r>
      <w:r>
        <w:t xml:space="preserve"> </w:t>
      </w:r>
      <w:r>
        <w:t xml:space="preserve">línea media fija. Para un espesor base remanente</w:t>
      </w:r>
      <w:r>
        <w:t xml:space="preserve"> </w:t>
      </w:r>
      <m:oMath>
        <m:sSub>
          <m:e>
            <m:r>
              <m:t>t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se define</w:t>
      </w:r>
    </w:p>
    <w:p>
      <w:pPr>
        <w:pStyle w:val="BodyText"/>
      </w:pPr>
      <w:bookmarkStart w:id="88" w:name="eq-section-uniform-thinning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r</m:t>
                  </m:r>
                </m:sub>
              </m:sSub>
            </m:num>
            <m:den>
              <m:sSub>
                <m:e>
                  <m:r>
                    <m:t>t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A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sSub>
            <m:e>
              <m:r>
                <m:t>r</m:t>
              </m:r>
            </m:e>
            <m:sub>
              <m:r>
                <m:t>t</m:t>
              </m:r>
            </m:sub>
          </m:sSub>
          <m:sSub>
            <m:e>
              <m:r>
                <m:t>I</m:t>
              </m:r>
            </m:e>
            <m:sub>
              <m:r>
                <m:t>p</m:t>
              </m:r>
              <m:r>
                <m:rPr>
                  <m:sty m:val="p"/>
                </m:rPr>
                <m:t>,</m:t>
              </m:r>
              <m:r>
                <m:t>b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8"/>
    </w:p>
    <w:p>
      <w:pPr>
        <w:pStyle w:val="FirstParagraph"/>
      </w:pPr>
      <w:r>
        <w:t xml:space="preserve">Esta representación conserva la geometría de la corrugación y reduce en la</w:t>
      </w:r>
      <w:r>
        <w:t xml:space="preserve"> </w:t>
      </w:r>
      <w:r>
        <w:t xml:space="preserve">misma proporción el área y el segundo momento de área de la fila de referencia.</w:t>
      </w:r>
      <w:r>
        <w:t xml:space="preserve"> </w:t>
      </w:r>
      <w:r>
        <w:t xml:space="preserve">Las pérdidas localizadas, perforaciones y variaciones alrededor del perímetro</w:t>
      </w:r>
      <w:r>
        <w:t xml:space="preserve"> </w:t>
      </w:r>
      <w:r>
        <w:t xml:space="preserve">requieren propiedades seccionales específicas.</w:t>
      </w:r>
    </w:p>
    <w:bookmarkEnd w:id="89"/>
    <w:bookmarkStart w:id="90" w:name="valores-del-escenario-vigente"/>
    <w:p>
      <w:pPr>
        <w:pStyle w:val="Heading2"/>
      </w:pPr>
      <w:r>
        <w:t xml:space="preserve">Valores del escenario vigente</w:t>
      </w:r>
    </w:p>
    <w:p>
      <w:pPr>
        <w:pStyle w:val="FirstParagraph"/>
      </w:pPr>
      <w:r>
        <w:t xml:space="preserve">El escenario utiliza un espesor especificado de</w:t>
      </w:r>
      <w:r>
        <w:t xml:space="preserve"> </w:t>
      </w:r>
      <w:r>
        <w:t xml:space="preserve">3.5 mm, un</w:t>
      </w:r>
      <w:r>
        <w:t xml:space="preserve"> </w:t>
      </w:r>
      <w:r>
        <w:t xml:space="preserve">espesor base de referencia de</w:t>
      </w:r>
      <w:r>
        <w:t xml:space="preserve"> </w:t>
      </w:r>
      <w:r>
        <w:t xml:space="preserve">3.35 mm y</w:t>
      </w:r>
      <w:r>
        <w:t xml:space="preserve"> </w:t>
      </w:r>
      <w:r>
        <w:t xml:space="preserve">un espesor base remanente de</w:t>
      </w:r>
      <w:r>
        <w:t xml:space="preserve"> </w:t>
      </w:r>
      <w:r>
        <w:t xml:space="preserve">3 mm.</w:t>
      </w:r>
      <w:r>
        <w:t xml:space="preserve"> </w:t>
      </w:r>
      <w:r>
        <w:t xml:space="preserve">El modelo de adelgazamiento produce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3.73343</m:t>
        </m:r>
        <m:r>
          <m:t> 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286.361</m:t>
        </m:r>
        <m:r>
          <m:t> 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</w:t>
      </w:r>
    </w:p>
    <w:p>
      <w:pPr>
        <w:pStyle w:val="BodyText"/>
      </w:pPr>
      <w:r>
        <w:t xml:space="preserve">Con el módulo circunferencial y el radio centroidal declarados en la entrada,</w:t>
      </w:r>
      <w:r>
        <w:t xml:space="preserve"> </w:t>
      </w:r>
      <w:r>
        <w:t xml:space="preserve">las rigideces son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746687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57.2722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N</m:t>
        </m:r>
        <m:r>
          <m:rPr>
            <m:sty m:val="p"/>
          </m:rPr>
          <m:t> 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</m:oMath>
      <w:r>
        <w:t xml:space="preserve">.</w:t>
      </w:r>
      <w:r>
        <w:t xml:space="preserve"> </w:t>
      </w:r>
      <w:r>
        <w:t xml:space="preserve">La razón seccional es</w:t>
      </w:r>
      <w:r>
        <w:t xml:space="preserve"> </w:t>
      </w:r>
      <m:oMath>
        <m:sSub>
          <m:e>
            <m:r>
              <m:t>η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4.44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t xml:space="preserve"> </w:t>
      </w:r>
      <w:r>
        <w:t xml:space="preserve">y el espesor liso equivalente es</w:t>
      </w:r>
      <w:r>
        <w:t xml:space="preserve"> </w:t>
      </w:r>
      <w:r>
        <w:t xml:space="preserve">30.3385 mm.</w:t>
      </w:r>
      <w:r>
        <w:t xml:space="preserve"> </w:t>
      </w:r>
      <w:r>
        <w:t xml:space="preserve">El radio utilizado por el cálculo es el radio centroidal de</w:t>
      </w:r>
      <w:r>
        <w:t xml:space="preserve"> </w:t>
      </w:r>
      <w:r>
        <w:t xml:space="preserve">1.315 m definido</w:t>
      </w:r>
      <w:r>
        <w:t xml:space="preserve"> </w:t>
      </w:r>
      <w:r>
        <w:t xml:space="preserve">en</w:t>
      </w:r>
      <w:r>
        <w:t xml:space="preserve"> </w:t>
      </w:r>
      <w:r>
        <w:rPr>
          <w:rStyle w:val="VerbatimChar"/>
        </w:rPr>
        <w:t xml:space="preserve">calculation.json</w:t>
      </w:r>
      <w:r>
        <w:t xml:space="preserve">.</w:t>
      </w:r>
    </w:p>
    <w:p>
      <w:pPr>
        <w:pStyle w:val="BodyText"/>
      </w:pPr>
      <w:r>
        <w:t xml:space="preserve">Como comparación, Mai publica para una corrugación de</w:t>
      </w:r>
      <w:r>
        <w:t xml:space="preserve"> </w:t>
      </w:r>
      <m:oMath>
        <m:r>
          <m:t>152</m:t>
        </m:r>
        <m:r>
          <m:rPr>
            <m:sty m:val="p"/>
          </m:rPr>
          <m:t>×</m:t>
        </m:r>
        <m:r>
          <m:t>51</m:t>
        </m:r>
        <m:r>
          <m:rPr>
            <m:sty m:val="p"/>
          </m:rPr>
          <m:t>×</m:t>
        </m:r>
        <m:r>
          <m:t>3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los valores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3.522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1057.25</m:t>
        </m:r>
        <m:r>
          <m:t> </m:t>
        </m:r>
        <m:r>
          <m:rPr>
            <m:sty m:val="p"/>
          </m:rPr>
          <m:t>m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4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(</w:t>
      </w:r>
      <w:hyperlink w:anchor="ref-Mai2013">
        <w:r>
          <w:rPr>
            <w:rStyle w:val="Hyperlink"/>
          </w:rPr>
          <w:t xml:space="preserve">Mai 2013</w:t>
        </w:r>
      </w:hyperlink>
      <w:r>
        <w:t xml:space="preserve">, ecs. 2.1–2.2 y tabla 2.1)</w:t>
      </w:r>
      <w:r>
        <w:t xml:space="preserve">. La</w:t>
      </w:r>
      <w:r>
        <w:t xml:space="preserve"> </w:t>
      </w:r>
      <w:hyperlink w:anchor="eq-equivalent-smooth-section">
        <w:r>
          <w:rPr>
            <w:rStyle w:val="Hyperlink"/>
          </w:rPr>
          <w:t xml:space="preserve">ec. 31</w:t>
        </w:r>
      </w:hyperlink>
      <w:r>
        <w:t xml:space="preserve"> </w:t>
      </w:r>
      <w:r>
        <w:t xml:space="preserve">produce</w:t>
      </w:r>
      <w:r>
        <w:t xml:space="preserve"> </w:t>
      </w:r>
      <m:oMath>
        <m:sSub>
          <m:e>
            <m:r>
              <m:t>t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≃</m:t>
        </m:r>
        <m:r>
          <m:t>60.0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E</m:t>
            </m:r>
          </m:e>
          <m:sub>
            <m:r>
              <m:t>e</m:t>
            </m:r>
            <m:r>
              <m:t>q</m:t>
            </m:r>
          </m:sub>
        </m:sSub>
        <m:r>
          <m:rPr>
            <m:sty m:val="p"/>
          </m:rPr>
          <m:t>≃</m:t>
        </m:r>
        <m:r>
          <m:t>11.74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para</w:t>
      </w:r>
      <w:r>
        <w:t xml:space="preserve"> </w:t>
      </w:r>
      <m:oMath>
        <m:sSub>
          <m:e>
            <m:r>
              <m:t>E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200</m:t>
        </m:r>
        <m:r>
          <m:t> </m:t>
        </m:r>
        <m:r>
          <m:rPr>
            <m:sty m:val="p"/>
          </m:rPr>
          <m:t>G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 coincidentes con la precisión publicada.</w:t>
      </w:r>
    </w:p>
    <w:bookmarkEnd w:id="90"/>
    <w:bookmarkEnd w:id="91"/>
    <w:bookmarkStart w:id="117" w:name="X07da53d84ab5a1395ab68bdb45a28216a80c7a5"/>
    <w:p>
      <w:pPr>
        <w:pStyle w:val="Heading1"/>
      </w:pPr>
      <w:r>
        <w:t xml:space="preserve">Formulación estructural de la sección transversal</w:t>
      </w:r>
    </w:p>
    <w:bookmarkStart w:id="96" w:name="ecuaciones-de-equilibrio"/>
    <w:p>
      <w:pPr>
        <w:pStyle w:val="Heading2"/>
      </w:pPr>
      <w:r>
        <w:t xml:space="preserve">Ecuaciones de equilibrio</w:t>
      </w:r>
    </w:p>
    <w:p>
      <w:pPr>
        <w:pStyle w:val="FirstParagraph"/>
      </w:pPr>
      <w:r>
        <w:t xml:space="preserve">La tesis de Baker establece las ecuaciones de una viga curva circular bajo</w:t>
      </w:r>
      <w:r>
        <w:t xml:space="preserve"> </w:t>
      </w:r>
      <w:r>
        <w:t xml:space="preserve">carga radial prescrita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ecs. 2.1a–2.1c, p. 16)</w:t>
      </w:r>
      <w:r>
        <w:t xml:space="preserve">. La generalización</w:t>
      </w:r>
      <w:r>
        <w:t xml:space="preserve"> </w:t>
      </w:r>
      <w:r>
        <w:t xml:space="preserve">a una carga tangencial se obtiene mediante equilibrio vectorial. Para la base</w:t>
      </w:r>
      <w:r>
        <w:t xml:space="preserve"> </w:t>
      </w:r>
      <w:r>
        <w:t xml:space="preserve">polar definida en la sección de alcance,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r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rPr>
                      <m:sty m:val="b"/>
                    </m:rPr>
                    <m:t>e</m:t>
                  </m:r>
                </m:e>
                <m:sub>
                  <m:r>
                    <m:t>t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rPr>
                  <m:sty m:val="b"/>
                </m:rP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fuerza interna sobre la cara positiva del elemento es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−</m:t>
        </m:r>
        <m:sSub>
          <m:e>
            <m:r>
              <m:t>Q</m:t>
            </m:r>
          </m:e>
          <m:sub>
            <m:r>
              <m:t>θ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r</m:t>
            </m:r>
          </m:sub>
        </m:sSub>
      </m:oMath>
      <w:r>
        <w:t xml:space="preserve">. Al equilibrar fuerzas y momentos</w:t>
      </w:r>
      <w:r>
        <w:t xml:space="preserve"> </w:t>
      </w:r>
      <w:r>
        <w:t xml:space="preserve">con la carga</w:t>
      </w:r>
      <w:r>
        <w:t xml:space="preserve"> </w:t>
      </w:r>
      <m:oMath>
        <m:r>
          <m:t>R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r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r</m:t>
            </m:r>
          </m:sub>
        </m:sSub>
        <m:r>
          <m:rPr>
            <m:sty m:val="p"/>
          </m:rPr>
          <m:t>+</m:t>
        </m:r>
        <m:sSub>
          <m:e>
            <m:r>
              <m:t>P</m:t>
            </m:r>
          </m:e>
          <m:sub>
            <m:r>
              <m:t>t</m:t>
            </m:r>
          </m:sub>
        </m:sSub>
        <m:sSub>
          <m:e>
            <m:r>
              <m:rPr>
                <m:sty m:val="b"/>
              </m:rPr>
              <m:t>e</m:t>
            </m:r>
          </m:e>
          <m:sub>
            <m:r>
              <m:t>t</m:t>
            </m:r>
          </m:sub>
        </m:sSub>
        <m:r>
          <m:rPr>
            <m:sty m:val="p"/>
          </m:rPr>
          <m:t>)</m:t>
        </m:r>
        <m:r>
          <m:t>d</m:t>
        </m:r>
        <m:r>
          <m:t>θ</m:t>
        </m:r>
      </m:oMath>
      <w:r>
        <w:t xml:space="preserve"> </w:t>
      </w:r>
      <w:r>
        <w:t xml:space="preserve">se obtiene</w:t>
      </w:r>
    </w:p>
    <w:p>
      <w:pPr>
        <w:pStyle w:val="BodyText"/>
      </w:pPr>
      <w:bookmarkStart w:id="92" w:name="eq-ring-equilibrium-m"/>
      <m:oMathPara>
        <m:oMathParaPr>
          <m:jc m:val="center"/>
        </m:oMathParaPr>
        <m:oMath>
          <m:r>
            <m:t>R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bookmarkStart w:id="93" w:name="eq-ring-equilibrium-r"/>
      <m:oMathPara>
        <m:oMathParaPr>
          <m:jc m:val="center"/>
        </m:oMathParaPr>
        <m:oMath>
          <m:r>
            <m:t>R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d</m:t>
              </m:r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3"/>
    </w:p>
    <w:p>
      <w:pPr>
        <w:pStyle w:val="FirstParagraph"/>
      </w:pPr>
      <w:bookmarkStart w:id="94" w:name="eq-ring-equilibrium-t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+</m:t>
          </m:r>
          <m:r>
            <m:t>R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4"/>
    </w:p>
    <w:p>
      <w:pPr>
        <w:pStyle w:val="FirstParagraph"/>
      </w:pPr>
      <w:r>
        <w:t xml:space="preserve">La sustitución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produce el sistema radial de Baker. Las distribuciones</w:t>
      </w:r>
      <w:r>
        <w:t xml:space="preserve"> </w:t>
      </w:r>
      <w:r>
        <w:t xml:space="preserve">de carga consideradas satisfacen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P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r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P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rPr>
                          <m:sty m:val="b"/>
                        </m:rPr>
                        <m:t>e</m:t>
                      </m:r>
                    </m:e>
                    <m:sub>
                      <m:r>
                        <m:t>t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</m:nary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95" w:name="eq-global-equilibrium"/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p>
      <w:pPr>
        <w:pStyle w:val="FirstParagraph"/>
      </w:pPr>
      <w:r>
        <w:t xml:space="preserve">Estas condiciones expresan fuerza y momento globales nulos. Un estado con peso,</w:t>
      </w:r>
      <w:r>
        <w:t xml:space="preserve"> </w:t>
      </w:r>
      <w:r>
        <w:t xml:space="preserve">flotación o apoyo se incorpora únicamente después de formular todas sus cargas</w:t>
      </w:r>
      <w:r>
        <w:t xml:space="preserve"> </w:t>
      </w:r>
      <w:r>
        <w:t xml:space="preserve">y reacciones de modo que el conjunto cumpla la</w:t>
      </w:r>
      <w:r>
        <w:t xml:space="preserve"> </w:t>
      </w:r>
      <w:hyperlink w:anchor="eq-global-equilibrium">
        <w:r>
          <w:rPr>
            <w:rStyle w:val="Hyperlink"/>
          </w:rPr>
          <w:t xml:space="preserve">ec. 36</w:t>
        </w:r>
      </w:hyperlink>
      <w:r>
        <w:t xml:space="preserve">.</w:t>
      </w:r>
    </w:p>
    <w:bookmarkEnd w:id="96"/>
    <w:bookmarkStart w:id="102" w:name="Xd61db2e4ad4ca604224b150b2121caa8cda38ea"/>
    <w:p>
      <w:pPr>
        <w:pStyle w:val="Heading2"/>
      </w:pPr>
      <w:r>
        <w:t xml:space="preserve">Integración directa y cierre por compatibilidad</w:t>
      </w:r>
    </w:p>
    <w:p>
      <w:pPr>
        <w:pStyle w:val="FirstParagraph"/>
      </w:pPr>
      <w:r>
        <w:t xml:space="preserve">Las</w:t>
      </w:r>
      <w:r>
        <w:t xml:space="preserve"> </w:t>
      </w:r>
      <w:hyperlink w:anchor="eq-ring-equilibrium-m">
        <w:r>
          <w:rPr>
            <w:rStyle w:val="Hyperlink"/>
          </w:rPr>
          <w:t xml:space="preserve">ec. 33</w:t>
        </w:r>
      </w:hyperlink>
      <w:r>
        <w:t xml:space="preserve">,</w:t>
      </w:r>
      <w:r>
        <w:t xml:space="preserve"> </w:t>
      </w:r>
      <w:hyperlink w:anchor="eq-ring-equilibrium-r">
        <w:r>
          <w:rPr>
            <w:rStyle w:val="Hyperlink"/>
          </w:rPr>
          <w:t xml:space="preserve">ec. 34</w:t>
        </w:r>
      </w:hyperlink>
      <w:r>
        <w:t xml:space="preserve"> </w:t>
      </w:r>
      <w:r>
        <w:t xml:space="preserve">y</w:t>
      </w:r>
      <w:r>
        <w:t xml:space="preserve"> </w:t>
      </w:r>
      <w:hyperlink w:anchor="eq-ring-equilibrium-t">
        <w:r>
          <w:rPr>
            <w:rStyle w:val="Hyperlink"/>
          </w:rPr>
          <w:t xml:space="preserve">ec. 35</w:t>
        </w:r>
      </w:hyperlink>
      <w:r>
        <w:t xml:space="preserve"> </w:t>
      </w:r>
      <w:r>
        <w:t xml:space="preserve">forman el sistema</w:t>
      </w:r>
    </w:p>
    <w:p>
      <w:pPr>
        <w:pStyle w:val="BodyText"/>
      </w:pPr>
      <w:bookmarkStart w:id="97" w:name="eq-first-order-system"/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θ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N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e>
                </m:mr>
                <m:mr>
                  <m:e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r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N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e>
                </m:mr>
                <m:mr>
                  <m:e>
                    <m:r>
                      <m:t>R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p>
      <w:pPr>
        <w:pStyle w:val="FirstParagraph"/>
      </w:pPr>
      <w:r>
        <w:t xml:space="preserve">Sea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N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Q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M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una solución particular obtenida</w:t>
      </w:r>
      <w:r>
        <w:t xml:space="preserve"> </w:t>
      </w:r>
      <w:r>
        <w:t xml:space="preserve">al integrar la</w:t>
      </w:r>
      <w:r>
        <w:t xml:space="preserve"> </w:t>
      </w:r>
      <w:hyperlink w:anchor="eq-first-order-system">
        <w:r>
          <w:rPr>
            <w:rStyle w:val="Hyperlink"/>
          </w:rPr>
          <w:t xml:space="preserve">ec. 37</w:t>
        </w:r>
      </w:hyperlink>
      <w:r>
        <w:t xml:space="preserve"> </w:t>
      </w:r>
      <w:r>
        <w:t xml:space="preserve">desde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con valores iniciales</w:t>
      </w:r>
      <w:r>
        <w:t xml:space="preserve"> </w:t>
      </w:r>
      <w:r>
        <w:t xml:space="preserve">nulos. La solución general equilibrada 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N</m:t>
              </m:r>
            </m:e>
          </m:acc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Q</m:t>
              </m:r>
            </m:e>
          </m:acc>
          <m:r>
            <m:rPr>
              <m:sty m:val="p"/>
            </m:rPr>
            <m:t>−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98" w:name="eq-general-resultants"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M</m:t>
              </m:r>
            </m:e>
          </m:acc>
          <m:r>
            <m:rPr>
              <m:sty m:val="p"/>
            </m:rPr>
            <m:t>+</m:t>
          </m:r>
          <m:r>
            <m:t>R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+</m:t>
          </m:r>
          <m:r>
            <m:t>R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sin</m:t>
          </m:r>
          <m:r>
            <m:t>θ</m:t>
          </m: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8"/>
    </w:p>
    <w:p>
      <w:pPr>
        <w:pStyle w:val="FirstParagraph"/>
      </w:pPr>
      <w:r>
        <w:t xml:space="preserve">Se define</w:t>
      </w:r>
    </w:p>
    <w:p>
      <w:pPr>
        <w:pStyle w:val="BodyText"/>
      </w:pPr>
      <w:bookmarkStart w:id="99" w:name="eq-section-ratio"/>
      <m:oMathPara>
        <m:oMathParaPr>
          <m:jc m:val="center"/>
        </m:oMathParaPr>
        <m:oMath>
          <m:bar>
            <m:barPr>
              <m:pos m:val="top"/>
            </m:barPr>
            <m:e>
              <m:r>
                <m:t>f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η</m:t>
              </m:r>
            </m:e>
            <m:sub>
              <m:r>
                <m:t>ℓ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K</m:t>
                  </m:r>
                </m:e>
                <m:sub>
                  <m:r>
                    <m:t>M</m:t>
                  </m:r>
                </m:sub>
              </m:sSub>
            </m:num>
            <m:den>
              <m:sSub>
                <m:e>
                  <m:r>
                    <m:t>K</m:t>
                  </m:r>
                </m:e>
                <m:sub>
                  <m:r>
                    <m:t>N</m:t>
                  </m:r>
                </m:sub>
              </m:sSub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Las relaciones cinemáticas y constitutivas de la viga curva de Baker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ecs. 2.3–2.6, pp. 16–18)</w:t>
      </w:r>
      <w:r>
        <w:t xml:space="preserve"> </w:t>
      </w:r>
      <w:r>
        <w:t xml:space="preserve">conducen, después de imponer</w:t>
      </w:r>
      <w:r>
        <w:t xml:space="preserve"> </w:t>
      </w:r>
      <w:r>
        <w:t xml:space="preserve">periodicidad de desplazamientos y giro, a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</m:e>
          </m:nary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00" w:name="eq-compatibility-conditions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M</m:t>
                  </m:r>
                </m:e>
              </m:ba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den>
          </m:f>
          <m:r>
            <m:t> </m:t>
          </m:r>
          <m:sSub>
            <m:e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e>
            <m:sub>
              <m:r>
                <m:t>θ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0"/>
    </w:p>
    <w:p>
      <w:pPr>
        <w:pStyle w:val="FirstParagraph"/>
      </w:pPr>
      <w:r>
        <w:t xml:space="preserve">La sustitución de la</w:t>
      </w:r>
      <w:r>
        <w:t xml:space="preserve"> </w:t>
      </w:r>
      <w:hyperlink w:anchor="eq-general-resultants">
        <w:r>
          <w:rPr>
            <w:rStyle w:val="Hyperlink"/>
          </w:rPr>
          <w:t xml:space="preserve">ec. 38</w:t>
        </w:r>
      </w:hyperlink>
      <w:r>
        <w:t xml:space="preserve"> </w:t>
      </w:r>
      <w:r>
        <w:t xml:space="preserve">en estas tres condiciones produce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t>R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  <m:r>
                <m:t>R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01" w:name="eq-compatibility-constants"/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den>
          </m:f>
          <m:r>
            <m:t> </m:t>
          </m:r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</m:bar>
          <m:r>
            <m:rPr>
              <m:sty m:val="p"/>
            </m:rPr>
            <m:t>−</m:t>
          </m:r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ba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1"/>
    </w:p>
    <w:p>
      <w:pPr>
        <w:pStyle w:val="FirstParagraph"/>
      </w:pPr>
      <w:r>
        <w:t xml:space="preserve">Como control independiente, la integración directa resuelve distribuciones</w:t>
      </w:r>
      <w:r>
        <w:t xml:space="preserve"> </w:t>
      </w:r>
      <w:r>
        <w:t xml:space="preserve">equilibradas de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para una sección uniforme, elástica lineal y de pequeñas</w:t>
      </w:r>
      <w:r>
        <w:t xml:space="preserve"> </w:t>
      </w:r>
      <w:r>
        <w:t xml:space="preserve">deformaciones. Las cargas por sectores se integran separadamente entre sus</w:t>
      </w:r>
      <w:r>
        <w:t xml:space="preserve"> </w:t>
      </w:r>
      <w:r>
        <w:t xml:space="preserve">ángulos de discontinuidad, manteniendo la continuidad de las tres resultantes.</w:t>
      </w:r>
    </w:p>
    <w:bookmarkEnd w:id="102"/>
    <w:bookmarkStart w:id="108" w:name="Xe555a7a95d694a83a42a592a3a7cd8fd6778532"/>
    <w:p>
      <w:pPr>
        <w:pStyle w:val="Heading2"/>
      </w:pPr>
      <w:r>
        <w:t xml:space="preserve">Representación mediante series de Fourier</w:t>
      </w:r>
    </w:p>
    <w:p>
      <w:pPr>
        <w:pStyle w:val="FirstParagraph"/>
      </w:pPr>
      <w:r>
        <w:t xml:space="preserve">Las cargas periódicas se expresan como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n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n</m:t>
                  </m:r>
                  <m:r>
                    <m:t>θ</m:t>
                  </m:r>
                </m:e>
              </m:d>
            </m:e>
          </m:nary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03" w:name="eq-load-fourier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n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r>
                    <m:t>n</m:t>
                  </m:r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r>
                    <m:t>n</m:t>
                  </m:r>
                  <m:r>
                    <m:t>θ</m:t>
                  </m:r>
                </m:e>
              </m:d>
            </m:e>
          </m:nary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r>
        <w:t xml:space="preserve">con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b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</m:e>
          </m:nary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04" w:name="eq-load-coefficients"/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c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cos</m:t>
          </m:r>
          <m:r>
            <m:t>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d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π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</m:e>
          </m:nary>
          <m:r>
            <m:rPr>
              <m:sty m:val="p"/>
            </m:rPr>
            <m:t>sin</m:t>
          </m:r>
          <m:r>
            <m:t>n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04"/>
    </w:p>
    <w:p>
      <w:pPr>
        <w:pStyle w:val="FirstParagraph"/>
      </w:pPr>
      <w:r>
        <w:t xml:space="preserve">La sustitución coeficiente por coeficiente en las ecuaciones de equilibrio</w:t>
      </w:r>
      <w:r>
        <w:t xml:space="preserve"> </w:t>
      </w:r>
      <w:r>
        <w:t xml:space="preserve">produce, para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N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r>
                <m:t>n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Q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05" w:name="eq-modal-resultants"/>
      <m:oMathPara>
        <m:oMathParaPr>
          <m:jc m:val="center"/>
        </m:oMathParaPr>
        <m:oMath>
          <m:sSubSup>
            <m:e>
              <m:r>
                <m:t>M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n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M</m:t>
              </m:r>
            </m:e>
            <m:sub>
              <m:r>
                <m:t>n</m:t>
              </m:r>
            </m:sub>
            <m:sup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f>
            <m:fPr>
              <m:type m:val="bar"/>
            </m:fPr>
            <m:num>
              <m:r>
                <m:t>n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05"/>
    </w:p>
    <w:p>
      <w:pPr>
        <w:pStyle w:val="FirstParagraph"/>
      </w:pPr>
      <w:r>
        <w:t xml:space="preserve">Estas expresiones incluyen la componente tangencial. Su sustitución satisface</w:t>
      </w:r>
      <w:r>
        <w:t xml:space="preserve"> </w:t>
      </w:r>
      <w:r>
        <w:t xml:space="preserve">las tres ecuaciones diferenciales. Para una misma representación de carga y una</w:t>
      </w:r>
      <w:r>
        <w:t xml:space="preserve"> </w:t>
      </w:r>
      <w:r>
        <w:t xml:space="preserve">serie convergida, los coeficientes modales coinciden con la integración directa</w:t>
      </w:r>
      <w:r>
        <w:t xml:space="preserve"> </w:t>
      </w:r>
      <w:r>
        <w:t xml:space="preserve">dentro de la tolerancia adoptada.</w:t>
      </w:r>
    </w:p>
    <w:p>
      <w:pPr>
        <w:pStyle w:val="BodyText"/>
      </w:pPr>
      <w:r>
        <w:t xml:space="preserve">Esta convergencia se refiere a dos formas de resolver una misma carga</w:t>
      </w:r>
      <w:r>
        <w:t xml:space="preserve"> </w:t>
      </w:r>
      <w:r>
        <w:t xml:space="preserve">prescrita. No es una convergencia hacia Schwartz–Einstein, cuyos coeficientes</w:t>
      </w:r>
      <w:r>
        <w:t xml:space="preserve"> </w:t>
      </w:r>
      <w:r>
        <w:t xml:space="preserve">se determinan mediante la rigidez relativa y la interfaz.</w:t>
      </w:r>
    </w:p>
    <w:p>
      <w:pPr>
        <w:pStyle w:val="BodyText"/>
      </w:pPr>
      <w:r>
        <w:t xml:space="preserve">La contribución uniforme satisface</w:t>
      </w:r>
    </w:p>
    <w:p>
      <w:pPr>
        <w:pStyle w:val="BodyText"/>
      </w:pPr>
      <w:bookmarkStart w:id="106" w:name="eq-uniform-mod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den>
          </m:f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El término de momento uniforme corresponde al modo axisimétrico de deformación</w:t>
      </w:r>
      <w:r>
        <w:t xml:space="preserve"> </w:t>
      </w:r>
      <w:r>
        <w:t xml:space="preserve">circunferencial de Baker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ec. 3.9, p. 21)</w:t>
      </w:r>
      <w:r>
        <w:t xml:space="preserve">. La idealización</w:t>
      </w:r>
      <w:r>
        <w:t xml:space="preserve"> </w:t>
      </w:r>
      <w:r>
        <w:t xml:space="preserve">puramente membranal corresponde a</w:t>
      </w:r>
      <w:r>
        <w:t xml:space="preserve"> </w:t>
      </w:r>
      <m:oMath>
        <m:sSub>
          <m:e>
            <m:r>
              <m:t>η</m:t>
            </m:r>
          </m:e>
          <m:sub>
            <m:r>
              <m:t>ℓ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 Se impone</w:t>
      </w:r>
      <w:r>
        <w:t xml:space="preserve"> </w:t>
      </w: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porque una</w:t>
      </w:r>
      <w:r>
        <w:t xml:space="preserve"> </w:t>
      </w:r>
      <w:r>
        <w:t xml:space="preserve">componente tangencial media representa un par externo que requiere un estado</w:t>
      </w:r>
      <w:r>
        <w:t xml:space="preserve"> </w:t>
      </w:r>
      <w:r>
        <w:t xml:space="preserve">de reacción definido.</w:t>
      </w:r>
    </w:p>
    <w:p>
      <w:pPr>
        <w:pStyle w:val="BodyText"/>
      </w:pPr>
      <w:r>
        <w:t xml:space="preserve">El armónico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contiene las fuerzas resultantes. Para una distribución</w:t>
      </w:r>
      <w:r>
        <w:t xml:space="preserve"> </w:t>
      </w:r>
      <w:r>
        <w:t xml:space="preserve">autoequilibrada,</w:t>
      </w:r>
    </w:p>
    <w:p>
      <w:pPr>
        <w:pStyle w:val="BodyText"/>
      </w:pPr>
      <w:bookmarkStart w:id="107" w:name="eq-first-mode-balance"/>
      <m:oMathPara>
        <m:oMathParaPr>
          <m:jc m:val="center"/>
        </m:oMathParaPr>
        <m:oMath>
          <m:sSub>
            <m:e>
              <m:r>
                <m:t>b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107"/>
    </w:p>
    <w:p>
      <w:pPr>
        <w:pStyle w:val="FirstParagraph"/>
      </w:pPr>
      <w:r>
        <w:t xml:space="preserve">Los armónicos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son autoequilibrados: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describe el modo de</w:t>
      </w:r>
      <w:r>
        <w:t xml:space="preserve"> </w:t>
      </w:r>
      <w:r>
        <w:t xml:space="preserve">ovalización y los órdenes superiores representan variaciones localizadas o</w:t>
      </w:r>
      <w:r>
        <w:t xml:space="preserve"> </w:t>
      </w:r>
      <w:r>
        <w:t xml:space="preserve">cargas por sectores. El número de términos se selecciona comprobando la</w:t>
      </w:r>
      <w:r>
        <w:t xml:space="preserve"> </w:t>
      </w:r>
      <w:r>
        <w:t xml:space="preserve">convergencia de las cargas reconstruidas y de los extremos de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. Para cargas discontinuas, la integración</w:t>
      </w:r>
      <w:r>
        <w:t xml:space="preserve"> </w:t>
      </w:r>
      <w:r>
        <w:t xml:space="preserve">directa evita que las oscilaciones de truncamiento condicionen los extremos.</w:t>
      </w:r>
      <w:r>
        <w:t xml:space="preserve"> </w:t>
      </w:r>
      <w:r>
        <w:t xml:space="preserve">El estado biaxial uniforme contiene exactamente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; para ese caso</w:t>
      </w:r>
      <w:r>
        <w:t xml:space="preserve"> </w:t>
      </w:r>
      <w:r>
        <w:t xml:space="preserve">no se requiere aumentar el número de términos.</w:t>
      </w:r>
    </w:p>
    <w:bookmarkEnd w:id="108"/>
    <w:bookmarkStart w:id="113" w:name="Xe9d1a2798f15d5e27d6968bf35a6a2a539a0ee7"/>
    <w:p>
      <w:pPr>
        <w:pStyle w:val="Heading2"/>
      </w:pPr>
      <w:r>
        <w:t xml:space="preserve">Control cerrado para un estado biaxial uniforme</w:t>
      </w:r>
    </w:p>
    <w:p>
      <w:pPr>
        <w:pStyle w:val="FirstParagraph"/>
      </w:pPr>
      <w:r>
        <w:t xml:space="preserve">La sustitución de las</w:t>
      </w:r>
      <w:r>
        <w:t xml:space="preserve"> </w:t>
      </w:r>
      <w:hyperlink w:anchor="eq-normal-pressure">
        <w:r>
          <w:rPr>
            <w:rStyle w:val="Hyperlink"/>
          </w:rPr>
          <w:t xml:space="preserve">ec. 14</w:t>
        </w:r>
      </w:hyperlink>
      <w:r>
        <w:t xml:space="preserve"> </w:t>
      </w:r>
      <w:r>
        <w:t xml:space="preserve">y</w:t>
      </w:r>
      <w:r>
        <w:t xml:space="preserve"> </w:t>
      </w:r>
      <w:hyperlink w:anchor="eq-tangential-traction">
        <w:r>
          <w:rPr>
            <w:rStyle w:val="Hyperlink"/>
          </w:rPr>
          <w:t xml:space="preserve">ec. 15</w:t>
        </w:r>
      </w:hyperlink>
      <w:r>
        <w:t xml:space="preserve"> </w:t>
      </w:r>
      <w:r>
        <w:t xml:space="preserve">produce un</w:t>
      </w:r>
      <w:r>
        <w:t xml:space="preserve"> </w:t>
      </w:r>
      <w:r>
        <w:t xml:space="preserve">término uniforme y un armónico de orden dos. El momento medio es</w:t>
      </w:r>
    </w:p>
    <w:p>
      <w:pPr>
        <w:pStyle w:val="BodyText"/>
      </w:pPr>
      <w:bookmarkStart w:id="109" w:name="eq-mean-moment"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R</m:t>
              </m:r>
            </m:e>
            <m:sup>
              <m:r>
                <m:t>2</m:t>
              </m:r>
            </m:sup>
          </m:sSup>
          <m:sSub>
            <m:e>
              <m:r>
                <m:t>p</m:t>
              </m:r>
            </m:e>
            <m:sub>
              <m:r>
                <m:t>m</m:t>
              </m:r>
            </m:sub>
          </m:sSub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Cuando se aplican ambas componentes del vector de tracción,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10" w:name="eq-k0-full-response"/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110"/>
    </w:p>
    <w:p>
      <w:pPr>
        <w:pStyle w:val="FirstParagraph"/>
      </w:pPr>
      <w:r>
        <w:t xml:space="preserve">Para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R</m:t>
          </m:r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11" w:name="eq-k0-normal-response"/>
      <m:oMathPara>
        <m:oMathParaPr>
          <m:jc m:val="center"/>
        </m:oMathParaPr>
        <m:oMath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R</m:t>
              </m:r>
              <m:r>
                <m:rPr>
                  <m:sty m:val="p"/>
                </m:rPr>
                <m:t>Δ</m:t>
              </m:r>
              <m:r>
                <m:t>σ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La</w:t>
      </w:r>
      <w:r>
        <w:t xml:space="preserve"> </w:t>
      </w:r>
      <w:hyperlink w:anchor="tbl-k0-extrema">
        <w:r>
          <w:rPr>
            <w:rStyle w:val="Hyperlink"/>
          </w:rPr>
          <w:t xml:space="preserve">tabla 3</w:t>
        </w:r>
      </w:hyperlink>
      <w:r>
        <w:t xml:space="preserve"> </w:t>
      </w:r>
      <w:r>
        <w:t xml:space="preserve">reúne los valores en las posiciones principales para el</w:t>
      </w:r>
      <w:r>
        <w:t xml:space="preserve"> </w:t>
      </w:r>
      <w:r>
        <w:t xml:space="preserve">caso</w:t>
      </w:r>
      <w:r>
        <w:t xml:space="preserve"> </w:t>
      </w:r>
      <m:oMath>
        <m:r>
          <m:rPr>
            <m:sty m:val="p"/>
          </m:rPr>
          <m:t>Δ</m:t>
        </m:r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tbl-k0-extrema"/>
          <w:p>
            <w:pPr>
              <w:jc w:val="left"/>
              <w:pStyle w:val="ImageCaption"/>
            </w:pPr>
            <w:r>
              <w:t xml:space="preserve">Tabla 3: Resultantes en las posiciones principales del revestimiento circular.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760"/>
              <w:gridCol w:w="1760"/>
              <w:gridCol w:w="17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Prescripción de carga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Posición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proyección completa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clave y solera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proyección completa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hastiales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proyección completa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45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135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225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315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exclusivamente 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clave y solera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R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exclusivamente 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hastiales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>
                      <m:t>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exclusivamente 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θ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45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135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225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315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R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m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|</m:t>
                    </m:r>
                    <m:sSub>
                      <m:e>
                        <m:r>
                          <m:t>Q</m:t>
                        </m:r>
                      </m:e>
                      <m:sub>
                        <m:r>
                          <m:t>θ</m:t>
                        </m:r>
                      </m:sub>
                    </m:sSub>
                    <m:sSub>
                      <m:e>
                        <m:r>
                          <m:rPr>
                            <m:sty m:val="p"/>
                          </m:rPr>
                          <m:t>|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R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Δ</m:t>
                    </m:r>
                    <m:r>
                      <m:t>σ</m:t>
                    </m:r>
                    <m:r>
                      <m:rPr>
                        <m:sty m:val="p"/>
                      </m:rPr>
                      <m:t>|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oMath>
                </w:p>
              </w:tc>
            </w:tr>
          </w:tbl>
          <w:bookmarkEnd w:id="112"/>
          <w:p/>
        </w:tc>
      </w:tr>
    </w:tbl>
    <w:bookmarkEnd w:id="113"/>
    <w:bookmarkStart w:id="116" w:name="influencia-de-la-tapada-y-de-k_0"/>
    <w:p>
      <w:pPr>
        <w:pStyle w:val="Heading2"/>
      </w:pPr>
      <w:r>
        <w:t xml:space="preserve">Influencia de la tapada y de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Para un relleno homogéneo, seco, sin incremento horizontal residual y con el</w:t>
      </w:r>
      <w:r>
        <w:t xml:space="preserve"> </w:t>
      </w:r>
      <w:r>
        <w:t xml:space="preserve">estado evaluado a la cota del eje,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p>
            <m:e>
              <m:r>
                <m:t>q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γ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14" w:name="eq-cover-k0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K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2</m:t>
              </m:r>
            </m:den>
          </m:f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Δ</m:t>
          </m:r>
          <m:r>
            <m:t>σ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La tapada incrementa linealmente la tensión vertical en este estado geostático.</w:t>
      </w:r>
      <w:r>
        <w:t xml:space="preserve"> </w:t>
      </w:r>
      <w:r>
        <w:t xml:space="preserve">La componente uniforme de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varía con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y la amplitud del modo de ovalización con</w:t>
      </w:r>
      <w:r>
        <w:t xml:space="preserve"> </w:t>
      </w:r>
      <m:oMath>
        <m:r>
          <m:rPr>
            <m:sty m:val="p"/>
          </m:rPr>
          <m:t>|</m:t>
        </m:r>
        <m:r>
          <m:t>1</m:t>
        </m:r>
        <m:r>
          <m:rPr>
            <m:sty m:val="p"/>
          </m:rPr>
          <m:t>−</m:t>
        </m:r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|</m:t>
        </m:r>
        <m:sSubSup>
          <m:e>
            <m:r>
              <m:t>σ</m:t>
            </m:r>
          </m:e>
          <m:sub>
            <m:r>
              <m:t>v</m:t>
            </m:r>
            <m:r>
              <m:rPr>
                <m:sty m:val="p"/>
              </m:rPr>
              <m:t>,</m:t>
            </m:r>
            <m:r>
              <m:t>A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. Para la proyección completa, las amplitudes</w:t>
      </w:r>
      <w:r>
        <w:t xml:space="preserve"> </w:t>
      </w:r>
      <w:r>
        <w:t xml:space="preserve">respecto del valor medio son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,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4</m:t>
              </m:r>
            </m:den>
          </m:f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15" w:name="eq-cover-sensitivity"/>
      <m:oMathPara>
        <m:oMathParaPr>
          <m:jc m:val="center"/>
        </m:oMathParaPr>
        <m:oMath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p"/>
                </m:rPr>
                <m:t>|</m:t>
              </m:r>
            </m:e>
            <m:sub>
              <m:r>
                <m:rPr>
                  <m:sty m:val="p"/>
                </m:rPr>
                <m:t>max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R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|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|</m:t>
          </m:r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A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Cuando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el estado biaxial es isotrópico y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es uniforme. Una</w:t>
      </w:r>
      <w:r>
        <w:t xml:space="preserve"> </w:t>
      </w:r>
      <w:r>
        <w:t xml:space="preserve">diferencia uniforme de presión intersticial incrementa su magnitud y mantiene</w:t>
      </w:r>
      <w:r>
        <w:t xml:space="preserve"> </w:t>
      </w:r>
      <m:oMath>
        <m:r>
          <m:rPr>
            <m:sty m:val="p"/>
          </m:rPr>
          <m:t>Δ</m:t>
        </m:r>
        <m:r>
          <m:t>σ</m:t>
        </m:r>
      </m:oMath>
      <w:r>
        <w:t xml:space="preserve"> </w:t>
      </w:r>
      <w:r>
        <w:t xml:space="preserve">sin cambios; el gradiente hidráulico se considera junto con la</w:t>
      </w:r>
      <w:r>
        <w:t xml:space="preserve"> </w:t>
      </w:r>
      <w:r>
        <w:t xml:space="preserve">flotación y las reacciones de apoyo.</w:t>
      </w:r>
    </w:p>
    <w:bookmarkEnd w:id="116"/>
    <w:bookmarkEnd w:id="117"/>
    <w:bookmarkStart w:id="129" w:name="X47d197f03ac4d20b0f851e02fcf3a366211c675"/>
    <w:p>
      <w:pPr>
        <w:pStyle w:val="Heading1"/>
      </w:pPr>
      <w:r>
        <w:t xml:space="preserve">Comprobación de la chapa corrugada según la base AASHTO adoptada</w:t>
      </w:r>
    </w:p>
    <w:bookmarkStart w:id="118" w:name="alcance-y-condición-normativa"/>
    <w:p>
      <w:pPr>
        <w:pStyle w:val="Heading2"/>
      </w:pPr>
      <w:r>
        <w:t xml:space="preserve">Alcance y condición normativa</w:t>
      </w:r>
    </w:p>
    <w:p>
      <w:pPr>
        <w:pStyle w:val="FirstParagraph"/>
      </w:pPr>
      <w:r>
        <w:t xml:space="preserve">La evaluación recibe la demanda circunferencial de diseño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, las propiedades</w:t>
      </w:r>
      <w:r>
        <w:t xml:space="preserve"> </w:t>
      </w:r>
      <w:r>
        <w:t xml:space="preserve">por unidad de ancho de la corrugación y los datos resistentes de la pared y de</w:t>
      </w:r>
      <w:r>
        <w:t xml:space="preserve"> </w:t>
      </w:r>
      <w:r>
        <w:t xml:space="preserve">la costura. El cálculo reproduce las comprobaciones identificadas para</w:t>
      </w:r>
      <w:r>
        <w:t xml:space="preserve"> </w:t>
      </w:r>
      <w:r>
        <w:t xml:space="preserve">conductos circulares corrugados de AASHTO LRFD, sección 12.7, a partir de las</w:t>
      </w:r>
      <w:r>
        <w:t xml:space="preserve"> </w:t>
      </w:r>
      <w:r>
        <w:t xml:space="preserve">relaciones publicadas por USACE y de las referencias complementarias</w:t>
      </w:r>
      <w:r>
        <w:t xml:space="preserve"> </w:t>
      </w:r>
      <w:r>
        <w:t xml:space="preserve">documentadas</w:t>
      </w:r>
      <w:r>
        <w:t xml:space="preserve"> </w:t>
      </w:r>
      <w:r>
        <w:t xml:space="preserve">(</w:t>
      </w:r>
      <w:hyperlink w:anchor="ref-USACE2020">
        <w:r>
          <w:rPr>
            <w:rStyle w:val="Hyperlink"/>
          </w:rPr>
          <w:t xml:space="preserve">U.S. Army Corps of Engineers 2020</w:t>
        </w:r>
      </w:hyperlink>
      <w:r>
        <w:t xml:space="preserve">;</w:t>
      </w:r>
      <w:r>
        <w:t xml:space="preserve"> </w:t>
      </w:r>
      <w:hyperlink w:anchor="ref-AndersonEtAl2023">
        <w:r>
          <w:rPr>
            <w:rStyle w:val="Hyperlink"/>
          </w:rPr>
          <w:t xml:space="preserve">Anderson et al. 2023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El procedimiento mantiene tres puertas independientes: edición y erratas,</w:t>
      </w:r>
      <w:r>
        <w:t xml:space="preserve"> </w:t>
      </w:r>
      <w:r>
        <w:t xml:space="preserve">clasificación del producto y correspondencia de cada ecuación con la rama</w:t>
      </w:r>
      <w:r>
        <w:t xml:space="preserve"> </w:t>
      </w:r>
      <w:r>
        <w:t xml:space="preserve">aplicable. El índice oficial de la décima edición permite localizar la sección</w:t>
      </w:r>
      <w:r>
        <w:t xml:space="preserve"> </w:t>
      </w:r>
      <w:r>
        <w:t xml:space="preserve">12, pero no contiene el articulado necesario para cerrar esas puertas</w:t>
      </w:r>
      <w:r>
        <w:t xml:space="preserve"> </w:t>
      </w:r>
      <w:r>
        <w:t xml:space="preserve">(</w:t>
      </w:r>
      <w:hyperlink w:anchor="ref-AASHTO2024TOC">
        <w:r>
          <w:rPr>
            <w:rStyle w:val="Hyperlink"/>
          </w:rPr>
          <w:t xml:space="preserve">American Association of State Highway and Transportation Officials 2024</w:t>
        </w:r>
      </w:hyperlink>
      <w:r>
        <w:t xml:space="preserve">)</w:t>
      </w:r>
      <w:r>
        <w:t xml:space="preserve">. Mientras alguna permanezca abierta, la aritmética puede</w:t>
      </w:r>
      <w:r>
        <w:t xml:space="preserve"> </w:t>
      </w:r>
      <w:r>
        <w:t xml:space="preserve">calificarse como satisfecha o no satisfecha, pero el estado normativo se</w:t>
      </w:r>
      <w:r>
        <w:t xml:space="preserve"> </w:t>
      </w:r>
      <w:r>
        <w:t xml:space="preserve">informa como no evaluado.</w:t>
      </w:r>
    </w:p>
    <w:bookmarkEnd w:id="118"/>
    <w:bookmarkStart w:id="120" w:name="demanda-circunferencial"/>
    <w:p>
      <w:pPr>
        <w:pStyle w:val="Heading2"/>
      </w:pPr>
      <w:r>
        <w:t xml:space="preserve">Demanda circunferencial</w:t>
      </w:r>
    </w:p>
    <w:p>
      <w:pPr>
        <w:pStyle w:val="FirstParagraph"/>
      </w:pPr>
      <w:r>
        <w:t xml:space="preserve">La presión vertical de diseño en la clave y la luz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producen el empuje</w:t>
      </w:r>
      <w:r>
        <w:t xml:space="preserve"> </w:t>
      </w:r>
      <w:r>
        <w:t xml:space="preserve">mayorado</w:t>
      </w:r>
      <w:r>
        <w:t xml:space="preserve"> </w:t>
      </w:r>
      <m:oMath>
        <m:sSub>
          <m:e>
            <m:r>
              <m:t>T</m:t>
            </m:r>
          </m:e>
          <m:sub>
            <m:r>
              <m:t>f</m:t>
            </m:r>
          </m:sub>
        </m:sSub>
      </m:oMath>
      <w:r>
        <w:t xml:space="preserve"> </w:t>
      </w:r>
      <w:r>
        <w:t xml:space="preserve">por unidad de longitud de pared, y el modificador de cargas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D</m:t>
            </m:r>
          </m:sub>
        </m:sSub>
        <m:r>
          <m:t> </m:t>
        </m:r>
        <m:sSub>
          <m:e>
            <m:r>
              <m:t>η</m:t>
            </m:r>
          </m:e>
          <m:sub>
            <m:r>
              <m:t>R</m:t>
            </m:r>
          </m:sub>
        </m:sSub>
        <m:r>
          <m:t> </m:t>
        </m:r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lo convierte en la demanda de diseño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. Para las componentes permanente y móvil, USACE reproduce la relación</w:t>
      </w:r>
    </w:p>
    <w:p>
      <w:pPr>
        <w:pStyle w:val="BodyText"/>
      </w:pPr>
      <w:bookmarkStart w:id="119" w:name="eq-methodology-aashto-thrust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  <m:r>
                <m:t>m</m:t>
              </m:r>
              <m:r>
                <m:t>p</m:t>
              </m:r>
            </m:sub>
          </m:sSub>
          <m:r>
            <m:t> </m:t>
          </m:r>
          <m:sSub>
            <m:e>
              <m:r>
                <m:t>T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η</m:t>
              </m:r>
            </m:e>
            <m:sub>
              <m:r>
                <m:t>c</m:t>
              </m:r>
              <m:r>
                <m:t>m</m:t>
              </m:r>
              <m:r>
                <m:t>p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γ</m:t>
                  </m:r>
                </m:e>
                <m:sub>
                  <m:r>
                    <m:t>D</m:t>
                  </m:r>
                  <m:r>
                    <m:t>L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F</m:t>
                      </m:r>
                      <m:r>
                        <m:t>D</m:t>
                      </m:r>
                    </m:sub>
                  </m:sSub>
                  <m:r>
                    <m:t>S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L</m:t>
                  </m:r>
                  <m:r>
                    <m:t>L</m:t>
                  </m:r>
                </m:sub>
              </m:sSub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F</m:t>
                      </m:r>
                      <m:r>
                        <m:t>L</m:t>
                      </m:r>
                    </m:sub>
                  </m:sSub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  <m:sSub>
                    <m:e>
                      <m:r>
                        <m:t>F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2</m:t>
                  </m:r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119"/>
    </w:p>
    <w:p>
      <w:pPr>
        <w:pStyle w:val="FirstParagraph"/>
      </w:pPr>
      <w:r>
        <w:t xml:space="preserve">La estructura enterrada se considera no redundante bajo la carga del relleno,</w:t>
      </w:r>
      <w:r>
        <w:t xml:space="preserve"> </w:t>
      </w:r>
      <w:r>
        <w:t xml:space="preserve">por lo que el modificador por redundancia vale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05</m:t>
        </m:r>
      </m:oMath>
      <w:r>
        <w:t xml:space="preserve"> </w:t>
      </w:r>
      <w:r>
        <w:t xml:space="preserve">(</w:t>
      </w:r>
      <w:hyperlink w:anchor="ref-USACE2020">
        <w:r>
          <w:rPr>
            <w:rStyle w:val="Hyperlink"/>
          </w:rPr>
          <w:t xml:space="preserve">U.S. Army Corps of Engineers 2020</w:t>
        </w:r>
      </w:hyperlink>
      <w:r>
        <w:t xml:space="preserve">;</w:t>
      </w:r>
      <w:r>
        <w:t xml:space="preserve"> </w:t>
      </w:r>
      <w:hyperlink w:anchor="ref-CIRSOC8044">
        <w:r>
          <w:rPr>
            <w:rStyle w:val="Hyperlink"/>
          </w:rPr>
          <w:t xml:space="preserve">INTI-CIRSOC 2023</w:t>
        </w:r>
      </w:hyperlink>
      <w:r>
        <w:t xml:space="preserve">)</w:t>
      </w:r>
      <w:r>
        <w:t xml:space="preserve">. El empuje es una demanda escalar de pared. No sustituye la distribución</w:t>
      </w:r>
      <w:r>
        <w:t xml:space="preserve"> </w:t>
      </w:r>
      <w:r>
        <w:t xml:space="preserve">perimetral de Schwartz–Einstein empleada para calcular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, ni convierte los</w:t>
      </w:r>
      <w:r>
        <w:t xml:space="preserve"> </w:t>
      </w:r>
      <w:r>
        <w:t xml:space="preserve">extremos de resultantes correspondientes a ángulos distintos en una acción</w:t>
      </w:r>
      <w:r>
        <w:t xml:space="preserve"> </w:t>
      </w:r>
      <w:r>
        <w:t xml:space="preserve">concurrente.</w:t>
      </w:r>
    </w:p>
    <w:bookmarkEnd w:id="120"/>
    <w:bookmarkStart w:id="124" w:name="pared-y-pandeo"/>
    <w:p>
      <w:pPr>
        <w:pStyle w:val="Heading2"/>
      </w:pPr>
      <w:r>
        <w:t xml:space="preserve">Pared y pandeo</w:t>
      </w:r>
    </w:p>
    <w:p>
      <w:pPr>
        <w:pStyle w:val="FirstParagraph"/>
      </w:pPr>
      <w:r>
        <w:t xml:space="preserve">Con área de pared</w:t>
      </w:r>
      <w:r>
        <w:t xml:space="preserve"> </w:t>
      </w:r>
      <m:oMath>
        <m:r>
          <m:t>A</m:t>
        </m:r>
      </m:oMath>
      <w:r>
        <w:t xml:space="preserve">, resistencia de fluencia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y factor resistente</w:t>
      </w:r>
      <w:r>
        <w:t xml:space="preserve"> </w:t>
      </w:r>
      <m:oMath>
        <m:sSub>
          <m:e>
            <m:r>
              <m:t>ϕ</m:t>
            </m:r>
          </m:e>
          <m:sub>
            <m:r>
              <m:t>w</m:t>
            </m:r>
          </m:sub>
        </m:sSub>
      </m:oMath>
      <w:r>
        <w:t xml:space="preserve">, la resistencia disponible por fluencia es</w:t>
      </w:r>
    </w:p>
    <w:p>
      <w:pPr>
        <w:pStyle w:val="BodyText"/>
      </w:pPr>
      <w:bookmarkStart w:id="121" w:name="eq-methodology-aashto-wall-yield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w</m:t>
              </m:r>
            </m:sub>
          </m:sSub>
          <m:r>
            <m:t>A</m:t>
          </m:r>
          <m:sSub>
            <m:e>
              <m:r>
                <m:t>F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121"/>
    </w:p>
    <w:p>
      <w:pPr>
        <w:pStyle w:val="FirstParagraph"/>
      </w:pPr>
      <w:r>
        <w:t xml:space="preserve">La rama de pandeo utiliza el radio de giro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/</m:t>
            </m:r>
            <m:r>
              <m:t>A</m:t>
            </m:r>
          </m:e>
        </m:rad>
      </m:oMath>
      <w:r>
        <w:t xml:space="preserve">, la luz, el módulo</w:t>
      </w:r>
      <w:r>
        <w:t xml:space="preserve"> </w:t>
      </w:r>
      <w:r>
        <w:t xml:space="preserve">elástico, la resistencia última y el factor de rigidez del suelo de la base de</w:t>
      </w:r>
      <w:r>
        <w:t xml:space="preserve"> </w:t>
      </w:r>
      <w:r>
        <w:t xml:space="preserve">referencia. La tensión crítica se evalúa con la rama elástica o inelástica que</w:t>
      </w:r>
      <w:r>
        <w:t xml:space="preserve"> </w:t>
      </w:r>
      <w:r>
        <w:t xml:space="preserve">corresponde y la resistencia disponible es</w:t>
      </w:r>
    </w:p>
    <w:p>
      <w:pPr>
        <w:pStyle w:val="BodyText"/>
      </w:pPr>
      <w:bookmarkStart w:id="122" w:name="eq-methodology-aashto-wall-buckling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w</m:t>
              </m:r>
            </m:sub>
          </m:sSub>
          <m:r>
            <m:t>A</m:t>
          </m:r>
          <m:sSub>
            <m:e>
              <m:r>
                <m:t>F</m:t>
              </m:r>
            </m:e>
            <m:sub>
              <m:r>
                <m:t>c</m:t>
              </m:r>
              <m:r>
                <m:t>r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122"/>
    </w:p>
    <w:p>
      <w:pPr>
        <w:pStyle w:val="FirstParagraph"/>
      </w:pPr>
      <w:r>
        <w:t xml:space="preserve">Las dos comprobaciones se mantienen separadas:</w:t>
      </w:r>
    </w:p>
    <w:p>
      <w:pPr>
        <w:pStyle w:val="BodyText"/>
      </w:pPr>
      <w:bookmarkStart w:id="123" w:name="eq-methodology-aashto-wall-utilization"/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y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r>
            <m:t>U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8" w:name="costura-flexibilidad-y-tapada-mínima"/>
    <w:p>
      <w:pPr>
        <w:pStyle w:val="Heading2"/>
      </w:pPr>
      <w:r>
        <w:t xml:space="preserve">Costura, flexibilidad y tapada mínima</w:t>
      </w:r>
    </w:p>
    <w:p>
      <w:pPr>
        <w:pStyle w:val="FirstParagraph"/>
      </w:pPr>
      <w:r>
        <w:t xml:space="preserve">La costura utiliza una resistencia nominal publicada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y un factor</w:t>
      </w:r>
      <w:r>
        <w:t xml:space="preserve"> </w:t>
      </w:r>
      <m:oMath>
        <m:sSub>
          <m:e>
            <m:r>
              <m:t>ϕ</m:t>
            </m:r>
          </m:e>
          <m:sub>
            <m:r>
              <m:t>s</m:t>
            </m:r>
          </m:sub>
        </m:sSub>
      </m:oMath>
      <w:r>
        <w:t xml:space="preserve">. Cuando se representa una pérdida relativa</w:t>
      </w:r>
      <w:r>
        <w:t xml:space="preserve"> </w:t>
      </w:r>
      <m:oMath>
        <m:sSub>
          <m:e>
            <m:r>
              <m:t>δ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del diámetro de</w:t>
      </w:r>
      <w:r>
        <w:t xml:space="preserve"> </w:t>
      </w:r>
      <w:r>
        <w:t xml:space="preserve">los elementos de unión, la reducción geométrica adoptada es</w:t>
      </w:r>
    </w:p>
    <w:p>
      <w:pPr>
        <w:pStyle w:val="BodyText"/>
      </w:pPr>
      <w:bookmarkStart w:id="125" w:name="eq-methodology-aashto-seam"/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ϕ</m:t>
              </m:r>
            </m:e>
            <m:sub>
              <m:r>
                <m:t>s</m:t>
              </m:r>
            </m:sub>
          </m:sSub>
          <m:sSub>
            <m:e>
              <m:r>
                <m:t>R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0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δ</m:t>
              </m:r>
            </m:e>
            <m:sub>
              <m:r>
                <m:t>d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(</m:t>
          </m:r>
          <m:sSub>
            <m:e>
              <m:r>
                <m:t>δ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T</m:t>
                  </m:r>
                </m:e>
                <m:sub>
                  <m:r>
                    <m:t>u</m:t>
                  </m:r>
                </m:sub>
              </m:sSub>
            </m:num>
            <m:den>
              <m:sSub>
                <m:e>
                  <m:r>
                    <m:t>R</m:t>
                  </m:r>
                </m:e>
                <m:sub>
                  <m:r>
                    <m:t>s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r>
                    <m:t>d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  </m:t>
          </m:r>
          <m:r>
            <m:t>0</m:t>
          </m:r>
          <m:r>
            <m:rPr>
              <m:sty m:val="p"/>
            </m:rPr>
            <m:t>≤</m:t>
          </m:r>
          <m:sSub>
            <m:e>
              <m:r>
                <m:t>δ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56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Esta relación permite estudiar sensibilidad; no demuestra que una costura</w:t>
      </w:r>
      <w:r>
        <w:t xml:space="preserve"> </w:t>
      </w:r>
      <w:r>
        <w:t xml:space="preserve">publicada sea equivalente a la unión existente. La comprobación requiere</w:t>
      </w:r>
      <w:r>
        <w:t xml:space="preserve"> </w:t>
      </w:r>
      <w:r>
        <w:t xml:space="preserve">confirmar geometría, material, disposición, estado y modo resistente de los</w:t>
      </w:r>
      <w:r>
        <w:t xml:space="preserve"> </w:t>
      </w:r>
      <w:r>
        <w:t xml:space="preserve">elementos reales.</w:t>
      </w:r>
    </w:p>
    <w:p>
      <w:pPr>
        <w:pStyle w:val="BodyText"/>
      </w:pPr>
      <w:r>
        <w:t xml:space="preserve">El factor de flexibilidad se calcula como</w:t>
      </w:r>
    </w:p>
    <w:p>
      <w:pPr>
        <w:pStyle w:val="BodyText"/>
      </w:pPr>
      <w:bookmarkStart w:id="126" w:name="eq-methodology-aashto-flexibility"/>
      <m:oMathPara>
        <m:oMathParaPr>
          <m:jc m:val="center"/>
        </m:oMathParaPr>
        <m:oMath>
          <m:r>
            <m:t>F</m:t>
          </m:r>
          <m:r>
            <m:t>F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E</m:t>
              </m:r>
              <m:r>
                <m:t>I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t>F</m:t>
              </m:r>
            </m:num>
            <m:den>
              <m:r>
                <m:t>F</m:t>
              </m:r>
              <m:sSub>
                <m:e>
                  <m:r>
                    <m:t>F</m:t>
                  </m:r>
                </m:e>
                <m:sub>
                  <m:r>
                    <m:t>l</m:t>
                  </m:r>
                  <m:r>
                    <m:t>i</m:t>
                  </m:r>
                  <m:r>
                    <m:t>m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57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La condición de tapada mínima se expresa mediante</w:t>
      </w:r>
    </w:p>
    <w:p>
      <w:pPr>
        <w:pStyle w:val="BodyText"/>
      </w:pPr>
      <w:bookmarkStart w:id="127" w:name="eq-methodology-aashto-cover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m</m:t>
              </m:r>
              <m:r>
                <m:t>i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S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,</m:t>
              </m:r>
              <m:r>
                <m:t>0.3048</m:t>
              </m:r>
              <m:r>
                <m:t> </m:t>
              </m:r>
              <m:r>
                <m:rPr>
                  <m:sty m:val="p"/>
                </m:rPr>
                <m:t>m</m:t>
              </m:r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H</m:t>
                  </m:r>
                </m:e>
                <m:sub>
                  <m:r>
                    <m:t>m</m:t>
                  </m:r>
                  <m:r>
                    <m:t>i</m:t>
                  </m:r>
                  <m:r>
                    <m:t>n</m:t>
                  </m:r>
                </m:sub>
              </m:sSub>
            </m:num>
            <m:den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58</m:t>
          </m:r>
          <m:r>
            <m:rPr>
              <m:sty m:val="p"/>
            </m:rPr>
            <m:t>)</m:t>
          </m:r>
        </m:oMath>
      </m:oMathPara>
      <w:bookmarkEnd w:id="127"/>
    </w:p>
    <w:p>
      <w:pPr>
        <w:pStyle w:val="FirstParagraph"/>
      </w:pPr>
      <w:r>
        <w:t xml:space="preserve">La pared, el pandeo, la costura, la flexibilidad y la tapada mínima conservan</w:t>
      </w:r>
      <w:r>
        <w:t xml:space="preserve"> </w:t>
      </w:r>
      <w:r>
        <w:t xml:space="preserve">su propia procedencia, unidad, utilización y estado. El resultado general sólo</w:t>
      </w:r>
      <w:r>
        <w:t xml:space="preserve"> </w:t>
      </w:r>
      <w:r>
        <w:t xml:space="preserve">puede ser normativamente satisfactorio cuando todas las entradas están</w:t>
      </w:r>
      <w:r>
        <w:t xml:space="preserve"> </w:t>
      </w:r>
      <w:r>
        <w:t xml:space="preserve">completas y las tres puertas de aplicabilidad están verificadas. Estas</w:t>
      </w:r>
      <w:r>
        <w:t xml:space="preserve"> </w:t>
      </w:r>
      <w:r>
        <w:t xml:space="preserve">comprobaciones no sustituyen el análisis de juntas, pernos, servicio ni</w:t>
      </w:r>
      <w:r>
        <w:t xml:space="preserve"> </w:t>
      </w:r>
      <w:r>
        <w:t xml:space="preserve">estabilidad global del revestimiento.</w:t>
      </w:r>
    </w:p>
    <w:bookmarkEnd w:id="128"/>
    <w:bookmarkEnd w:id="129"/>
    <w:bookmarkStart w:id="137" w:name="Xe3fd0f9e0cbc96a7fb82d1d1f5abbb35c93964d"/>
    <w:p>
      <w:pPr>
        <w:pStyle w:val="Heading1"/>
      </w:pPr>
      <w:r>
        <w:t xml:space="preserve">Alternativa de revestimiento de hormigón proyectado</w:t>
      </w:r>
    </w:p>
    <w:bookmarkStart w:id="130" w:name="objeto"/>
    <w:p>
      <w:pPr>
        <w:pStyle w:val="Heading2"/>
      </w:pPr>
      <w:r>
        <w:t xml:space="preserve">Objeto</w:t>
      </w:r>
    </w:p>
    <w:p>
      <w:pPr>
        <w:pStyle w:val="FirstParagraph"/>
      </w:pPr>
      <w:r>
        <w:t xml:space="preserve">Esta metodología establece el procedimiento para analizar secciones</w:t>
      </w:r>
      <w:r>
        <w:t xml:space="preserve"> </w:t>
      </w:r>
      <w:r>
        <w:t xml:space="preserve">circulares de hormigón proyectado y comprobar una franja longitudinal sometida</w:t>
      </w:r>
      <w:r>
        <w:t xml:space="preserve"> </w:t>
      </w:r>
      <w:r>
        <w:t xml:space="preserve">a las resultantes circunferenciales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. Las</w:t>
      </w:r>
      <w:r>
        <w:t xml:space="preserve"> </w:t>
      </w:r>
      <w:r>
        <w:t xml:space="preserve">secciones autónomas se clasifican como hormigón simple u hormigón armado. El</w:t>
      </w:r>
      <w:r>
        <w:t xml:space="preserve"> </w:t>
      </w:r>
      <w:r>
        <w:t xml:space="preserve">estudio paramétrico incorpora además una sección compuesta explícita formada</w:t>
      </w:r>
      <w:r>
        <w:t xml:space="preserve"> </w:t>
      </w:r>
      <w:r>
        <w:t xml:space="preserve">por la chapa existente y una malla interior.</w:t>
      </w:r>
    </w:p>
    <w:p>
      <w:pPr>
        <w:pStyle w:val="BodyText"/>
      </w:pPr>
      <w:r>
        <w:t xml:space="preserve">En las secciones autónomas no se transfieren solicitaciones desde la chapa</w:t>
      </w:r>
      <w:r>
        <w:t xml:space="preserve"> </w:t>
      </w:r>
      <w:r>
        <w:t xml:space="preserve">existente. Para cada combinación se calculan el radio, las razones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las distribuciones angulares de las tres resultantes. La carga externa</w:t>
      </w:r>
      <w:r>
        <w:t xml:space="preserve"> </w:t>
      </w:r>
      <w:r>
        <w:t xml:space="preserve">de Schwartz–Einstein aporta los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y la corrección equilibrada del</w:t>
      </w:r>
      <w:r>
        <w:t xml:space="preserve"> </w:t>
      </w:r>
      <w:r>
        <w:t xml:space="preserve">gradiente aporta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. El procedimiento se ejecuta para deslizamiento libre</w:t>
      </w:r>
      <w:r>
        <w:t xml:space="preserve"> </w:t>
      </w:r>
      <w:r>
        <w:t xml:space="preserve">y sin deslizamiento. La proyección del estado biaxial uniforme, la integración</w:t>
      </w:r>
      <w:r>
        <w:t xml:space="preserve"> </w:t>
      </w:r>
      <w:r>
        <w:t xml:space="preserve">directa y Fourier se conservan como controles separados de carga prescrita.</w:t>
      </w:r>
    </w:p>
    <w:p>
      <w:pPr>
        <w:pStyle w:val="BodyText"/>
      </w:pPr>
      <w:r>
        <w:t xml:space="preserve">La sección compuesta adopta compatibilidad total entre la chapa, el hormigón y</w:t>
      </w:r>
      <w:r>
        <w:t xml:space="preserve"> </w:t>
      </w:r>
      <w:r>
        <w:t xml:space="preserve">la armadura interior. Su centroide y sus rigideces se determinan con los tres</w:t>
      </w:r>
      <w:r>
        <w:t xml:space="preserve"> </w:t>
      </w:r>
      <w:r>
        <w:t xml:space="preserve">componentes y las resultantes se recalculan antes de construir el dominio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. Esta hipótesis exige transferencia completa de corte en la interfaz</w:t>
      </w:r>
      <w:r>
        <w:t xml:space="preserve"> </w:t>
      </w:r>
      <w:r>
        <w:t xml:space="preserve">y se presenta separadamente de las secciones autónomas.</w:t>
      </w:r>
    </w:p>
    <w:bookmarkEnd w:id="130"/>
    <w:bookmarkStart w:id="131" w:name="referencias-normativas"/>
    <w:p>
      <w:pPr>
        <w:pStyle w:val="Heading2"/>
      </w:pPr>
      <w:r>
        <w:t xml:space="preserve">Referencias normativas</w:t>
      </w:r>
    </w:p>
    <w:p>
      <w:pPr>
        <w:pStyle w:val="FirstParagraph"/>
      </w:pPr>
      <w:r>
        <w:t xml:space="preserve">La familia internacional adoptada es ACI:</w:t>
      </w:r>
    </w:p>
    <w:p>
      <w:pPr>
        <w:pStyle w:val="ListBullet"/>
      </w:pPr>
      <w:r>
        <w:t xml:space="preserve">ACI CODE-318-25 proporciona las disposiciones de resistencia seccional,</w:t>
      </w:r>
      <w:r>
        <w:t xml:space="preserve"> </w:t>
      </w:r>
      <w:r>
        <w:t xml:space="preserve">servicio, durabilidad y detallado. El Capítulo 14 contiene la comprobación</w:t>
      </w:r>
      <w:r>
        <w:t xml:space="preserve"> </w:t>
      </w:r>
      <w:r>
        <w:t xml:space="preserve">adoptada para la rama de hormigón simple</w:t>
      </w:r>
      <w:r>
        <w:t xml:space="preserve"> </w:t>
      </w:r>
      <w:r>
        <w:t xml:space="preserve">(</w:t>
      </w:r>
      <w:hyperlink w:anchor="ref-ACI31825">
        <w:r>
          <w:rPr>
            <w:rStyle w:val="Hyperlink"/>
          </w:rPr>
          <w:t xml:space="preserve">ACI Committee 318 2025b</w:t>
        </w:r>
      </w:hyperlink>
      <w:r>
        <w:t xml:space="preserve">)</w:t>
      </w:r>
      <w:r>
        <w:t xml:space="preserve">. Las combinaciones de</w:t>
      </w:r>
      <w:r>
        <w:t xml:space="preserve"> </w:t>
      </w:r>
      <w:r>
        <w:t xml:space="preserve">acciones proceden de la envolvente EV–EH de AASHTO/CIRSOC utilizada para</w:t>
      </w:r>
      <w:r>
        <w:t xml:space="preserve"> </w:t>
      </w:r>
      <w:r>
        <w:t xml:space="preserve">estructuras enterradas rígidas.</w:t>
      </w:r>
    </w:p>
    <w:p>
      <w:pPr>
        <w:pStyle w:val="ListBullet"/>
      </w:pPr>
      <w:r>
        <w:t xml:space="preserve">ACI CODE-318.2-25 gobierna cuando el revestimiento de hormigón armado se</w:t>
      </w:r>
      <w:r>
        <w:t xml:space="preserve"> </w:t>
      </w:r>
      <w:r>
        <w:t xml:space="preserve">clasifica como cáscara delgada; ACI CODE-318-25 actúa entonces como documento</w:t>
      </w:r>
      <w:r>
        <w:t xml:space="preserve"> </w:t>
      </w:r>
      <w:r>
        <w:t xml:space="preserve">complementario</w:t>
      </w:r>
      <w:r>
        <w:t xml:space="preserve"> </w:t>
      </w:r>
      <w:r>
        <w:t xml:space="preserve">(</w:t>
      </w:r>
      <w:hyperlink w:anchor="ref-ACI318225">
        <w:r>
          <w:rPr>
            <w:rStyle w:val="Hyperlink"/>
          </w:rPr>
          <w:t xml:space="preserve">ACI Committee 318 2025a</w:t>
        </w:r>
      </w:hyperlink>
      <w:r>
        <w:t xml:space="preserve">,</w:t>
      </w:r>
      <w:r>
        <w:t xml:space="preserve"> </w:t>
      </w:r>
      <w:hyperlink w:anchor="ref-ACI31825">
        <w:r>
          <w:rPr>
            <w:rStyle w:val="Hyperlink"/>
          </w:rPr>
          <w:t xml:space="preserve">2025b</w:t>
        </w:r>
      </w:hyperlink>
      <w:r>
        <w:t xml:space="preserve">)</w:t>
      </w:r>
      <w:r>
        <w:t xml:space="preserve">.</w:t>
      </w:r>
    </w:p>
    <w:p>
      <w:pPr>
        <w:pStyle w:val="ListBullet"/>
      </w:pPr>
      <w:r>
        <w:t xml:space="preserve">ACI CODE-562-25 establece el marco para evaluar una estructura existente,</w:t>
      </w:r>
      <w:r>
        <w:t xml:space="preserve"> </w:t>
      </w:r>
      <w:r>
        <w:t xml:space="preserve">incluidas la investigación de campo, las propiedades medidas, el deterioro</w:t>
      </w:r>
      <w:r>
        <w:t xml:space="preserve"> </w:t>
      </w:r>
      <w:r>
        <w:t xml:space="preserve">y los factores de evaluación que correspondan</w:t>
      </w:r>
      <w:r>
        <w:t xml:space="preserve"> </w:t>
      </w:r>
      <w:r>
        <w:t xml:space="preserve">(</w:t>
      </w:r>
      <w:hyperlink w:anchor="ref-ACI56225">
        <w:r>
          <w:rPr>
            <w:rStyle w:val="Hyperlink"/>
          </w:rPr>
          <w:t xml:space="preserve">ACI Committee 562 2025</w:t>
        </w:r>
      </w:hyperlink>
      <w:r>
        <w:t xml:space="preserve">)</w:t>
      </w:r>
      <w:r>
        <w:t xml:space="preserve">.</w:t>
      </w:r>
    </w:p>
    <w:p>
      <w:pPr>
        <w:pStyle w:val="ListBullet"/>
      </w:pPr>
      <w:r>
        <w:t xml:space="preserve">ACI SPEC-506.2-13(18) regula los materiales, la ejecución, los ensayos y la</w:t>
      </w:r>
      <w:r>
        <w:t xml:space="preserve"> </w:t>
      </w:r>
      <w:r>
        <w:t xml:space="preserve">aceptación del hormigón proyectado; no sustituye la comprobación resistente</w:t>
      </w:r>
      <w:r>
        <w:t xml:space="preserve"> </w:t>
      </w:r>
      <w:r>
        <w:t xml:space="preserve">de la sección</w:t>
      </w:r>
      <w:r>
        <w:t xml:space="preserve"> </w:t>
      </w:r>
      <w:r>
        <w:t xml:space="preserve">(</w:t>
      </w:r>
      <w:hyperlink w:anchor="ref-ACISPEC506213">
        <w:r>
          <w:rPr>
            <w:rStyle w:val="Hyperlink"/>
          </w:rPr>
          <w:t xml:space="preserve">ACI Committee 506 2018</w:t>
        </w:r>
      </w:hyperlink>
      <w:r>
        <w:t xml:space="preserve">)</w:t>
      </w:r>
      <w:r>
        <w:t xml:space="preserve">.</w:t>
      </w:r>
    </w:p>
    <w:p>
      <w:pPr>
        <w:pStyle w:val="BodyText"/>
      </w:pPr>
      <w:r>
        <w:t xml:space="preserve">La evaluación de fisuración se distingue de la resistencia. Los requisitos</w:t>
      </w:r>
      <w:r>
        <w:t xml:space="preserve"> </w:t>
      </w:r>
      <w:r>
        <w:t xml:space="preserve">contractuales de ejecución y aceptación del shotcrete se verifican asimismo</w:t>
      </w:r>
      <w:r>
        <w:t xml:space="preserve"> </w:t>
      </w:r>
      <w:r>
        <w:t xml:space="preserve">por separado de la resistencia seccional.</w:t>
      </w:r>
    </w:p>
    <w:bookmarkEnd w:id="131"/>
    <w:bookmarkStart w:id="132" w:name="clasificación-estructural"/>
    <w:p>
      <w:pPr>
        <w:pStyle w:val="Heading2"/>
      </w:pPr>
      <w:r>
        <w:t xml:space="preserve">Clasificación estructural</w:t>
      </w:r>
    </w:p>
    <w:p>
      <w:pPr>
        <w:pStyle w:val="FirstParagraph"/>
      </w:pPr>
      <w:r>
        <w:t xml:space="preserve">La clasificación declarada de la sección selecciona expresamente una de dos</w:t>
      </w:r>
      <w:r>
        <w:t xml:space="preserve"> </w:t>
      </w:r>
      <w:r>
        <w:t xml:space="preserve">ramas:</w:t>
      </w:r>
    </w:p>
    <w:p>
      <w:pPr>
        <w:pStyle w:val="ListNumber"/>
      </w:pPr>
      <w:r>
        <w:t xml:space="preserve">hormigón simple: comprobación local conforme al</w:t>
      </w:r>
      <w:r>
        <w:t xml:space="preserve"> </w:t>
      </w:r>
      <w:r>
        <w:t xml:space="preserve">Capítulo 14 de ACI CODE-318-25, condicionada por el tipo de miembro, el</w:t>
      </w:r>
      <w:r>
        <w:t xml:space="preserve"> </w:t>
      </w:r>
      <w:r>
        <w:t xml:space="preserve">apoyo, la categoría sísmica, las juntas y las aberturas;</w:t>
      </w:r>
    </w:p>
    <w:p>
      <w:pPr>
        <w:pStyle w:val="ListNumber"/>
      </w:pPr>
      <w:r>
        <w:t xml:space="preserve">hormigón armado: compatibilidad y equilibrio de una sección con capas</w:t>
      </w:r>
      <w:r>
        <w:t xml:space="preserve"> </w:t>
      </w:r>
      <w:r>
        <w:t xml:space="preserve">de armadura, complementados por las disposiciones de ACI CODE-318.2-25 que</w:t>
      </w:r>
      <w:r>
        <w:t xml:space="preserve"> </w:t>
      </w:r>
      <w:r>
        <w:t xml:space="preserve">correspondan a una cáscara delgada.</w:t>
      </w:r>
    </w:p>
    <w:p>
      <w:pPr>
        <w:pStyle w:val="BodyText"/>
      </w:pPr>
      <w:r>
        <w:t xml:space="preserve">La rama no se infiere a partir del área de acero. En particular,</w:t>
      </w:r>
      <w:r>
        <w:t xml:space="preserve"> </w:t>
      </w:r>
      <m:oMath>
        <m:sSub>
          <m:e>
            <m:r>
              <m:t>A</m:t>
            </m:r>
          </m:e>
          <m:sub>
            <m:r>
              <m:t>s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es</w:t>
      </w:r>
      <w:r>
        <w:t xml:space="preserve"> </w:t>
      </w:r>
      <w:r>
        <w:t xml:space="preserve">una característica válida de una sección declarada como hormigón simple y no</w:t>
      </w:r>
      <w:r>
        <w:t xml:space="preserve"> </w:t>
      </w:r>
      <w:r>
        <w:t xml:space="preserve">activa un control de cuantía mínima de hormigón armado. Inversamente, una</w:t>
      </w:r>
      <w:r>
        <w:t xml:space="preserve"> </w:t>
      </w:r>
      <w:r>
        <w:t xml:space="preserve">sección declarada como armada debe satisfacer las cuantías, la disposición y</w:t>
      </w:r>
      <w:r>
        <w:t xml:space="preserve"> </w:t>
      </w:r>
      <w:r>
        <w:t xml:space="preserve">el detallado exigibles aunque el equilibrio seccional resulte satisfactorio.</w:t>
      </w:r>
    </w:p>
    <w:bookmarkEnd w:id="132"/>
    <w:bookmarkStart w:id="133" w:name="definición-de-acciones"/>
    <w:p>
      <w:pPr>
        <w:pStyle w:val="Heading2"/>
      </w:pPr>
      <w:r>
        <w:t xml:space="preserve">Definición de acciones</w:t>
      </w:r>
    </w:p>
    <w:p>
      <w:pPr>
        <w:pStyle w:val="FirstParagraph"/>
      </w:pPr>
      <w:r>
        <w:t xml:space="preserve">Las combinaciones resistentes se forman sobre las componentes vertical y</w:t>
      </w:r>
      <w:r>
        <w:t xml:space="preserve"> </w:t>
      </w:r>
      <w:r>
        <w:t xml:space="preserve">horizontal del estado tensional del relleno. Para cada par de factores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t>γ</m:t>
            </m:r>
          </m:e>
          <m:sub>
            <m:r>
              <m:t>h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se resuelve nuevamente la respuesta de la sección</w:t>
      </w:r>
      <w:r>
        <w:t xml:space="preserve"> </w:t>
      </w:r>
      <w:r>
        <w:t xml:space="preserve">transversal: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σ</m:t>
              </m:r>
            </m:e>
            <m:sub>
              <m:r>
                <m:t>v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v</m:t>
              </m:r>
            </m:sub>
          </m:sSub>
          <m:sSubSup>
            <m:e>
              <m:r>
                <m:t>σ</m:t>
              </m:r>
            </m:e>
            <m:sub>
              <m:r>
                <m:t>v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  <m:r>
            <m:t>  </m:t>
          </m:r>
          <m:sSubSup>
            <m:e>
              <m:r>
                <m:t>σ</m:t>
              </m:r>
            </m:e>
            <m:sub>
              <m:r>
                <m:t>h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γ</m:t>
              </m:r>
            </m:e>
            <m:sub>
              <m:r>
                <m:t>h</m:t>
              </m:r>
            </m:sub>
          </m:sSub>
          <m:sSubSup>
            <m:e>
              <m:r>
                <m:t>σ</m:t>
              </m:r>
            </m:e>
            <m:sub>
              <m:r>
                <m:t>h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y de esa resolución se obtienen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 No se aplican factores a máximos</w:t>
      </w:r>
      <w:r>
        <w:t xml:space="preserve"> </w:t>
      </w:r>
      <w:r>
        <w:t xml:space="preserve">espaciales independientes ni se combinan valores correspondientes a ángulos</w:t>
      </w:r>
      <w:r>
        <w:t xml:space="preserve"> </w:t>
      </w:r>
      <w:r>
        <w:t xml:space="preserve">distintos. Cada fila de comprobación conserva una única combinación, una</w:t>
      </w:r>
      <w:r>
        <w:t xml:space="preserve"> </w:t>
      </w:r>
      <w:r>
        <w:t xml:space="preserve">condición de interfaz y una posición</w:t>
      </w:r>
      <w:r>
        <w:t xml:space="preserve"> </w:t>
      </w:r>
      <m:oMath>
        <m:r>
          <m:t>θ</m:t>
        </m:r>
      </m:oMath>
      <w:r>
        <w:t xml:space="preserve">.</w:t>
      </w:r>
    </w:p>
    <w:bookmarkEnd w:id="133"/>
    <w:bookmarkStart w:id="134" w:name="estructura-existente"/>
    <w:p>
      <w:pPr>
        <w:pStyle w:val="Heading2"/>
      </w:pPr>
      <w:r>
        <w:t xml:space="preserve">Estructura existente</w:t>
      </w:r>
    </w:p>
    <w:p>
      <w:pPr>
        <w:pStyle w:val="FirstParagraph"/>
      </w:pPr>
      <w:r>
        <w:t xml:space="preserve">La sección resistente se define con dimensiones y propiedades verificadas. El</w:t>
      </w:r>
      <w:r>
        <w:t xml:space="preserve"> </w:t>
      </w:r>
      <w:r>
        <w:t xml:space="preserve">espesor excluye vacíos, delaminaciones y material cuya transferencia no esté</w:t>
      </w:r>
      <w:r>
        <w:t xml:space="preserve"> </w:t>
      </w:r>
      <w:r>
        <w:t xml:space="preserve">demostrada. Las armaduras se representan mediante áreas netas y posiciones por</w:t>
      </w:r>
      <w:r>
        <w:t xml:space="preserve"> </w:t>
      </w:r>
      <w:r>
        <w:t xml:space="preserve">capa; una cuantía global en cm²/m no define el brazo mecánico. La corrosión de</w:t>
      </w:r>
      <w:r>
        <w:t xml:space="preserve"> </w:t>
      </w:r>
      <w:r>
        <w:t xml:space="preserve">las barras reduce su área y debe conservarse separada de cualquier pérdida del</w:t>
      </w:r>
      <w:r>
        <w:t xml:space="preserve"> </w:t>
      </w:r>
      <w:r>
        <w:t xml:space="preserve">espesor de hormigón.</w:t>
      </w:r>
    </w:p>
    <w:p>
      <w:pPr>
        <w:pStyle w:val="BodyText"/>
      </w:pPr>
      <w:r>
        <w:t xml:space="preserve">La resistencia de diseño del hormigón existente se adopta mediante el</w:t>
      </w:r>
      <w:r>
        <w:t xml:space="preserve"> </w:t>
      </w:r>
      <w:r>
        <w:t xml:space="preserve">procedimiento de evaluación y ensayos aprobado conforme a ACI CODE-562-25. La</w:t>
      </w:r>
      <w:r>
        <w:t xml:space="preserve"> </w:t>
      </w:r>
      <w:r>
        <w:t xml:space="preserve">función seccional recibe ese valor y su procedencia; no transforma por sí sola</w:t>
      </w:r>
      <w:r>
        <w:t xml:space="preserve"> </w:t>
      </w:r>
      <w:r>
        <w:t xml:space="preserve">resultados de testigos en una resistencia de diseño.</w:t>
      </w:r>
    </w:p>
    <w:bookmarkEnd w:id="134"/>
    <w:bookmarkStart w:id="135" w:name="secuencia-de-comprobación"/>
    <w:p>
      <w:pPr>
        <w:pStyle w:val="Heading2"/>
      </w:pPr>
      <w:r>
        <w:t xml:space="preserve">Secuencia de comprobación</w:t>
      </w:r>
    </w:p>
    <w:p>
      <w:pPr>
        <w:pStyle w:val="ListNumber"/>
      </w:pPr>
      <w:r>
        <w:t xml:space="preserve">definir la geometría, las propiedades y la rama resistente de la sección;</w:t>
      </w:r>
    </w:p>
    <w:p>
      <w:pPr>
        <w:pStyle w:val="ListNumber"/>
      </w:pPr>
      <w:r>
        <w:t xml:space="preserve">calcular su centroide y su rigidez circunferencial, incluyendo los</w:t>
      </w:r>
      <w:r>
        <w:t xml:space="preserve"> </w:t>
      </w:r>
      <w:r>
        <w:t xml:space="preserve">componentes de la sección compuesta cuando corresponda;</w:t>
      </w:r>
    </w:p>
    <w:p>
      <w:pPr>
        <w:pStyle w:val="ListNumber"/>
      </w:pPr>
      <w:r>
        <w:t xml:space="preserve">formar cada combinación de acciones sobre el estado tensional del relleno;</w:t>
      </w:r>
    </w:p>
    <w:p>
      <w:pPr>
        <w:pStyle w:val="ListNumber"/>
      </w:pPr>
      <w:r>
        <w:t xml:space="preserve">resolver Schwartz–Einstein para deslizamiento libre y sin deslizamiento,</w:t>
      </w:r>
      <w:r>
        <w:t xml:space="preserve"> </w:t>
      </w:r>
      <w:r>
        <w:t xml:space="preserve">con el radio y las rigideces de la alternativa;</w:t>
      </w:r>
    </w:p>
    <w:p>
      <w:pPr>
        <w:pStyle w:val="ListNumber"/>
      </w:pPr>
      <w:r>
        <w:t xml:space="preserve">transformar las resultantes concurrentes en acciones sobre una franja de</w:t>
      </w:r>
      <w:r>
        <w:t xml:space="preserve"> </w:t>
      </w:r>
      <w:r>
        <w:t xml:space="preserve">ancho declarado;</w:t>
      </w:r>
    </w:p>
    <w:p>
      <w:pPr>
        <w:pStyle w:val="ListNumber"/>
      </w:pPr>
      <w:r>
        <w:t xml:space="preserve">aplicar las comprobaciones de resistencia correspondientes a la rama</w:t>
      </w:r>
      <w:r>
        <w:t xml:space="preserve"> </w:t>
      </w:r>
      <w:r>
        <w:t xml:space="preserve">seleccionada; y</w:t>
      </w:r>
    </w:p>
    <w:p>
      <w:pPr>
        <w:pStyle w:val="ListNumber"/>
      </w:pPr>
      <w:r>
        <w:t xml:space="preserve">informar separadamente resistencia local, estabilidad, servicio,</w:t>
      </w:r>
      <w:r>
        <w:t xml:space="preserve"> </w:t>
      </w:r>
      <w:r>
        <w:t xml:space="preserve">durabilidad, juntas, aberturas y requisitos constructivos.</w:t>
      </w:r>
    </w:p>
    <w:bookmarkEnd w:id="135"/>
    <w:bookmarkStart w:id="136" w:name="alcance-del-procedimiento-vigente"/>
    <w:p>
      <w:pPr>
        <w:pStyle w:val="Heading2"/>
      </w:pPr>
      <w:r>
        <w:t xml:space="preserve">Alcance del procedimiento vigente</w:t>
      </w:r>
    </w:p>
    <w:p>
      <w:pPr>
        <w:pStyle w:val="FirstParagraph"/>
      </w:pPr>
      <w:r>
        <w:t xml:space="preserve">La rama de hormigón simple implementa las comprobaciones locales de tracción,</w:t>
      </w:r>
      <w:r>
        <w:t xml:space="preserve"> </w:t>
      </w:r>
      <w:r>
        <w:t xml:space="preserve">compresión y corte del Capítulo 14 de ACI CODE-318-25 para acciones mayoradas.</w:t>
      </w:r>
      <w:r>
        <w:t xml:space="preserve"> </w:t>
      </w:r>
      <w:r>
        <w:t xml:space="preserve">La resistencia axial requiere una longitud de compresión documentada. La</w:t>
      </w:r>
      <w:r>
        <w:t xml:space="preserve"> </w:t>
      </w:r>
      <w:r>
        <w:t xml:space="preserve">estabilidad global, la categoría sísmica, las juntas, las aberturas, la</w:t>
      </w:r>
      <w:r>
        <w:t xml:space="preserve"> </w:t>
      </w:r>
      <w:r>
        <w:t xml:space="preserve">durabilidad y el servicio conservan controles independientes.</w:t>
      </w:r>
    </w:p>
    <w:p>
      <w:pPr>
        <w:pStyle w:val="BodyText"/>
      </w:pPr>
      <w:r>
        <w:t xml:space="preserve">La selección de esta rama requiere acreditar la clasificación estructural del</w:t>
      </w:r>
      <w:r>
        <w:t xml:space="preserve"> </w:t>
      </w:r>
      <w:r>
        <w:t xml:space="preserve">revestimiento y una de las condiciones de ACI CODE-318-25, 14.1.2. La</w:t>
      </w:r>
      <w:r>
        <w:t xml:space="preserve"> </w:t>
      </w:r>
      <w:r>
        <w:t xml:space="preserve">aplicabilidad exige comprobar que la estructura puede representarse mediante</w:t>
      </w:r>
      <w:r>
        <w:t xml:space="preserve"> </w:t>
      </w:r>
      <w:r>
        <w:t xml:space="preserve">arcos bidimensionales y que dispone del apoyo requerido. Las razones de</w:t>
      </w:r>
      <w:r>
        <w:t xml:space="preserve"> </w:t>
      </w:r>
      <w:r>
        <w:t xml:space="preserve">utilización del Capítulo 14 corresponden a la comprobación seccional; la</w:t>
      </w:r>
      <w:r>
        <w:t xml:space="preserve"> </w:t>
      </w:r>
      <w:r>
        <w:t xml:space="preserve">clasificación y el apoyo conservan verificaciones independientes.</w:t>
      </w:r>
    </w:p>
    <w:p>
      <w:pPr>
        <w:pStyle w:val="BodyText"/>
      </w:pPr>
      <w:r>
        <w:t xml:space="preserve">La rama de hormigón armado implementa el dominio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mediante</w:t>
      </w:r>
      <w:r>
        <w:t xml:space="preserve"> </w:t>
      </w:r>
      <w:r>
        <w:t xml:space="preserve">compatibilidad, equilibrio y factores</w:t>
      </w:r>
      <w:r>
        <w:t xml:space="preserve"> </w:t>
      </w:r>
      <m:oMath>
        <m:r>
          <m:t>ϕ</m:t>
        </m:r>
      </m:oMath>
      <w:r>
        <w:t xml:space="preserve"> </w:t>
      </w:r>
      <w:r>
        <w:t xml:space="preserve">de ACI CODE-318-25. La cuantía</w:t>
      </w:r>
      <w:r>
        <w:t xml:space="preserve"> </w:t>
      </w:r>
      <w:r>
        <w:t xml:space="preserve">mínima total por dirección se comprueba separadamente mediante ACI 318.2-14,</w:t>
      </w:r>
      <w:r>
        <w:t xml:space="preserve"> </w:t>
      </w:r>
      <w:r>
        <w:t xml:space="preserve">6.1.3; la distribución simétrica entre caras es una configuración del estudio,</w:t>
      </w:r>
      <w:r>
        <w:t xml:space="preserve"> </w:t>
      </w:r>
      <w:r>
        <w:t xml:space="preserve">no una armadura adoptada. La sección compuesta emplea el mismo equilibrio</w:t>
      </w:r>
      <w:r>
        <w:t xml:space="preserve"> </w:t>
      </w:r>
      <w:r>
        <w:t xml:space="preserve">seccional con la chapa como capa exterior de acero y recalcula sus demandas.</w:t>
      </w:r>
      <w:r>
        <w:t xml:space="preserve"> </w:t>
      </w:r>
      <w:r>
        <w:t xml:space="preserve">Las demás comprobaciones de una cáscara delgada se establecen con el articulado</w:t>
      </w:r>
      <w:r>
        <w:t xml:space="preserve"> </w:t>
      </w:r>
      <w:r>
        <w:t xml:space="preserve">aplicable de ACI CODE-318.2-25.</w:t>
      </w:r>
    </w:p>
    <w:bookmarkEnd w:id="136"/>
    <w:bookmarkEnd w:id="137"/>
    <w:bookmarkStart w:id="162" w:name="X40cb2c6d2902b7cdc3d9f43be2f5671866ea43f"/>
    <w:p>
      <w:pPr>
        <w:pStyle w:val="Heading1"/>
      </w:pPr>
      <w:r>
        <w:t xml:space="preserve">Comprobación resistente de la sección de hormigón proyectado</w:t>
      </w:r>
    </w:p>
    <w:bookmarkStart w:id="140" w:name="acciones-sobre-una-franja-longitudinal"/>
    <w:p>
      <w:pPr>
        <w:pStyle w:val="Heading2"/>
      </w:pPr>
      <w:r>
        <w:t xml:space="preserve">Acciones sobre una franja longitudinal</w:t>
      </w:r>
    </w:p>
    <w:p>
      <w:pPr>
        <w:pStyle w:val="FirstParagraph"/>
      </w:pPr>
      <w:r>
        <w:t xml:space="preserve">Para cada condición de interfaz, combinación y posición angular se reciben las</w:t>
      </w:r>
      <w:r>
        <w:t xml:space="preserve"> </w:t>
      </w:r>
      <w:r>
        <w:t xml:space="preserve">resultantes concurrentes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, expresadas por</w:t>
      </w:r>
      <w:r>
        <w:t xml:space="preserve"> </w:t>
      </w:r>
      <w:r>
        <w:t xml:space="preserve">unidad de longitud del eje. Se adopta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tracción y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cuando tracciona la cara interior. Para una franja de ancho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las acciones resistentes son</w:t>
      </w:r>
    </w:p>
    <w:p>
      <w:pPr>
        <w:pStyle w:val="BodyText"/>
      </w:pPr>
      <w:bookmarkStart w:id="138" w:name="eq-shotcrete-strip-resultants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138"/>
    </w:p>
    <w:p>
      <w:pPr>
        <w:pStyle w:val="FirstParagraph"/>
      </w:pPr>
      <w:r>
        <w:t xml:space="preserve">donde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corresponde a compresión. Si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se expresa en kN/m,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en kN·m/m 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en m:</w:t>
      </w:r>
    </w:p>
    <w:p>
      <w:pPr>
        <w:pStyle w:val="BodyText"/>
      </w:pPr>
      <w:bookmarkStart w:id="139" w:name="eq-shotcrete-unit-conversion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 </m:t>
          </m:r>
          <m:r>
            <m:rPr>
              <m:sty m:val="p"/>
            </m:rPr>
            <m:t>m</m:t>
          </m:r>
          <m:r>
            <m:rPr>
              <m:sty m:val="p"/>
            </m:rPr>
            <m:t>m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|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V</m:t>
              </m:r>
            </m:e>
            <m:sub>
              <m:r>
                <m:t>u</m:t>
              </m:r>
            </m:sub>
          </m:sSub>
          <m:r>
            <m:rPr>
              <m:sty m:val="p"/>
            </m:rPr>
            <m:t>[</m:t>
          </m:r>
          <m:r>
            <m:rPr>
              <m:sty m:val="p"/>
            </m:rPr>
            <m:t>N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p>
            <m:e>
              <m:r>
                <m:t>10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|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|</m:t>
          </m:r>
          <m:r>
            <m:t>b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139"/>
    </w:p>
    <w:p>
      <w:pPr>
        <w:pStyle w:val="FirstParagraph"/>
      </w:pPr>
      <w:r>
        <w:t xml:space="preserve">El cálculo resistente no aplica factores adicionales. La combinación, la</w:t>
      </w:r>
      <w:r>
        <w:t xml:space="preserve"> </w:t>
      </w:r>
      <w:r>
        <w:t xml:space="preserve">etapa, la condición factorizada, la interfaz y el ángulo forman parte de cada</w:t>
      </w:r>
      <w:r>
        <w:t xml:space="preserve"> </w:t>
      </w:r>
      <w:r>
        <w:t xml:space="preserve">registro de demanda.</w:t>
      </w:r>
    </w:p>
    <w:p>
      <w:pPr>
        <w:pStyle w:val="BodyText"/>
      </w:pPr>
      <w:r>
        <w:t xml:space="preserve">En las combinaciones resistentes de esta aplicación, la acción vertical</w:t>
      </w:r>
      <w:r>
        <w:t xml:space="preserve"> </w:t>
      </w:r>
      <w:r>
        <w:t xml:space="preserve">permanente comprende el relleno y la sobrecarga de lodo; la acción horizontal</w:t>
      </w:r>
      <w:r>
        <w:t xml:space="preserve"> </w:t>
      </w:r>
      <w:r>
        <w:t xml:space="preserve">es el empuje lateral asociado al mismo estado del relleno. La envolvente</w:t>
      </w:r>
      <w:r>
        <w:t xml:space="preserve"> </w:t>
      </w:r>
      <w:r>
        <w:t xml:space="preserve">EV–EH adopta los pares de factores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Γ</m:t>
            </m:r>
          </m:e>
          <m:sub>
            <m:r>
              <m:t>E</m:t>
            </m:r>
            <m:r>
              <m:t>V</m:t>
            </m:r>
          </m:sub>
        </m:sSub>
        <m:r>
          <m:rPr>
            <m:sty m:val="p"/>
          </m:rPr>
          <m:t>,</m:t>
        </m:r>
        <m:sSub>
          <m:e>
            <m:r>
              <m:rPr>
                <m:sty m:val="p"/>
              </m:rPr>
              <m:t>Γ</m:t>
            </m:r>
          </m:e>
          <m:sub>
            <m:r>
              <m:t>E</m:t>
            </m:r>
            <m:r>
              <m:t>H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1.30</m:t>
        </m:r>
        <m:r>
          <m:rPr>
            <m:sty m:val="p"/>
          </m:rPr>
          <m:t>,</m:t>
        </m:r>
        <m:r>
          <m:t>1.35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1.30</m:t>
        </m:r>
        <m:r>
          <m:rPr>
            <m:sty m:val="p"/>
          </m:rPr>
          <m:t>,</m:t>
        </m:r>
        <m:r>
          <m:t>0.90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0.90</m:t>
        </m:r>
        <m:r>
          <m:rPr>
            <m:sty m:val="p"/>
          </m:rPr>
          <m:t>,</m:t>
        </m:r>
        <m:r>
          <m:t>1.35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rPr>
            <m:sty m:val="p"/>
          </m:rPr>
          <m:t>(</m:t>
        </m:r>
        <m:r>
          <m:t>0.90</m:t>
        </m:r>
        <m:r>
          <m:rPr>
            <m:sty m:val="p"/>
          </m:rPr>
          <m:t>,</m:t>
        </m:r>
        <m:r>
          <m:t>0.90</m:t>
        </m:r>
        <m:r>
          <m:rPr>
            <m:sty m:val="p"/>
          </m:rPr>
          <m:t>)</m:t>
        </m:r>
      </m:oMath>
      <w:r>
        <w:t xml:space="preserve"> </w:t>
      </w:r>
      <w:r>
        <w:t xml:space="preserve">de la base</w:t>
      </w:r>
      <w:r>
        <w:t xml:space="preserve"> </w:t>
      </w:r>
      <w:r>
        <w:t xml:space="preserve">AASHTO/CIRSOC utilizada para estructuras enterradas rígidas. Los factores se</w:t>
      </w:r>
      <w:r>
        <w:t xml:space="preserve"> </w:t>
      </w:r>
      <w:r>
        <w:t xml:space="preserve">aplican a las componentes vertical y horizontal del estado libre antes de</w:t>
      </w:r>
      <w:r>
        <w:t xml:space="preserve"> </w:t>
      </w:r>
      <w:r>
        <w:t xml:space="preserve">recalcular la interacción, no a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o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ya</w:t>
      </w:r>
      <w:r>
        <w:t xml:space="preserve"> </w:t>
      </w:r>
      <w:r>
        <w:t xml:space="preserve">calculados.</w:t>
      </w:r>
    </w:p>
    <w:bookmarkEnd w:id="140"/>
    <w:bookmarkStart w:id="143" w:name="hormigón-simple-propiedades-de-la-franja"/>
    <w:p>
      <w:pPr>
        <w:pStyle w:val="Heading2"/>
      </w:pPr>
      <w:r>
        <w:t xml:space="preserve">Hormigón simple: propiedades de la franja</w:t>
      </w:r>
    </w:p>
    <w:p>
      <w:pPr>
        <w:pStyle w:val="FirstParagraph"/>
      </w:pPr>
      <w:r>
        <w:t xml:space="preserve">Sea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el espesor especificado. En esta aplicación, el shotcrete se coloca</w:t>
      </w:r>
      <w:r>
        <w:t xml:space="preserve"> </w:t>
      </w:r>
      <w:r>
        <w:t xml:space="preserve">sobre la cara interior del liner existente y se utiliza el espesor completo:</w:t>
      </w:r>
    </w:p>
    <w:p>
      <w:pPr>
        <w:pStyle w:val="BodyText"/>
      </w:pPr>
      <w:bookmarkStart w:id="141" w:name="eq-shotcrete-design-thickness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141"/>
    </w:p>
    <w:p>
      <w:pPr>
        <w:pStyle w:val="FirstParagraph"/>
      </w:pPr>
      <w:r>
        <w:t xml:space="preserve">No se descuenta espesor por contacto con el terreno.</w:t>
      </w:r>
    </w:p>
    <w:p>
      <w:pPr>
        <w:pStyle w:val="BodyText"/>
      </w:pPr>
      <w:r>
        <w:t xml:space="preserve">Para una franja rectangular:</w:t>
      </w:r>
    </w:p>
    <w:p>
      <w:pPr>
        <w:pStyle w:val="BodyText"/>
      </w:pPr>
      <w:bookmarkStart w:id="142" w:name="eq-shotcrete-plain-properties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=</m:t>
          </m:r>
          <m:r>
            <m:t>b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Sup>
                <m:e>
                  <m:r>
                    <m:t>h</m:t>
                  </m:r>
                </m:e>
                <m:sub>
                  <m:r>
                    <m:t>d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6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142"/>
    </w:p>
    <w:p>
      <w:pPr>
        <w:pStyle w:val="FirstParagraph"/>
      </w:pPr>
      <w:r>
        <w:t xml:space="preserve">Las expresiones siguientes usan</w:t>
      </w:r>
      <w:r>
        <w:t xml:space="preserve"> </w:t>
      </w:r>
      <m:oMath>
        <m:sSubSup>
          <m:e>
            <m:r>
              <m:t>f</m:t>
            </m:r>
          </m:e>
          <m:sub>
            <m:r>
              <m:t>c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en MPa,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h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en mm,</w:t>
      </w:r>
      <w:r>
        <w:t xml:space="preserve"> </w:t>
      </w:r>
      <m:oMath>
        <m:sSub>
          <m:e>
            <m:r>
              <m:t>P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V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en N y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en N·mm. Para el Capítulo 14, el factor de reducción es</w:t>
      </w:r>
      <w:r>
        <w:t xml:space="preserve"> </w:t>
      </w:r>
      <m:oMath>
        <m:r>
          <m:t>ϕ</m:t>
        </m:r>
        <m:r>
          <m:rPr>
            <m:sty m:val="p"/>
          </m:rPr>
          <m:t>=</m:t>
        </m:r>
        <m:r>
          <m:t>0.60</m:t>
        </m:r>
      </m:oMath>
      <w:r>
        <w:t xml:space="preserve">.</w:t>
      </w:r>
    </w:p>
    <w:bookmarkEnd w:id="143"/>
    <w:bookmarkStart w:id="146" w:name="tracción-en-la-cara-extrema"/>
    <w:p>
      <w:pPr>
        <w:pStyle w:val="Heading2"/>
      </w:pPr>
      <w:r>
        <w:t xml:space="preserve">Tracción en la cara extrema</w:t>
      </w:r>
    </w:p>
    <w:p>
      <w:pPr>
        <w:pStyle w:val="FirstParagraph"/>
      </w:pPr>
      <w:r>
        <w:t xml:space="preserve">La tensión de tracción producida por flexocompresión se evalúa como</w:t>
      </w:r>
    </w:p>
    <w:p>
      <w:pPr>
        <w:pStyle w:val="BodyText"/>
      </w:pPr>
      <w:bookmarkStart w:id="144" w:name="eq-shotcrete-plain-tension-demand"/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max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b>
                    <m:e>
                      <m:r>
                        <m:t>M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sSub>
                    <m:e>
                      <m:r>
                        <m:t>S</m:t>
                      </m:r>
                    </m:e>
                    <m:sub>
                      <m:r>
                        <m:t>m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P</m:t>
                      </m:r>
                    </m:e>
                    <m:sub>
                      <m:r>
                        <m:t>u</m:t>
                      </m:r>
                    </m:sub>
                  </m:sSub>
                </m:num>
                <m:den>
                  <m:sSub>
                    <m:e>
                      <m:r>
                        <m:t>A</m:t>
                      </m:r>
                    </m:e>
                    <m:sub>
                      <m:r>
                        <m:t>g</m:t>
                      </m:r>
                    </m:sub>
                  </m:sSub>
                </m:den>
              </m:f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144"/>
    </w:p>
    <w:p>
      <w:pPr>
        <w:pStyle w:val="FirstParagraph"/>
      </w:pPr>
      <w:r>
        <w:t xml:space="preserve">La resistencia de cálculo y la utilización son</w:t>
      </w:r>
    </w:p>
    <w:p>
      <w:pPr>
        <w:pStyle w:val="BodyText"/>
      </w:pPr>
      <w:bookmarkStart w:id="145" w:name="eq-shotcrete-plain-tension-check"/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t</m:t>
              </m:r>
              <m:r>
                <m:rPr>
                  <m:sty m:val="p"/>
                </m:rPr>
                <m:t>,</m:t>
              </m:r>
              <m:r>
                <m:t>d</m:t>
              </m:r>
            </m:sub>
          </m:sSub>
          <m:r>
            <m:rPr>
              <m:sty m:val="p"/>
            </m:rPr>
            <m:t>=</m:t>
          </m:r>
          <m:r>
            <m:t>ϕ</m:t>
          </m:r>
          <m:r>
            <m:t> </m:t>
          </m:r>
          <m:r>
            <m:t>0.42</m:t>
          </m:r>
          <m:r>
            <m:t>λ</m:t>
          </m:r>
          <m:rad>
            <m:radPr>
              <m:degHide m:val="on"/>
            </m:radPr>
            <m:deg/>
            <m:e>
              <m:sSubSup>
                <m:e>
                  <m:r>
                    <m:t>f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f</m:t>
                  </m:r>
                </m:e>
                <m:sub>
                  <m:r>
                    <m:t>t</m:t>
                  </m:r>
                </m:sub>
              </m:sSub>
            </m:num>
            <m:den>
              <m:sSub>
                <m:e>
                  <m:r>
                    <m:t>f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145"/>
    </w:p>
    <w:p>
      <w:pPr>
        <w:pStyle w:val="FirstParagraph"/>
      </w:pPr>
      <w:r>
        <w:t xml:space="preserve">conforme a ACI CODE-318-25, Tabla 14.5.4.1(a)</w:t>
      </w:r>
      <w:r>
        <w:t xml:space="preserve"> </w:t>
      </w:r>
      <w:r>
        <w:t xml:space="preserve">(</w:t>
      </w:r>
      <w:hyperlink w:anchor="ref-ACI31825">
        <w:r>
          <w:rPr>
            <w:rStyle w:val="Hyperlink"/>
          </w:rPr>
          <w:t xml:space="preserve">ACI Committee 318 2025b</w:t>
        </w:r>
      </w:hyperlink>
      <w:r>
        <w:t xml:space="preserve">)</w:t>
      </w:r>
      <w:r>
        <w:t xml:space="preserve">. Esta comprobación</w:t>
      </w:r>
      <w:r>
        <w:t xml:space="preserve"> </w:t>
      </w:r>
      <w:r>
        <w:t xml:space="preserve">se aplica a estados con compresión axial; los estados con tracción axial</w:t>
      </w:r>
      <w:r>
        <w:t xml:space="preserve"> </w:t>
      </w:r>
      <w:r>
        <w:t xml:space="preserve">requieren una disposición resistente diferente.</w:t>
      </w:r>
    </w:p>
    <w:bookmarkEnd w:id="146"/>
    <w:bookmarkStart w:id="150" w:name="compresión-combinada-con-flexión"/>
    <w:p>
      <w:pPr>
        <w:pStyle w:val="Heading2"/>
      </w:pPr>
      <w:r>
        <w:t xml:space="preserve">Compresión combinada con flexión</w:t>
      </w:r>
    </w:p>
    <w:p>
      <w:pPr>
        <w:pStyle w:val="FirstParagraph"/>
      </w:pPr>
      <w:r>
        <w:t xml:space="preserve">La resistencia nominal a flexión para la cara comprimida es</w:t>
      </w:r>
    </w:p>
    <w:p>
      <w:pPr>
        <w:pStyle w:val="BodyText"/>
      </w:pPr>
      <w:bookmarkStart w:id="147" w:name="eq-shotcrete-plain-compression-moment"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  <m:r>
                <m:rPr>
                  <m:sty m:val="p"/>
                </m:rPr>
                <m:t>,</m:t>
              </m:r>
              <m:r>
                <m:t>c</m:t>
              </m:r>
            </m:sub>
          </m:sSub>
          <m:r>
            <m:rPr>
              <m:sty m:val="p"/>
            </m:rPr>
            <m:t>=</m:t>
          </m:r>
          <m:r>
            <m:t>0.85</m:t>
          </m:r>
          <m:sSubSup>
            <m:e>
              <m:r>
                <m:t>f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t>S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147"/>
    </w:p>
    <w:p>
      <w:pPr>
        <w:pStyle w:val="FirstParagraph"/>
      </w:pPr>
      <w:r>
        <w:t xml:space="preserve">Cuando se conoce la longitud de compresión</w:t>
      </w:r>
      <w:r>
        <w:t xml:space="preserve"> </w:t>
      </w:r>
      <m:oMath>
        <m:sSub>
          <m:e>
            <m:r>
              <m:t>ℓ</m:t>
            </m:r>
          </m:e>
          <m:sub>
            <m:r>
              <m:t>c</m:t>
            </m:r>
          </m:sub>
        </m:sSub>
      </m:oMath>
      <w:r>
        <w:t xml:space="preserve">, la resistencia axial</w:t>
      </w:r>
      <w:r>
        <w:t xml:space="preserve"> </w:t>
      </w:r>
      <w:r>
        <w:t xml:space="preserve">nominal se calcula mediante</w:t>
      </w:r>
    </w:p>
    <w:p>
      <w:pPr>
        <w:pStyle w:val="BodyText"/>
      </w:pPr>
      <w:bookmarkStart w:id="148" w:name="eq-shotcrete-plain-axial-capacity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0.60</m:t>
          </m:r>
          <m:sSubSup>
            <m:e>
              <m:r>
                <m:t>f</m:t>
              </m:r>
            </m:e>
            <m:sub>
              <m:r>
                <m:t>c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sSub>
            <m:e>
              <m:r>
                <m:t>A</m:t>
              </m:r>
            </m:e>
            <m:sub>
              <m:r>
                <m:t>g</m:t>
              </m:r>
            </m:sub>
          </m:sSub>
          <m:d>
            <m:dPr>
              <m:begChr m:val="["/>
              <m:sepChr m:val=""/>
              <m:endChr m:val="]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ℓ</m:t>
                              </m:r>
                            </m:e>
                            <m:sub>
                              <m:r>
                                <m:t>c</m:t>
                              </m:r>
                            </m:sub>
                          </m:sSub>
                        </m:num>
                        <m:den>
                          <m:r>
                            <m:t>32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d</m:t>
                              </m:r>
                            </m:sub>
                          </m:sSub>
                        </m:den>
                      </m:f>
                    </m:e>
                  </m:d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148"/>
    </w:p>
    <w:p>
      <w:pPr>
        <w:pStyle w:val="FirstParagraph"/>
      </w:pPr>
      <w:r>
        <w:t xml:space="preserve">y se exige</w:t>
      </w:r>
    </w:p>
    <w:p>
      <w:pPr>
        <w:pStyle w:val="BodyText"/>
      </w:pPr>
      <w:bookmarkStart w:id="149" w:name="eq-shotcrete-plain-compression-check"/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M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ϕ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</m:sub>
              </m:sSub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ϕ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67</m:t>
          </m:r>
          <m:r>
            <m:rPr>
              <m:sty m:val="p"/>
            </m:rPr>
            <m:t>)</m:t>
          </m:r>
        </m:oMath>
      </m:oMathPara>
      <w:bookmarkEnd w:id="149"/>
    </w:p>
    <w:p>
      <w:pPr>
        <w:pStyle w:val="FirstParagraph"/>
      </w:pPr>
      <w:r>
        <w:t xml:space="preserve">Estas expresiones corresponden a ACI CODE-318-25, Ecuación 14.5.3.1 y Tabla</w:t>
      </w:r>
      <w:r>
        <w:t xml:space="preserve"> </w:t>
      </w:r>
      <w:r>
        <w:t xml:space="preserve">14.5.4.1(b)</w:t>
      </w:r>
      <w:r>
        <w:t xml:space="preserve"> </w:t>
      </w:r>
      <w:r>
        <w:t xml:space="preserve">(</w:t>
      </w:r>
      <w:hyperlink w:anchor="ref-ACI31825">
        <w:r>
          <w:rPr>
            <w:rStyle w:val="Hyperlink"/>
          </w:rPr>
          <w:t xml:space="preserve">ACI Committee 318 2025b</w:t>
        </w:r>
      </w:hyperlink>
      <w:r>
        <w:t xml:space="preserve">)</w:t>
      </w:r>
      <w:r>
        <w:t xml:space="preserve">. Si</w:t>
      </w:r>
      <w:r>
        <w:t xml:space="preserve"> </w:t>
      </w:r>
      <m:oMath>
        <m:sSub>
          <m:e>
            <m:r>
              <m:t>ℓ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no está documentada, la comprobación de</w:t>
      </w:r>
      <w:r>
        <w:t xml:space="preserve"> </w:t>
      </w:r>
      <w:r>
        <w:t xml:space="preserve">la cara comprimida queda indeterminada; no se adopta</w:t>
      </w:r>
      <w:r>
        <w:t xml:space="preserve"> </w:t>
      </w:r>
      <m:oMath>
        <m:sSub>
          <m:e>
            <m:r>
              <m:t>ℓ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0"/>
    <w:bookmarkStart w:id="152" w:name="corte-unidireccional"/>
    <w:p>
      <w:pPr>
        <w:pStyle w:val="Heading2"/>
      </w:pPr>
      <w:r>
        <w:t xml:space="preserve">Corte unidireccional</w:t>
      </w:r>
    </w:p>
    <w:p>
      <w:pPr>
        <w:pStyle w:val="FirstParagraph"/>
      </w:pPr>
      <w:r>
        <w:t xml:space="preserve">La resistencia nominal y la utilización a corte son</w:t>
      </w:r>
    </w:p>
    <w:p>
      <w:pPr>
        <w:pStyle w:val="BodyText"/>
      </w:pPr>
      <w:bookmarkStart w:id="151" w:name="eq-shotcrete-plain-shear-check"/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r>
            <m:t>0.11</m:t>
          </m:r>
          <m:r>
            <m:t>λ</m:t>
          </m:r>
          <m:rad>
            <m:radPr>
              <m:degHide m:val="on"/>
            </m:radPr>
            <m:deg/>
            <m:e>
              <m:sSubSup>
                <m:e>
                  <m:r>
                    <m:t>f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rad>
          <m:r>
            <m:t> </m:t>
          </m:r>
          <m:r>
            <m:t>b</m:t>
          </m:r>
          <m:sSub>
            <m:e>
              <m:r>
                <m:t>h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v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num>
            <m:den>
              <m:r>
                <m:t>ϕ</m:t>
              </m:r>
              <m:sSub>
                <m:e>
                  <m:r>
                    <m:t>V</m:t>
                  </m:r>
                </m:e>
                <m:sub>
                  <m:r>
                    <m:t>n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68</m:t>
          </m:r>
          <m:r>
            <m:rPr>
              <m:sty m:val="p"/>
            </m:rPr>
            <m:t>)</m:t>
          </m:r>
        </m:oMath>
      </m:oMathPara>
      <w:bookmarkEnd w:id="151"/>
    </w:p>
    <w:p>
      <w:pPr>
        <w:pStyle w:val="FirstParagraph"/>
      </w:pPr>
      <w:r>
        <w:t xml:space="preserve">conforme a ACI CODE-318-25, Tabla 14.5.5.1(a)</w:t>
      </w:r>
      <w:r>
        <w:t xml:space="preserve"> </w:t>
      </w:r>
      <w:r>
        <w:t xml:space="preserve">(</w:t>
      </w:r>
      <w:hyperlink w:anchor="ref-ACI31825">
        <w:r>
          <w:rPr>
            <w:rStyle w:val="Hyperlink"/>
          </w:rPr>
          <w:t xml:space="preserve">ACI Committee 318 2025b</w:t>
        </w:r>
      </w:hyperlink>
      <w:r>
        <w:t xml:space="preserve">)</w:t>
      </w:r>
      <w:r>
        <w:t xml:space="preserve">. El signo de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se conserva en los resultados para identificar el sentido de la</w:t>
      </w:r>
      <w:r>
        <w:t xml:space="preserve"> </w:t>
      </w:r>
      <w:r>
        <w:t xml:space="preserve">acción, aunque la comprobación utiliza su valor absoluto.</w:t>
      </w:r>
    </w:p>
    <w:bookmarkEnd w:id="152"/>
    <w:bookmarkStart w:id="153" w:name="Xa4fabc52ea609362c96eba2bfff6acbe9e7b027"/>
    <w:p>
      <w:pPr>
        <w:pStyle w:val="Heading2"/>
      </w:pPr>
      <w:r>
        <w:t xml:space="preserve">Concurrencia de acciones y comprobaciones complementarias</w:t>
      </w:r>
    </w:p>
    <w:p>
      <w:pPr>
        <w:pStyle w:val="FirstParagraph"/>
      </w:pPr>
      <w:r>
        <w:t xml:space="preserve">Para cada proyección y combinación, el estado resistente está gobernado por el</w:t>
      </w:r>
      <w:r>
        <w:t xml:space="preserve"> </w:t>
      </w:r>
      <w:r>
        <w:t xml:space="preserve">mayor valor calculado entre</w:t>
      </w:r>
      <w:r>
        <w:t xml:space="preserve"> </w:t>
      </w:r>
      <m:oMath>
        <m:sSub>
          <m:e>
            <m:r>
              <m:t>U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U</m:t>
            </m:r>
          </m:e>
          <m:sub>
            <m:r>
              <m:t>v</m:t>
            </m:r>
          </m:sub>
        </m:sSub>
      </m:oMath>
      <w:r>
        <w:t xml:space="preserve">. La conclusión se obtiene de</w:t>
      </w:r>
      <w:r>
        <w:t xml:space="preserve"> </w:t>
      </w:r>
      <w:r>
        <w:t xml:space="preserve">filas concurrentes; no se combinan el máximo de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 el máximo de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 el máximo de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ubicados en posiciones diferentes.</w:t>
      </w:r>
    </w:p>
    <w:p>
      <w:pPr>
        <w:pStyle w:val="BodyText"/>
      </w:pPr>
      <w:r>
        <w:t xml:space="preserve">El cumplimiento integral requiere además confirmar que la tipología admite la</w:t>
      </w:r>
      <w:r>
        <w:t xml:space="preserve"> </w:t>
      </w:r>
      <w:r>
        <w:t xml:space="preserve">rama de hormigón simple, que la categoría sísmica es compatible y que las</w:t>
      </w:r>
      <w:r>
        <w:t xml:space="preserve"> </w:t>
      </w:r>
      <w:r>
        <w:t xml:space="preserve">juntas y aberturas satisfacen las disposiciones aplicables. La estabilidad</w:t>
      </w:r>
      <w:r>
        <w:t xml:space="preserve"> </w:t>
      </w:r>
      <w:r>
        <w:t xml:space="preserve">global, la durabilidad y el servicio se informan como comprobaciones distintas.</w:t>
      </w:r>
      <w:r>
        <w:t xml:space="preserve"> </w:t>
      </w:r>
      <w:r>
        <w:t xml:space="preserve">Una utilización superior a la unidad gobierna la comprobación seccional. Las</w:t>
      </w:r>
      <w:r>
        <w:t xml:space="preserve"> </w:t>
      </w:r>
      <w:r>
        <w:t xml:space="preserve">condiciones de tipología, estabilidad, durabilidad y servicio conservan sus</w:t>
      </w:r>
      <w:r>
        <w:t xml:space="preserve"> </w:t>
      </w:r>
      <w:r>
        <w:t xml:space="preserve">propios criterios de aceptación.</w:t>
      </w:r>
    </w:p>
    <w:bookmarkEnd w:id="153"/>
    <w:bookmarkStart w:id="159" w:name="hormigón-armado"/>
    <w:p>
      <w:pPr>
        <w:pStyle w:val="Heading2"/>
      </w:pPr>
      <w:r>
        <w:t xml:space="preserve">Hormigón armado</w:t>
      </w:r>
    </w:p>
    <w:p>
      <w:pPr>
        <w:pStyle w:val="FirstParagraph"/>
      </w:pPr>
      <w:r>
        <w:t xml:space="preserve">Para una sección armada se adopta una distribución plana de deformaciones</w:t>
      </w:r>
    </w:p>
    <w:p>
      <w:pPr>
        <w:pStyle w:val="BodyText"/>
      </w:pPr>
      <w:bookmarkStart w:id="154" w:name="eq-shotcrete-strain-field"/>
      <m:oMathPara>
        <m:oMathParaPr>
          <m:jc m:val="center"/>
        </m:oMathParaPr>
        <m:oMath>
          <m:r>
            <m:t>ε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ε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r>
            <m:t>κ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69</m:t>
          </m:r>
          <m:r>
            <m:rPr>
              <m:sty m:val="p"/>
            </m:rPr>
            <m:t>)</m:t>
          </m:r>
        </m:oMath>
      </m:oMathPara>
      <w:bookmarkEnd w:id="154"/>
    </w:p>
    <w:p>
      <w:pPr>
        <w:pStyle w:val="FirstParagraph"/>
      </w:pPr>
      <w:r>
        <w:t xml:space="preserve">y las resultantes nominales se obtienen por compatibilidad y equilibrio: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ε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d</m:t>
          </m:r>
          <m:r>
            <m:t>A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[</m:t>
          </m:r>
          <m:r>
            <m:t>ε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155" w:name="eq-shotcrete-reinforced-equilibrium"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sSub>
                <m:e>
                  <m:r>
                    <m:t>A</m:t>
                  </m:r>
                </m:e>
                <m:sub>
                  <m:r>
                    <m:t>c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σ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rPr>
              <m:sty m:val="p"/>
            </m:rPr>
            <m:t>[</m:t>
          </m:r>
          <m:r>
            <m:t>ε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A</m:t>
          </m:r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s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</m:e>
          </m:nary>
          <m:sSub>
            <m:e>
              <m:r>
                <m:t>σ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[</m:t>
          </m:r>
          <m:r>
            <m:t>ε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]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y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70</m:t>
          </m:r>
          <m:r>
            <m:rPr>
              <m:sty m:val="p"/>
            </m:rPr>
            <m:t>)</m:t>
          </m:r>
        </m:oMath>
      </m:oMathPara>
      <w:bookmarkEnd w:id="155"/>
    </w:p>
    <w:p>
      <w:pPr>
        <w:pStyle w:val="FirstParagraph"/>
      </w:pPr>
      <w:r>
        <w:t xml:space="preserve">Estas ecuaciones definen el núcleo mecánico; los límites de deformación, los</w:t>
      </w:r>
      <w:r>
        <w:t xml:space="preserve"> </w:t>
      </w:r>
      <w:r>
        <w:t xml:space="preserve">factores de reducción y el equilibrio local se toman de ACI CODE-318-25,</w:t>
      </w:r>
      <w:r>
        <w:t xml:space="preserve"> </w:t>
      </w:r>
      <w:r>
        <w:t xml:space="preserve">Tabla 21.2.2 y artículos 21.2.2.3, 22.2.1 y 22.2.2</w:t>
      </w:r>
      <w:r>
        <w:t xml:space="preserve"> </w:t>
      </w:r>
      <w:r>
        <w:t xml:space="preserve">(</w:t>
      </w:r>
      <w:hyperlink w:anchor="ref-ACI31825">
        <w:r>
          <w:rPr>
            <w:rStyle w:val="Hyperlink"/>
          </w:rPr>
          <w:t xml:space="preserve">ACI Committee 318 2025b</w:t>
        </w:r>
      </w:hyperlink>
      <w:r>
        <w:t xml:space="preserve">)</w:t>
      </w:r>
      <w:r>
        <w:t xml:space="preserve">. La</w:t>
      </w:r>
      <w:r>
        <w:t xml:space="preserve"> </w:t>
      </w:r>
      <w:r>
        <w:t xml:space="preserve">comprobación de hormigón armado no reutiliza las ecuaciones del Capítulo 14</w:t>
      </w:r>
      <w:r>
        <w:t xml:space="preserve"> </w:t>
      </w:r>
      <w:r>
        <w:t xml:space="preserve">para hormigón simple.</w:t>
      </w:r>
    </w:p>
    <w:p>
      <w:pPr>
        <w:pStyle w:val="BodyText"/>
      </w:pPr>
      <w:r>
        <w:t xml:space="preserve">Para acero Grade 60, la cuantía mínima total de una cáscara en cada dirección</w:t>
      </w:r>
      <w:r>
        <w:t xml:space="preserve"> </w:t>
      </w:r>
      <w:r>
        <w:t xml:space="preserve">se expresa, conforme a ACI 318.2-14, 6.1.3, como</w:t>
      </w:r>
    </w:p>
    <w:p>
      <w:pPr>
        <w:pStyle w:val="BodyText"/>
      </w:pPr>
      <w:bookmarkStart w:id="156" w:name="eq-shotcrete-reinforced-minimum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min</m:t>
              </m:r>
            </m:sub>
          </m:sSub>
          <m:r>
            <m:rPr>
              <m:sty m:val="p"/>
            </m:rPr>
            <m:t>=</m:t>
          </m:r>
          <m:r>
            <m:t>0.0018</m:t>
          </m:r>
          <m:r>
            <m:t> </m:t>
          </m:r>
          <m:r>
            <m:t>b</m:t>
          </m:r>
          <m:r>
            <m:t> </m:t>
          </m:r>
          <m: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71</m:t>
          </m:r>
          <m:r>
            <m:rPr>
              <m:sty m:val="p"/>
            </m:rPr>
            <m:t>)</m:t>
          </m:r>
        </m:oMath>
      </m:oMathPara>
      <w:bookmarkEnd w:id="156"/>
    </w:p>
    <w:p>
      <w:pPr>
        <w:pStyle w:val="FirstParagraph"/>
      </w:pPr>
      <w:r>
        <w:t xml:space="preserve">ACI 318.2-14, 6.1.9, exige considerar ambas superficies cuando el análisis</w:t>
      </w:r>
      <w:r>
        <w:t xml:space="preserve"> </w:t>
      </w:r>
      <w:r>
        <w:t xml:space="preserve">demanda armadura sólo en una cara</w:t>
      </w:r>
      <w:r>
        <w:t xml:space="preserve"> </w:t>
      </w:r>
      <w:r>
        <w:t xml:space="preserve">(</w:t>
      </w:r>
      <w:hyperlink w:anchor="ref-ACI318214">
        <w:r>
          <w:rPr>
            <w:rStyle w:val="Hyperlink"/>
          </w:rPr>
          <w:t xml:space="preserve">ACI Committee 318 2014</w:t>
        </w:r>
      </w:hyperlink>
      <w:r>
        <w:t xml:space="preserve">)</w:t>
      </w:r>
      <w:r>
        <w:t xml:space="preserve">. Una distribución igual entre</w:t>
      </w:r>
      <w:r>
        <w:t xml:space="preserve"> </w:t>
      </w:r>
      <w:r>
        <w:t xml:space="preserve">caras puede adoptarse para construir un primer dominio simétrico, pero no</w:t>
      </w:r>
      <w:r>
        <w:t xml:space="preserve"> </w:t>
      </w:r>
      <w:r>
        <w:t xml:space="preserve">reemplaza la definición del detalle, del recubrimiento ni de la separación.</w:t>
      </w:r>
      <w:r>
        <w:t xml:space="preserve"> </w:t>
      </w:r>
      <w:r>
        <w:t xml:space="preserve">La comprobación de cuantía mínima se informa separadamente del dominio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 </w:t>
      </w:r>
      <w:r>
        <w:t xml:space="preserve">y no determina qué curva satisface la demanda.</w:t>
      </w:r>
    </w:p>
    <w:p>
      <w:pPr>
        <w:pStyle w:val="BodyText"/>
      </w:pPr>
      <w:r>
        <w:t xml:space="preserve">Cuando se especifica una misma malla en ambas caras y direcciones, el área de</w:t>
      </w:r>
      <w:r>
        <w:t xml:space="preserve"> </w:t>
      </w:r>
      <w:r>
        <w:t xml:space="preserve">acero por cara y por dirección se obtiene directamente de su diámetro</w:t>
      </w:r>
      <w:r>
        <w:t xml:space="preserve"> </w:t>
      </w:r>
      <m:oMath>
        <m:sSub>
          <m:e>
            <m:r>
              <m:t>ϕ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y separación</w:t>
      </w:r>
      <w:r>
        <w:t xml:space="preserve"> </w:t>
      </w:r>
      <m:oMath>
        <m:sSub>
          <m:e>
            <m:r>
              <m:t>s</m:t>
            </m:r>
          </m:e>
          <m:sub>
            <m:r>
              <m:t>b</m:t>
            </m:r>
          </m:sub>
        </m:sSub>
      </m:oMath>
      <w:r>
        <w:t xml:space="preserve">:</w:t>
      </w:r>
    </w:p>
    <w:p>
      <w:pPr>
        <w:pStyle w:val="BodyText"/>
      </w:pPr>
      <w:bookmarkStart w:id="157" w:name="eq-shotcrete-reinforced-mesh-area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s</m:t>
              </m:r>
              <m:r>
                <m:rPr>
                  <m:sty m:val="p"/>
                </m:rPr>
                <m:t>,</m:t>
              </m:r>
              <m:r>
                <m:t>f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  <m:sSubSup>
                <m:e>
                  <m:r>
                    <m:t>ϕ</m:t>
                  </m:r>
                </m:e>
                <m:sub>
                  <m:r>
                    <m:t>b</m:t>
                  </m:r>
                </m:sub>
                <m:sup>
                  <m:r>
                    <m:t>2</m:t>
                  </m:r>
                </m:sup>
              </m:sSubSup>
            </m:num>
            <m:den>
              <m:r>
                <m:t>4</m:t>
              </m:r>
            </m:den>
          </m:f>
          <m:f>
            <m:fPr>
              <m:type m:val="bar"/>
            </m:fPr>
            <m:num>
              <m:r>
                <m:t>1000</m:t>
              </m:r>
            </m:num>
            <m:den>
              <m:sSub>
                <m:e>
                  <m:r>
                    <m:t>s</m:t>
                  </m:r>
                </m:e>
                <m:sub>
                  <m:r>
                    <m:t>b</m:t>
                  </m:r>
                </m:sub>
              </m:sSub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72</m:t>
          </m:r>
          <m:r>
            <m:rPr>
              <m:sty m:val="p"/>
            </m:rPr>
            <m:t>)</m:t>
          </m:r>
        </m:oMath>
      </m:oMathPara>
      <w:bookmarkEnd w:id="157"/>
    </w:p>
    <w:p>
      <w:pPr>
        <w:pStyle w:val="FirstParagraph"/>
      </w:pPr>
      <w:r>
        <w:t xml:space="preserve">Si</w:t>
      </w:r>
      <w:r>
        <w:t xml:space="preserve"> </w:t>
      </w:r>
      <m:oMath>
        <m:sSub>
          <m:e>
            <m:r>
              <m:t>r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es la relación entre el recubrimiento libre y el espesor de la</w:t>
      </w:r>
      <w:r>
        <w:t xml:space="preserve"> </w:t>
      </w:r>
      <w:r>
        <w:t xml:space="preserve">sección, la distancia desde el plano medio hasta el centroide de cada capa es</w:t>
      </w:r>
    </w:p>
    <w:p>
      <w:pPr>
        <w:pStyle w:val="BodyText"/>
      </w:pPr>
      <w:bookmarkStart w:id="158" w:name="eq-shotcrete-reinforced-layer-coordinate"/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h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c</m:t>
              </m:r>
            </m:sub>
          </m:sSub>
          <m:r>
            <m:t>h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ϕ</m:t>
                  </m:r>
                </m:e>
                <m:sub>
                  <m:r>
                    <m:t>b</m:t>
                  </m:r>
                </m:sub>
              </m:sSub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73</m:t>
          </m:r>
          <m:r>
            <m:rPr>
              <m:sty m:val="p"/>
            </m:rPr>
            <m:t>)</m:t>
          </m:r>
        </m:oMath>
      </m:oMathPara>
      <w:bookmarkEnd w:id="158"/>
    </w:p>
    <w:p>
      <w:pPr>
        <w:pStyle w:val="FirstParagraph"/>
      </w:pPr>
      <w:r>
        <w:t xml:space="preserve">Las capas circunferenciales, ubicadas 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s</m:t>
            </m:r>
          </m:sub>
        </m:sSub>
      </m:oMath>
      <w:r>
        <w:t xml:space="preserve">, intervienen en el</w:t>
      </w:r>
      <w:r>
        <w:t xml:space="preserve"> </w:t>
      </w:r>
      <w:r>
        <w:t xml:space="preserve">equilibrio local</w:t>
      </w:r>
      <w:r>
        <w:t xml:space="preserve"> </w:t>
      </w:r>
      <m:oMath>
        <m:r>
          <m:t>P</m:t>
        </m:r>
      </m:oMath>
      <w:r>
        <w:t xml:space="preserve">–</w:t>
      </w:r>
      <m:oMath>
        <m:r>
          <m:t>M</m:t>
        </m:r>
      </m:oMath>
      <w:r>
        <w:t xml:space="preserve">. La malla ortogonal se materializa con la misma área</w:t>
      </w:r>
      <w:r>
        <w:t xml:space="preserve"> </w:t>
      </w:r>
      <w:r>
        <w:t xml:space="preserve">para comprobar la cuantía mínima por dirección, pero no se incorpora como una</w:t>
      </w:r>
      <w:r>
        <w:t xml:space="preserve"> </w:t>
      </w:r>
      <w:r>
        <w:t xml:space="preserve">resistencia longitudinal ficticia en el problema plano. Esta parametrización</w:t>
      </w:r>
      <w:r>
        <w:t xml:space="preserve"> </w:t>
      </w:r>
      <w:r>
        <w:t xml:space="preserve">no constituye una comprobación de fisuración, desarrollo, empalmes ni</w:t>
      </w:r>
      <w:r>
        <w:t xml:space="preserve"> </w:t>
      </w:r>
      <w:r>
        <w:t xml:space="preserve">separación reglamentaria.</w:t>
      </w:r>
    </w:p>
    <w:bookmarkEnd w:id="159"/>
    <w:bookmarkStart w:id="161" w:name="sección-compuesta-con-la-chapa-existente"/>
    <w:p>
      <w:pPr>
        <w:pStyle w:val="Heading2"/>
      </w:pPr>
      <w:r>
        <w:t xml:space="preserve">Sección compuesta con la chapa existente</w:t>
      </w:r>
    </w:p>
    <w:p>
      <w:pPr>
        <w:pStyle w:val="FirstParagraph"/>
      </w:pPr>
      <w:r>
        <w:t xml:space="preserve">La sección compuesta incorpora el hormigón, una malla circunferencial interior</w:t>
      </w:r>
      <w:r>
        <w:t xml:space="preserve"> </w:t>
      </w:r>
      <w:r>
        <w:t xml:space="preserve">y la chapa corrugada existente como capa exterior de acero. Se adopta</w:t>
      </w:r>
      <w:r>
        <w:t xml:space="preserve"> </w:t>
      </w:r>
      <w:r>
        <w:t xml:space="preserve">compatibilidad total de deformaciones entre los componentes. El centroide</w:t>
      </w:r>
      <w:r>
        <w:t xml:space="preserve"> </w:t>
      </w:r>
      <w:r>
        <w:t xml:space="preserve">elástico, la rigidez extensional y la rigidez flexional se calculan con las</w:t>
      </w:r>
      <w:r>
        <w:t xml:space="preserve"> </w:t>
      </w:r>
      <w:r>
        <w:t xml:space="preserve">áreas, módulos y posiciones de las tres partes; las acciones se obtienen</w:t>
      </w:r>
      <w:r>
        <w:t xml:space="preserve"> </w:t>
      </w:r>
      <w:r>
        <w:t xml:space="preserve">nuevamente con esas rigideces.</w:t>
      </w:r>
    </w:p>
    <w:p>
      <w:pPr>
        <w:pStyle w:val="BodyText"/>
      </w:pPr>
      <w:r>
        <w:t xml:space="preserve">El dominio resistente emplea las mismas ecuaciones de compatibilidad y</w:t>
      </w:r>
      <w:r>
        <w:t xml:space="preserve"> </w:t>
      </w:r>
      <w:r>
        <w:t xml:space="preserve">equilibrio, incluyendo la contribución de la chapa en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n</m:t>
            </m:r>
          </m:sub>
        </m:sSub>
      </m:oMath>
      <w:r>
        <w:t xml:space="preserve">. La malla</w:t>
      </w:r>
      <w:r>
        <w:t xml:space="preserve"> </w:t>
      </w:r>
      <w:r>
        <w:t xml:space="preserve">interior y la chapa exterior forman una sección asimétrica y, por lo tanto, el</w:t>
      </w:r>
      <w:r>
        <w:t xml:space="preserve"> </w:t>
      </w:r>
      <w:r>
        <w:t xml:space="preserve">dominio no es simétrico respecto de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 La condición corresponde a acción</w:t>
      </w:r>
      <w:r>
        <w:t xml:space="preserve"> </w:t>
      </w:r>
      <w:r>
        <w:t xml:space="preserve">compuesta total durante el estado de carga analizado y requiere continuidad de</w:t>
      </w:r>
      <w:r>
        <w:t xml:space="preserve"> </w:t>
      </w:r>
      <w:r>
        <w:t xml:space="preserve">la transferencia de corte entre chapa y hormigón.</w:t>
      </w:r>
    </w:p>
    <w:p>
      <w:pPr>
        <w:pStyle w:val="BodyText"/>
      </w:pPr>
      <w:r>
        <w:t xml:space="preserve">El dominio de diseño se obtiene multiplicando cada estado nominal por su</w:t>
      </w:r>
      <w:r>
        <w:t xml:space="preserve"> </w:t>
      </w:r>
      <w:r>
        <w:t xml:space="preserve">factor</w:t>
      </w:r>
      <w:r>
        <w:t xml:space="preserve"> </w:t>
      </w:r>
      <m:oMath>
        <m:r>
          <m:t>ϕ</m:t>
        </m:r>
      </m:oMath>
      <w:r>
        <w:t xml:space="preserve">. Para una demanda concurrente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u</m:t>
            </m:r>
          </m:sub>
        </m:sSub>
        <m:r>
          <m:rPr>
            <m:sty m:val="p"/>
          </m:rPr>
          <m:t>,</m:t>
        </m:r>
        <m:sSub>
          <m:e>
            <m:r>
              <m:t>M</m:t>
            </m:r>
          </m:e>
          <m:sub>
            <m:r>
              <m:t>u</m:t>
            </m:r>
          </m:sub>
        </m:sSub>
        <m:r>
          <m:rPr>
            <m:sty m:val="p"/>
          </m:rPr>
          <m:t>)</m:t>
        </m:r>
      </m:oMath>
      <w:r>
        <w:t xml:space="preserve">, sea</w:t>
      </w:r>
      <w:r>
        <w:t xml:space="preserve"> </w:t>
      </w:r>
      <m:oMath>
        <m:sSub>
          <m:e>
            <m:r>
              <m:t>λ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el</w:t>
      </w:r>
      <w:r>
        <w:t xml:space="preserve"> </w:t>
      </w:r>
      <w:r>
        <w:t xml:space="preserve">multiplicador para el cual la semirrecta que parte del origen y pasa por la</w:t>
      </w:r>
      <w:r>
        <w:t xml:space="preserve"> </w:t>
      </w:r>
      <w:r>
        <w:t xml:space="preserve">demanda intersecta el dominio resistente:</w:t>
      </w:r>
    </w:p>
    <w:p>
      <w:pPr>
        <w:pStyle w:val="BodyText"/>
      </w:pPr>
      <w:bookmarkStart w:id="160" w:name="Xb4d68c148df0e603df9fe418e79b82d6ccc716e"/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r>
                <m:t>ϕ</m:t>
              </m:r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ϕ</m:t>
              </m:r>
              <m:sSub>
                <m:e>
                  <m:r>
                    <m:t>M</m:t>
                  </m:r>
                </m:e>
                <m:sub>
                  <m:r>
                    <m:t>n</m:t>
                  </m:r>
                </m:sub>
              </m:sSub>
            </m:e>
          </m:d>
          <m:r>
            <m:rPr>
              <m:sty m:val="p"/>
            </m:rPr>
            <m:t>=</m:t>
          </m:r>
          <m:sSub>
            <m:e>
              <m:r>
                <m:t>λ</m:t>
              </m:r>
            </m:e>
            <m:sub>
              <m:r>
                <m:rPr>
                  <m:sty m:val="p"/>
                </m:rPr>
                <m:t>*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u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t>U</m:t>
              </m:r>
            </m:e>
            <m:sub>
              <m:r>
                <m:t>N</m:t>
              </m:r>
              <m:r>
                <m:t>M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λ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</m:den>
          </m:f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74</m:t>
          </m:r>
          <m:r>
            <m:rPr>
              <m:sty m:val="p"/>
            </m:rPr>
            <m:t>)</m:t>
          </m:r>
        </m:oMath>
      </m:oMathPara>
      <w:bookmarkEnd w:id="160"/>
    </w:p>
    <w:p>
      <w:pPr>
        <w:pStyle w:val="FirstParagraph"/>
      </w:pPr>
      <w:r>
        <w:t xml:space="preserve">La sección satisface la comprobación local cuando</w:t>
      </w:r>
      <w:r>
        <w:t xml:space="preserve"> </w:t>
      </w:r>
      <m:oMath>
        <m:sSub>
          <m:e>
            <m:r>
              <m:t>U</m:t>
            </m:r>
          </m:e>
          <m:sub>
            <m:r>
              <m:t>N</m:t>
            </m:r>
            <m:r>
              <m:t>M</m:t>
            </m:r>
          </m:sub>
        </m:sSub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para todas las</w:t>
      </w:r>
      <w:r>
        <w:t xml:space="preserve"> </w:t>
      </w:r>
      <w:r>
        <w:t xml:space="preserve">filas concurrentes de posición, combinación y proyección. Los signos positivo y</w:t>
      </w:r>
      <w:r>
        <w:t xml:space="preserve"> </w:t>
      </w:r>
      <w:r>
        <w:t xml:space="preserve">negativo de</w:t>
      </w:r>
      <w:r>
        <w:t xml:space="preserve"> </w:t>
      </w:r>
      <m:oMath>
        <m:sSub>
          <m:e>
            <m:r>
              <m:t>M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se conservan para comprobar, respectivamente, las dos caras.</w:t>
      </w:r>
      <w:r>
        <w:t xml:space="preserve"> </w:t>
      </w:r>
      <w:r>
        <w:t xml:space="preserve">El corte, la acción longitudinal, la estabilidad y el detallado permanecen</w:t>
      </w:r>
      <w:r>
        <w:t xml:space="preserve"> </w:t>
      </w:r>
      <w:r>
        <w:t xml:space="preserve">comprobaciones independientes de este dominio local.</w:t>
      </w:r>
    </w:p>
    <w:bookmarkEnd w:id="161"/>
    <w:bookmarkEnd w:id="162"/>
    <w:bookmarkStart w:id="186" w:name="Xade35a0a4bdc93e2c94895777952695d2040510"/>
    <w:p>
      <w:pPr>
        <w:pStyle w:val="Heading1"/>
      </w:pPr>
      <w:r>
        <w:t xml:space="preserve">Comparación y verificación con soluciones publicadas</w:t>
      </w:r>
    </w:p>
    <w:p>
      <w:pPr>
        <w:pStyle w:val="FirstParagraph"/>
      </w:pPr>
      <w:r>
        <w:t xml:space="preserve">Los casos siguientes contrastan la formulación analítica y los resultados</w:t>
      </w:r>
      <w:r>
        <w:t xml:space="preserve"> </w:t>
      </w:r>
      <w:r>
        <w:t xml:space="preserve">numéricos con soluciones publicadas. Su alcance es matemático. La calibración del estado de cargas del</w:t>
      </w:r>
      <w:r>
        <w:t xml:space="preserve"> </w:t>
      </w:r>
      <w:r>
        <w:t xml:space="preserve">revestimiento existente requiere ensayos o mediciones representativos de su</w:t>
      </w:r>
      <w:r>
        <w:t xml:space="preserve"> </w:t>
      </w:r>
      <w:r>
        <w:t xml:space="preserve">geometría, relleno y secuencia constructiva.</w:t>
      </w:r>
    </w:p>
    <w:bookmarkStart w:id="166" w:name="carga-radial-uniforme-por-sectores"/>
    <w:p>
      <w:pPr>
        <w:pStyle w:val="Heading2"/>
      </w:pPr>
      <w:r>
        <w:t xml:space="preserve">Carga radial uniforme por sectores</w:t>
      </w:r>
    </w:p>
    <w:p>
      <w:pPr>
        <w:pStyle w:val="FirstParagraph"/>
      </w:pPr>
      <w:r>
        <w:t xml:space="preserve">Baker estudia dos cargas radiales diametralmente opuestas y uniformes dentro</w:t>
      </w:r>
      <w:r>
        <w:t xml:space="preserve"> </w:t>
      </w:r>
      <w:r>
        <w:t xml:space="preserve">de sectores de semiángulo</w:t>
      </w:r>
      <w:r>
        <w:t xml:space="preserve"> </w:t>
      </w:r>
      <m:oMath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60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Para una resultante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por</w:t>
      </w:r>
      <w:r>
        <w:t xml:space="preserve"> </w:t>
      </w:r>
      <w:r>
        <w:t xml:space="preserve">sector y un ancho axial</w:t>
      </w:r>
      <w:r>
        <w:t xml:space="preserve"> </w:t>
      </w:r>
      <m:oMath>
        <m:r>
          <m:t>b</m:t>
        </m:r>
      </m:oMath>
      <w:r>
        <w:t xml:space="preserve">, las tablas XIII y XIV presentan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tablas XIII–XIV, pp. 50–51)</w:t>
      </w:r>
    </w:p>
    <w:p>
      <w:pPr>
        <w:pStyle w:val="BodyText"/>
      </w:pPr>
      <w:bookmarkStart w:id="163" w:name="eq-baker-normalization"/>
      <m:oMathPara>
        <m:oMathParaPr>
          <m:jc m:val="center"/>
        </m:oMathParaPr>
        <m:oMath>
          <m:bar>
            <m:barPr>
              <m:pos m:val="top"/>
            </m:barPr>
            <m:e>
              <m:r>
                <m:t>N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P</m:t>
              </m:r>
            </m:den>
          </m:f>
          <m:r>
            <m:rPr>
              <m:sty m:val="p"/>
            </m:rPr>
            <m:t>,</m:t>
          </m:r>
          <m:r>
            <m:t>  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b</m:t>
              </m:r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</m:num>
            <m:den>
              <m:r>
                <m:t>R</m:t>
              </m:r>
              <m:r>
                <m:t>P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75</m:t>
          </m:r>
          <m:r>
            <m:rPr>
              <m:sty m:val="p"/>
            </m:rPr>
            <m:t>)</m:t>
          </m:r>
        </m:oMath>
      </m:oMathPara>
      <w:bookmarkEnd w:id="163"/>
    </w:p>
    <w:p>
      <w:pPr>
        <w:pStyle w:val="FirstParagraph"/>
      </w:pPr>
      <w:r>
        <w:t xml:space="preserve">La integración directa de la carga radial reproduce los ocho pares de valores</w:t>
      </w:r>
      <w:r>
        <w:t xml:space="preserve"> </w:t>
      </w:r>
      <w:r>
        <w:t xml:space="preserve">tabulados. Las diferencias absolutas máximas son</w:t>
      </w:r>
    </w:p>
    <w:p>
      <w:pPr>
        <w:pStyle w:val="BodyText"/>
      </w:pPr>
      <w:bookmarkStart w:id="164" w:name="eq-baker-errors"/>
      <m:oMathPara>
        <m:oMathParaPr>
          <m:jc m:val="center"/>
        </m:oMathParaPr>
        <m:oMath>
          <m:r>
            <m:rPr>
              <m:sty m:val="p"/>
            </m:rPr>
            <m:t>max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bar>
            <m:barPr>
              <m:pos m:val="top"/>
            </m:barPr>
            <m:e>
              <m:r>
                <m:t>N</m:t>
              </m:r>
            </m:e>
          </m:ba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4.97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max</m:t>
          </m:r>
          <m:r>
            <m:rPr>
              <m:sty m:val="p"/>
            </m:rPr>
            <m:t>|</m:t>
          </m:r>
          <m:r>
            <m:rPr>
              <m:sty m:val="p"/>
            </m:rPr>
            <m:t>Δ</m:t>
          </m:r>
          <m:bar>
            <m:barPr>
              <m:pos m:val="top"/>
            </m:barPr>
            <m:e>
              <m:r>
                <m:t>M</m:t>
              </m:r>
            </m:e>
          </m:bar>
          <m:r>
            <m:rPr>
              <m:sty m:val="p"/>
            </m:rPr>
            <m:t>|</m:t>
          </m:r>
          <m:r>
            <m:rPr>
              <m:sty m:val="p"/>
            </m:rPr>
            <m:t>=</m:t>
          </m:r>
          <m:r>
            <m:t>4.23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rPr>
                  <m:sty m:val="p"/>
                </m:rPr>
                <m:t>−</m:t>
              </m:r>
              <m:r>
                <m:t>4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76</m:t>
          </m:r>
          <m:r>
            <m:rPr>
              <m:sty m:val="p"/>
            </m:rPr>
            <m:t>)</m:t>
          </m:r>
        </m:oMath>
      </m:oMathPara>
      <w:bookmarkEnd w:id="164"/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5" w:name="tbl-baker-check"/>
          <w:p>
            <w:pPr>
              <w:jc w:val="left"/>
              <w:pStyle w:val="ImageCaption"/>
            </w:pPr>
            <w:r>
              <w:t xml:space="preserve">Tabla 4: Reproducción de las tablas XIII y XIV de Baker</w:t>
            </w:r>
            <w:r>
              <w:t xml:space="preserve"> </w:t>
            </w:r>
            <w:r>
              <w:t xml:space="preserve">(</w:t>
            </w:r>
            <w:hyperlink w:anchor="ref-Baker1968">
              <w:r>
                <w:rPr>
                  <w:rStyle w:val="Hyperlink"/>
                </w:rPr>
                <w:t xml:space="preserve">Baker 1968, 50-51</w:t>
              </w:r>
            </w:hyperlink>
            <w:r>
              <w:t xml:space="preserve">)</w:t>
            </w:r>
            <w:r>
              <w:t xml:space="preserve">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Semiángulo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θ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N</m:t>
                        </m:r>
                      </m:e>
                    </m:bar>
                  </m:oMath>
                  <w:r>
                    <w:t xml:space="preserve"> </w:t>
                  </w:r>
                  <w:r>
                    <w:t xml:space="preserve">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N</m:t>
                        </m:r>
                      </m:e>
                    </m:bar>
                  </m:oMath>
                  <w:r>
                    <w:t xml:space="preserve"> </w:t>
                  </w:r>
                  <w:r>
                    <w:t xml:space="preserve">calculado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M</m:t>
                        </m:r>
                      </m:e>
                    </m:bar>
                  </m:oMath>
                  <w:r>
                    <w:t xml:space="preserve"> </w:t>
                  </w:r>
                  <w:r>
                    <w:t xml:space="preserve">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bar>
                      <m:barPr>
                        <m:pos m:val="top"/>
                      </m:barPr>
                      <m:e>
                        <m:r>
                          <m:t>M</m:t>
                        </m:r>
                      </m:e>
                    </m:bar>
                  </m:oMath>
                  <w:r>
                    <w:t xml:space="preserve"> </w:t>
                  </w:r>
                  <w:r>
                    <w:t xml:space="preserve">calculado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0.128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0.127936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0.190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0.190374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0.239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0.238732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0.080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0.079577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0.413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0.413497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0.095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0.095187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90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0.477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0.477465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0.159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0.159155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0.239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0.238732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0.080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0.079577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30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0.271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0.270716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0.048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0.047593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0.358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0.358099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0.040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0.039789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60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p>
                      <m:e>
                        <m:r>
                          <m:t>90</m:t>
                        </m:r>
                      </m:e>
                      <m:sup>
                        <m:r>
                          <m:rPr>
                            <m:sty m:val="p"/>
                          </m:rPr>
                          <m:t>∘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0.413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0.413497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0.095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r>
                      <m:t>0.095187</m:t>
                    </m:r>
                  </m:oMath>
                </w:p>
              </w:tc>
            </w:tr>
          </w:tbl>
          <w:bookmarkEnd w:id="165"/>
          <w:p/>
        </w:tc>
      </w:tr>
    </w:tbl>
    <w:p>
      <w:pPr>
        <w:pStyle w:val="BodyText"/>
      </w:pPr>
      <w:r>
        <w:t xml:space="preserve">Las diferencias máximas son inferiores a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, equivalente a</w:t>
      </w:r>
      <w:r>
        <w:t xml:space="preserve"> </w:t>
      </w:r>
      <w:r>
        <w:t xml:space="preserve">media unidad de la última cifra publicada. El contraste corresponde a una</w:t>
      </w:r>
      <w:r>
        <w:t xml:space="preserve"> </w:t>
      </w:r>
      <w:r>
        <w:t xml:space="preserve">carga radial discontinua. La extensión a componentes tangenciales se comprueba</w:t>
      </w:r>
      <w:r>
        <w:t xml:space="preserve"> </w:t>
      </w:r>
      <w:r>
        <w:t xml:space="preserve">separadamente mediante la</w:t>
      </w:r>
      <w:r>
        <w:t xml:space="preserve"> </w:t>
      </w:r>
      <w:hyperlink w:anchor="eq-modal-algebra">
        <w:r>
          <w:rPr>
            <w:rStyle w:val="Hyperlink"/>
          </w:rPr>
          <w:t xml:space="preserve">ec. 79</w:t>
        </w:r>
      </w:hyperlink>
      <w:r>
        <w:t xml:space="preserve">.</w:t>
      </w:r>
    </w:p>
    <w:bookmarkEnd w:id="166"/>
    <w:bookmarkStart w:id="168" w:name="relación-de-fuerza-normal-de-usace"/>
    <w:p>
      <w:pPr>
        <w:pStyle w:val="Heading2"/>
      </w:pPr>
      <w:r>
        <w:t xml:space="preserve">Relación de fuerza normal de USACE</w:t>
      </w:r>
    </w:p>
    <w:p>
      <w:pPr>
        <w:pStyle w:val="FirstParagraph"/>
      </w:pPr>
      <w:r>
        <w:t xml:space="preserve">El ejemplo D4 de USACE considera un conducto de</w:t>
      </w:r>
      <w:r>
        <w:t xml:space="preserve"> </w:t>
      </w:r>
      <m:oMath>
        <m:r>
          <m:t>36</m:t>
        </m:r>
        <m:r>
          <m:t> </m:t>
        </m:r>
        <m:r>
          <m:rPr>
            <m:sty m:val="p"/>
          </m:rPr>
          <m:t>i</m:t>
        </m:r>
        <m:r>
          <m:rPr>
            <m:sty m:val="p"/>
          </m:rPr>
          <m:t>n</m:t>
        </m:r>
      </m:oMath>
      <w:r>
        <w:t xml:space="preserve"> </w:t>
      </w:r>
      <w:r>
        <w:t xml:space="preserve">de diámetro,</w:t>
      </w:r>
      <w:r>
        <w:t xml:space="preserve"> </w:t>
      </w:r>
      <w:r>
        <w:t xml:space="preserve">una tapada de</w:t>
      </w:r>
      <w:r>
        <w:t xml:space="preserve"> </w:t>
      </w:r>
      <m:oMath>
        <m:r>
          <m:t>30</m:t>
        </m:r>
        <m:r>
          <m:t> </m:t>
        </m:r>
        <m:r>
          <m:rPr>
            <m:sty m:val="p"/>
          </m:rPr>
          <m:t>f</m:t>
        </m:r>
        <m:r>
          <m:rPr>
            <m:sty m:val="p"/>
          </m:rPr>
          <m:t>t</m:t>
        </m:r>
      </m:oMath>
      <w:r>
        <w:t xml:space="preserve"> </w:t>
      </w:r>
      <w:r>
        <w:t xml:space="preserve">y un relleno con peso unitario de</w:t>
      </w:r>
      <w:r>
        <w:t xml:space="preserve"> </w:t>
      </w:r>
      <m:oMath>
        <m:r>
          <m:t>120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b</m:t>
        </m:r>
        <m:r>
          <m:rPr>
            <m:sty m:val="p"/>
          </m:rPr>
          <m:t>/</m:t>
        </m:r>
        <m:r>
          <m:rPr>
            <m:sty m:val="p"/>
          </m:rPr>
          <m:t>f</m:t>
        </m:r>
        <m:sSup>
          <m:e>
            <m:r>
              <m:rPr>
                <m:sty m:val="p"/>
              </m:rPr>
              <m:t>t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 </w:t>
      </w:r>
      <w:r>
        <w:t xml:space="preserve">(</w:t>
      </w:r>
      <w:hyperlink w:anchor="ref-USACE2020">
        <w:r>
          <w:rPr>
            <w:rStyle w:val="Hyperlink"/>
          </w:rPr>
          <w:t xml:space="preserve">U.S. Army Corps of Engineers 2020</w:t>
        </w:r>
      </w:hyperlink>
      <w:r>
        <w:t xml:space="preserve">, ap. D4, pp. 332–333)</w:t>
      </w:r>
      <w:r>
        <w:t xml:space="preserve">. La</w:t>
      </w:r>
      <w:r>
        <w:t xml:space="preserve"> </w:t>
      </w:r>
      <w:hyperlink w:anchor="tbl-usace-check">
        <w:r>
          <w:rPr>
            <w:rStyle w:val="Hyperlink"/>
          </w:rPr>
          <w:t xml:space="preserve">tabla 5</w:t>
        </w:r>
      </w:hyperlink>
      <w:r>
        <w:t xml:space="preserve"> </w:t>
      </w:r>
      <w:r>
        <w:t xml:space="preserve">conserva las unidades de la fuente.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7" w:name="tbl-usace-check"/>
          <w:p>
            <w:pPr>
              <w:jc w:val="left"/>
              <w:pStyle w:val="ImageCaption"/>
            </w:pPr>
            <w:r>
              <w:t xml:space="preserve">Tabla 5: Reproducción del ejemplo D4 de USACE</w:t>
            </w:r>
            <w:r>
              <w:t xml:space="preserve"> </w:t>
            </w:r>
            <w:r>
              <w:t xml:space="preserve">(</w:t>
            </w:r>
            <w:hyperlink w:anchor="ref-USACE2020">
              <w:r>
                <w:rPr>
                  <w:rStyle w:val="Hyperlink"/>
                </w:rPr>
                <w:t xml:space="preserve">U.S. Army Corps of Engineers 2020, 332-33</w:t>
              </w:r>
            </w:hyperlink>
            <w:r>
              <w:t xml:space="preserve">)</w:t>
            </w:r>
            <w:r>
              <w:t xml:space="preserve">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697"/>
              <w:gridCol w:w="2262"/>
              <w:gridCol w:w="2262"/>
              <w:gridCol w:w="16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Valor 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Valor calculado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presión vertical permanente en clave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3600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3600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lb/ft²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 normal sin factores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—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5400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lb/ft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 normal factorizada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10530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10530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lb/ft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demanda con el modificador del apéndice D4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11583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11583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lb/ft</w:t>
                  </w:r>
                </w:p>
              </w:tc>
            </w:tr>
          </w:tbl>
          <w:bookmarkEnd w:id="167"/>
          <w:p/>
        </w:tc>
      </w:tr>
    </w:tbl>
    <w:p>
      <w:pPr>
        <w:pStyle w:val="BodyText"/>
      </w:pPr>
      <w:r>
        <w:t xml:space="preserve">La fuerza de</w:t>
      </w:r>
      <w:r>
        <w:t xml:space="preserve"> </w:t>
      </w:r>
      <m:oMath>
        <m:r>
          <m:t>5400</m:t>
        </m:r>
        <m:r>
          <m:t> </m:t>
        </m:r>
        <m:r>
          <m:rPr>
            <m:sty m:val="p"/>
          </m:rPr>
          <m:t>l</m:t>
        </m:r>
        <m:r>
          <m:rPr>
            <m:sty m:val="p"/>
          </m:rPr>
          <m:t>b</m:t>
        </m:r>
        <m:r>
          <m:rPr>
            <m:sty m:val="p"/>
          </m:rPr>
          <m:t>/</m:t>
        </m:r>
        <m:r>
          <m:rPr>
            <m:sty m:val="p"/>
          </m:rPr>
          <m:t>f</m:t>
        </m:r>
        <m:r>
          <m:rPr>
            <m:sty m:val="p"/>
          </m:rPr>
          <m:t>t</m:t>
        </m:r>
      </m:oMath>
      <w:r>
        <w:t xml:space="preserve"> </w:t>
      </w:r>
      <w:r>
        <w:t xml:space="preserve">se obtiene de la Ec. 4-20 antes de aplicar</w:t>
      </w:r>
      <w:r>
        <w:t xml:space="preserve"> </w:t>
      </w:r>
      <w:r>
        <w:t xml:space="preserve">los factores utilizados en el ejemplo. La Ec. 4-21 define el modificador</w:t>
      </w:r>
      <w:r>
        <w:t xml:space="preserve"> </w:t>
      </w:r>
      <w:r>
        <w:t xml:space="preserve">combinado de carga</w:t>
      </w:r>
      <w:r>
        <w:t xml:space="preserve"> </w:t>
      </w:r>
      <m:oMath>
        <m:sSub>
          <m:e>
            <m:r>
              <m:t>η</m:t>
            </m:r>
          </m:e>
          <m:sub>
            <m:r>
              <m:t>c</m:t>
            </m:r>
            <m:r>
              <m:t>m</m:t>
            </m:r>
            <m:r>
              <m:t>p</m:t>
            </m:r>
          </m:sub>
        </m:sSub>
        <m:r>
          <m:rPr>
            <m:sty m:val="p"/>
          </m:rPr>
          <m:t>=</m:t>
        </m:r>
        <m:sSub>
          <m:e>
            <m:r>
              <m:t>η</m:t>
            </m:r>
          </m:e>
          <m:sub>
            <m:r>
              <m:t>D</m:t>
            </m:r>
          </m:sub>
        </m:sSub>
        <m:sSub>
          <m:e>
            <m:r>
              <m:t>η</m:t>
            </m:r>
          </m:e>
          <m:sub>
            <m:r>
              <m:t>R</m:t>
            </m:r>
          </m:sub>
        </m:sSub>
        <m:sSub>
          <m:e>
            <m:r>
              <m:t>η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por ductilidad, redundancia e</w:t>
      </w:r>
      <w:r>
        <w:t xml:space="preserve"> </w:t>
      </w:r>
      <w:r>
        <w:t xml:space="preserve">importancia operacional y adopta</w:t>
      </w:r>
      <w:r>
        <w:t xml:space="preserve"> </w:t>
      </w:r>
      <m:oMath>
        <m:r>
          <m:t>1.05</m:t>
        </m:r>
      </m:oMath>
      <w:r>
        <w:t xml:space="preserve"> </w:t>
      </w:r>
      <w:r>
        <w:t xml:space="preserve">para tuberías metálicas corrugadas;</w:t>
      </w:r>
      <w:r>
        <w:t xml:space="preserve"> </w:t>
      </w:r>
      <w:r>
        <w:t xml:space="preserve">D4 emplea</w:t>
      </w:r>
      <w:r>
        <w:t xml:space="preserve"> </w:t>
      </w:r>
      <m:oMath>
        <m:r>
          <m:t>1.10</m:t>
        </m:r>
      </m:oMath>
      <w:r>
        <w:t xml:space="preserve">. El valor</w:t>
      </w:r>
      <w:r>
        <w:t xml:space="preserve"> </w:t>
      </w:r>
      <m:oMath>
        <m:r>
          <m:t>1.10</m:t>
        </m:r>
      </m:oMath>
      <w:r>
        <w:t xml:space="preserve"> </w:t>
      </w:r>
      <w:r>
        <w:t xml:space="preserve">se utiliza exclusivamente para reproducir D4.</w:t>
      </w:r>
      <w:r>
        <w:t xml:space="preserve"> </w:t>
      </w:r>
      <w:r>
        <w:t xml:space="preserve">El modificador aplicable al revestimiento analizado es un dato de diseño que</w:t>
      </w:r>
      <w:r>
        <w:t xml:space="preserve"> </w:t>
      </w:r>
      <w:r>
        <w:t xml:space="preserve">deberá establecer la norma gobernante.</w:t>
      </w:r>
    </w:p>
    <w:bookmarkEnd w:id="168"/>
    <w:bookmarkStart w:id="169" w:name="presión-de-compactación-en-los-hastiales"/>
    <w:p>
      <w:pPr>
        <w:pStyle w:val="Heading2"/>
      </w:pPr>
      <w:r>
        <w:t xml:space="preserve">Presión de compactación en los hastiales</w:t>
      </w:r>
    </w:p>
    <w:p>
      <w:pPr>
        <w:pStyle w:val="FirstParagraph"/>
      </w:pPr>
      <w:r>
        <w:t xml:space="preserve">La</w:t>
      </w:r>
      <w:r>
        <w:t xml:space="preserve"> </w:t>
      </w:r>
      <w:hyperlink w:anchor="eq-fhwa-compaction">
        <w:r>
          <w:rPr>
            <w:rStyle w:val="Hyperlink"/>
          </w:rPr>
          <w:t xml:space="preserve">ec. 23</w:t>
        </w:r>
      </w:hyperlink>
      <w:r>
        <w:t xml:space="preserve"> </w:t>
      </w:r>
      <w:r>
        <w:t xml:space="preserve">se evaluó para las nueve combinaciones de equipo,</w:t>
      </w:r>
      <w:r>
        <w:t xml:space="preserve"> </w:t>
      </w:r>
      <w:r>
        <w:t xml:space="preserve">material y diámetro de la tabla 5.5 de FHWA-RD-98-191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</w:t>
        </w:r>
      </w:hyperlink>
      <w:r>
        <w:t xml:space="preserve">, ec. 5.1 y tabla 5.5, pp. 176–178)</w:t>
      </w:r>
      <w:r>
        <w:t xml:space="preserve">. En ocho filas, el valor</w:t>
      </w:r>
      <w:r>
        <w:t xml:space="preserve"> </w:t>
      </w:r>
      <w:r>
        <w:t xml:space="preserve">calculado coincide con el tabulado al redondear a</w:t>
      </w:r>
      <w:r>
        <w:t xml:space="preserve"> </w:t>
      </w:r>
      <m:oMath>
        <m:r>
          <m:t>0.1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. En la</w:t>
      </w:r>
      <w:r>
        <w:t xml:space="preserve"> </w:t>
      </w:r>
      <w:r>
        <w:t xml:space="preserve">última fila, la tabla imprime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28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 </w:t>
      </w:r>
      <w:r>
        <w:t xml:space="preserve">para piedra y un diámetro</w:t>
      </w:r>
      <w:r>
        <w:t xml:space="preserve"> </w:t>
      </w:r>
      <w:r>
        <w:t xml:space="preserve">nominal de</w:t>
      </w:r>
      <w:r>
        <w:t xml:space="preserve"> </w:t>
      </w:r>
      <m:oMath>
        <m:r>
          <m:t>1500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 La figura 5.4 asocia ese diámetro nominal con</w:t>
      </w:r>
      <w:r>
        <w:t xml:space="preserve"> </w:t>
      </w:r>
      <m:oMath>
        <m:sSub>
          <m:e>
            <m:r>
              <m:t>d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r>
          <m:t>1575</m:t>
        </m:r>
        <m:r>
          <m:t> </m:t>
        </m:r>
        <m:r>
          <m:rPr>
            <m:sty m:val="p"/>
          </m:rPr>
          <m:t>m</m:t>
        </m:r>
        <m:r>
          <m:rPr>
            <m:sty m:val="p"/>
          </m:rPr>
          <m:t>m</m:t>
        </m:r>
      </m:oMath>
      <w:r>
        <w:t xml:space="preserve">. Esos datos producen</w:t>
      </w:r>
      <w:r>
        <w:t xml:space="preserve"> </w:t>
      </w:r>
      <m:oMath>
        <m:r>
          <m:t>0.42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, mientras</w:t>
      </w:r>
      <w:r>
        <w:t xml:space="preserve"> </w:t>
      </w:r>
      <w:r>
        <w:t xml:space="preserve">que el valor tabulado es</w:t>
      </w:r>
      <w:r>
        <w:t xml:space="preserve"> </w:t>
      </w:r>
      <m:oMath>
        <m:r>
          <m:t>0.2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. El ángulo</w:t>
      </w:r>
      <w:r>
        <w:t xml:space="preserve"> </w:t>
      </w:r>
      <m:oMath>
        <m:sSup>
          <m:e>
            <m:r>
              <m:t>ϕ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sSup>
          <m:e>
            <m:r>
              <m:t>36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, utilizado para la piedra en las demás filas, produce</w:t>
      </w:r>
      <w:r>
        <w:t xml:space="preserve"> </w:t>
      </w:r>
      <m:oMath>
        <m:r>
          <m:t>0.195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 </w:t>
      </w:r>
      <w:r>
        <w:t xml:space="preserve">y redondea a</w:t>
      </w:r>
      <w:r>
        <w:t xml:space="preserve"> </w:t>
      </w:r>
      <m:oMath>
        <m:r>
          <m:t>0.2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P</m:t>
        </m:r>
        <m:r>
          <m:rPr>
            <m:sty m:val="p"/>
          </m:rPr>
          <m:t>a</m:t>
        </m:r>
      </m:oMath>
      <w:r>
        <w:t xml:space="preserve">. La fila se conserva</w:t>
      </w:r>
      <w:r>
        <w:t xml:space="preserve"> </w:t>
      </w:r>
      <w:r>
        <w:t xml:space="preserve">como discrepancia de la fuente y se excluye de cualquier calibración.</w:t>
      </w:r>
    </w:p>
    <w:p>
      <w:pPr>
        <w:pStyle w:val="BodyText"/>
      </w:pPr>
      <w:r>
        <w:t xml:space="preserve">La figura 5.4 de la misma referencia define la dirección horizontal de las</w:t>
      </w:r>
      <w:r>
        <w:t xml:space="preserve"> </w:t>
      </w:r>
      <w:r>
        <w:t xml:space="preserve">fuerzas nodales aplicadas en ambos hastiales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1999, fig. 5.4</w:t>
        </w:r>
      </w:hyperlink>
      <w:r>
        <w:t xml:space="preserve">, pp. 175–176)</w:t>
      </w:r>
      <w:r>
        <w:t xml:space="preserve">. Las</w:t>
      </w:r>
      <w:r>
        <w:t xml:space="preserve"> </w:t>
      </w:r>
      <w:hyperlink w:anchor="eq-fhwa-band">
        <w:r>
          <w:rPr>
            <w:rStyle w:val="Hyperlink"/>
          </w:rPr>
          <w:t xml:space="preserve">ec. 24</w:t>
        </w:r>
      </w:hyperlink>
      <w:r>
        <w:t xml:space="preserve"> </w:t>
      </w:r>
      <w:r>
        <w:t xml:space="preserve">y</w:t>
      </w:r>
      <w:r>
        <w:t xml:space="preserve"> </w:t>
      </w:r>
      <w:hyperlink w:anchor="eq-fhwa-perimeter-load">
        <w:r>
          <w:rPr>
            <w:rStyle w:val="Hyperlink"/>
          </w:rPr>
          <w:t xml:space="preserve">ec. 25</w:t>
        </w:r>
      </w:hyperlink>
      <w:r>
        <w:t xml:space="preserve"> </w:t>
      </w:r>
      <w:r>
        <w:t xml:space="preserve">trasladan esa acción a una franja de altura definida y</w:t>
      </w:r>
      <w:r>
        <w:t xml:space="preserve"> </w:t>
      </w:r>
      <w:r>
        <w:t xml:space="preserve">a las componentes locales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.</w:t>
      </w:r>
    </w:p>
    <w:bookmarkEnd w:id="169"/>
    <w:bookmarkStart w:id="171" w:name="ejemplo-hp97-de-schwartzeinstein"/>
    <w:p>
      <w:pPr>
        <w:pStyle w:val="Heading2"/>
      </w:pPr>
      <w:r>
        <w:t xml:space="preserve">Ejemplo HP97 de Schwartz–Einstein</w:t>
      </w:r>
    </w:p>
    <w:p>
      <w:pPr>
        <w:pStyle w:val="FirstParagraph"/>
      </w:pPr>
      <w:r>
        <w:t xml:space="preserve">El ejemplo HP97 utiliza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,</w:t>
      </w:r>
      <w:r>
        <w:t xml:space="preserve"> </w:t>
      </w:r>
      <m:oMath>
        <m:sSub>
          <m:e>
            <m:r>
              <m:t>ν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r>
          <m:t>0.4</m:t>
        </m:r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θ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sSup>
          <m:e>
            <m:r>
              <m:t>30</m:t>
            </m:r>
          </m:e>
          <m:sup>
            <m:r>
              <m:rPr>
                <m:sty m:val="p"/>
              </m:rPr>
              <m:t>∘</m:t>
            </m:r>
          </m:sup>
        </m:sSup>
      </m:oMath>
      <w:r>
        <w:t xml:space="preserve">. La fuente informa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para dos secuencias de carga y dos</w:t>
      </w:r>
      <w:r>
        <w:t xml:space="preserve"> </w:t>
      </w:r>
      <w:r>
        <w:t xml:space="preserve">condiciones de interfaz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ejemplo HP97, pp. 391–392)</w:t>
      </w:r>
      <w:r>
        <w:t xml:space="preserve">.</w:t>
      </w:r>
      <w:r>
        <w:t xml:space="preserve"> </w:t>
      </w:r>
      <w:r>
        <w:t xml:space="preserve">La</w:t>
      </w:r>
      <w:r>
        <w:t xml:space="preserve"> </w:t>
      </w:r>
      <w:hyperlink w:anchor="tbl-se-check">
        <w:r>
          <w:rPr>
            <w:rStyle w:val="Hyperlink"/>
          </w:rPr>
          <w:t xml:space="preserve">tabla 6</w:t>
        </w:r>
      </w:hyperlink>
      <w:r>
        <w:t xml:space="preserve"> </w:t>
      </w:r>
      <w:r>
        <w:t xml:space="preserve">conserva la convención de la fuente: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compresión.</w:t>
      </w:r>
      <w:r>
        <w:t xml:space="preserve"> </w:t>
      </w:r>
      <w:r>
        <w:t xml:space="preserve">La transformación a la convención general se realiza mediante la</w:t>
      </w:r>
      <w:r>
        <w:t xml:space="preserve"> </w:t>
      </w:r>
      <w:hyperlink w:anchor="eq-se-coordinate-normal-conversion">
        <w:r>
          <w:rPr>
            <w:rStyle w:val="Hyperlink"/>
          </w:rPr>
          <w:t xml:space="preserve">ec. 3</w:t>
        </w:r>
      </w:hyperlink>
      <w:r>
        <w:t xml:space="preserve"> </w:t>
      </w:r>
      <w:r>
        <w:t xml:space="preserve">y las relaciones del apéndice.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0" w:name="tbl-se-check"/>
          <w:p>
            <w:pPr>
              <w:jc w:val="left"/>
              <w:pStyle w:val="ImageCaption"/>
            </w:pPr>
            <w:r>
              <w:t xml:space="preserve">Tabla 6: Reproducción del ejemplo HP97 en la convención de Schwartz–Einstein</w:t>
            </w:r>
            <w:r>
              <w:t xml:space="preserve"> </w:t>
            </w:r>
            <w:r>
              <w:t xml:space="preserve">(</w:t>
            </w:r>
            <w:hyperlink w:anchor="ref-SchwartzEinstein1980">
              <w:r>
                <w:rPr>
                  <w:rStyle w:val="Hyperlink"/>
                </w:rPr>
                <w:t xml:space="preserve">Schwartz y Einstein 1980, 391-92</w:t>
              </w:r>
            </w:hyperlink>
            <w:r>
              <w:t xml:space="preserve">)</w:t>
            </w:r>
            <w:r>
              <w:t xml:space="preserve">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080"/>
              <w:gridCol w:w="1080"/>
              <w:gridCol w:w="1440"/>
              <w:gridCol w:w="1440"/>
              <w:gridCol w:w="1440"/>
              <w:gridCol w:w="14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Secuencia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Interfaz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</m:sub>
                    </m:sSub>
                    <m:r>
                      <m:t>R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Calculado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S</m:t>
                        </m:r>
                        <m:r>
                          <m:t>E</m:t>
                        </m:r>
                      </m:sub>
                    </m:sSub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 </w:t>
                  </w:r>
                  <w:r>
                    <w:t xml:space="preserve">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Calculado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descarga por excavación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deslizamiento completo (</w:t>
                  </w:r>
                  <w:r>
                    <w:rPr>
                      <w:i/>
                      <w:iCs/>
                    </w:rPr>
                    <w:t xml:space="preserve">full slip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0.736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0.735909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0.00774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0.007743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descarga por excavación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deslizamiento (</w:t>
                  </w:r>
                  <w:r>
                    <w:rPr>
                      <w:i/>
                      <w:iCs/>
                    </w:rPr>
                    <w:t xml:space="preserve">no slip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0.812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0.811806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0.00707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0.007066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carga externa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deslizamiento completo (</w:t>
                  </w:r>
                  <w:r>
                    <w:rPr>
                      <w:i/>
                      <w:iCs/>
                    </w:rPr>
                    <w:t xml:space="preserve">full slip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0.887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0.887061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0.0133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0.013274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carga externa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 deslizamiento (</w:t>
                  </w:r>
                  <w:r>
                    <w:rPr>
                      <w:i/>
                      <w:iCs/>
                    </w:rPr>
                    <w:t xml:space="preserve">no slip</w:t>
                  </w:r>
                  <w:r>
                    <w:t xml:space="preserve">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1.017169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0.0121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0.012113</m:t>
                    </m:r>
                  </m:oMath>
                </w:p>
              </w:tc>
            </w:tr>
          </w:tbl>
          <w:bookmarkEnd w:id="170"/>
          <w:p/>
        </w:tc>
      </w:tr>
    </w:tbl>
    <w:p>
      <w:pPr>
        <w:pStyle w:val="BodyText"/>
      </w:pPr>
      <w:r>
        <w:t xml:space="preserve">La referencia no tabula la fuerza cortante. Su valor puede deducirse de la</w:t>
      </w:r>
      <w:r>
        <w:t xml:space="preserve"> </w:t>
      </w:r>
      <w:r>
        <w:t xml:space="preserve">derivada del momento, pero no se utiliza como dato publicado de contraste.</w:t>
      </w:r>
      <w:r>
        <w:t xml:space="preserve"> </w:t>
      </w:r>
      <w:r>
        <w:t xml:space="preserve">Este caso comprueba los coeficientes de la formulación Schwartz–Einstein</w:t>
      </w:r>
      <w:r>
        <w:t xml:space="preserve"> </w:t>
      </w:r>
      <w:r>
        <w:t xml:space="preserve">empleada para las demandas de diseño. Los casos de Baker comprueban, de manera</w:t>
      </w:r>
      <w:r>
        <w:t xml:space="preserve"> </w:t>
      </w:r>
      <w:r>
        <w:t xml:space="preserve">separada, la integración directa de cargas prescritas.</w:t>
      </w:r>
    </w:p>
    <w:bookmarkEnd w:id="171"/>
    <w:bookmarkStart w:id="179" w:name="X3919661e2d623ace54757f51882e5b916cb5f5d"/>
    <w:p>
      <w:pPr>
        <w:pStyle w:val="Heading2"/>
      </w:pPr>
      <w:r>
        <w:t xml:space="preserve">Relación entre Schwartz–Einstein, Fourier y el estado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</w:p>
    <w:p>
      <w:pPr>
        <w:pStyle w:val="FirstParagraph"/>
      </w:pPr>
      <w:r>
        <w:t xml:space="preserve">Schwartz–Einstein entrega, después de transformar sus signos y coordenada, la</w:t>
      </w:r>
      <w:r>
        <w:t xml:space="preserve"> </w:t>
      </w:r>
      <w:r>
        <w:t xml:space="preserve">respuesta</w:t>
      </w:r>
    </w:p>
    <w:p>
      <w:pPr>
        <w:pStyle w:val="BodyText"/>
      </w:pPr>
      <w:bookmarkStart w:id="172" w:name="eq-se-project-harmonics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N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cos</m:t>
          </m:r>
          <m:r>
            <m:t>2</m:t>
          </m:r>
          <m:r>
            <m:t>θ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sin</m:t>
          </m:r>
          <m:r>
            <m:t>2</m:t>
          </m:r>
          <m:r>
            <m:t>θ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77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Para comprobar exclusivamente el equilibrio de esa respuesta, las</w:t>
      </w:r>
      <w:r>
        <w:t xml:space="preserve"> </w:t>
      </w:r>
      <w:hyperlink w:anchor="eq-ring-equilibrium-r">
        <w:r>
          <w:rPr>
            <w:rStyle w:val="Hyperlink"/>
          </w:rPr>
          <w:t xml:space="preserve">ec. 34</w:t>
        </w:r>
      </w:hyperlink>
      <w:r>
        <w:t xml:space="preserve"> </w:t>
      </w:r>
      <w:r>
        <w:t xml:space="preserve">y</w:t>
      </w:r>
      <w:r>
        <w:t xml:space="preserve"> </w:t>
      </w:r>
      <w:hyperlink w:anchor="eq-ring-equilibrium-t">
        <w:r>
          <w:rPr>
            <w:rStyle w:val="Hyperlink"/>
          </w:rPr>
          <w:t xml:space="preserve">ec. 35</w:t>
        </w:r>
      </w:hyperlink>
      <w:r>
        <w:t xml:space="preserve"> </w:t>
      </w:r>
      <w:r>
        <w:t xml:space="preserve">permiten reconstruir las</w:t>
      </w:r>
      <w:r>
        <w:t xml:space="preserve"> </w:t>
      </w:r>
      <w:r>
        <w:t xml:space="preserve">tracciones equivalentes</w:t>
      </w:r>
    </w:p>
    <w:p>
      <w:pPr>
        <w:pStyle w:val="BodyText"/>
      </w:pPr>
      <w:bookmarkStart w:id="173" w:name="eq-se-equivalent-tractions"/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4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</m:num>
            <m:den>
              <m:r>
                <m:t>R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sSub>
                <m:e>
                  <m:r>
                    <m:t>M</m:t>
                  </m:r>
                </m:e>
                <m:sub>
                  <m:r>
                    <m:t>2</m:t>
                  </m:r>
                </m:sub>
              </m:sSub>
            </m:num>
            <m:den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78</m:t>
          </m:r>
          <m:r>
            <m:rPr>
              <m:sty m:val="p"/>
            </m:rPr>
            <m:t>)</m:t>
          </m:r>
        </m:oMath>
      </m:oMathPara>
      <w:bookmarkEnd w:id="173"/>
    </w:p>
    <w:p>
      <w:pPr>
        <w:pStyle w:val="FirstParagraph"/>
      </w:pPr>
      <w:r>
        <w:t xml:space="preserve">con los demás coeficientes nulos. Al aplicar esos tres coeficientes a la</w:t>
      </w:r>
      <w:r>
        <w:t xml:space="preserve"> </w:t>
      </w:r>
      <w:r>
        <w:t xml:space="preserve">solución Fourier y a la integración directa, las seis combinaciones de las</w:t>
      </w:r>
      <w:r>
        <w:t xml:space="preserve"> </w:t>
      </w:r>
      <w:r>
        <w:t xml:space="preserve">tres secciones autónomas y las dos interfaces reproducen las resultantes</w:t>
      </w:r>
      <w:r>
        <w:t xml:space="preserve"> </w:t>
      </w:r>
      <w:r>
        <w:t xml:space="preserve">Schwartz–Einstein dentro de las tolerancias declaradas. La sección compuesta</w:t>
      </w:r>
      <w:r>
        <w:t xml:space="preserve"> </w:t>
      </w:r>
      <w:r>
        <w:t xml:space="preserve">reutiliza este motor verificado y recalcula sus demandas con sus propias</w:t>
      </w:r>
      <w:r>
        <w:t xml:space="preserve"> </w:t>
      </w:r>
      <w:r>
        <w:t xml:space="preserve">rigideces. Las diferencias de la</w:t>
      </w:r>
      <w:r>
        <w:t xml:space="preserve"> </w:t>
      </w:r>
      <w:hyperlink w:anchor="tbl-se-fourier-equivalence">
        <w:r>
          <w:rPr>
            <w:rStyle w:val="Hyperlink"/>
          </w:rPr>
          <w:t xml:space="preserve">tabla 7</w:t>
        </w:r>
      </w:hyperlink>
      <w:r>
        <w:t xml:space="preserve"> </w:t>
      </w:r>
      <w:r>
        <w:t xml:space="preserve">se normalizan con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  <m:r>
          <m:t>R</m:t>
        </m:r>
      </m:oMath>
      <w:r>
        <w:t xml:space="preserve"> </w:t>
      </w:r>
      <w:r>
        <w:t xml:space="preserve">para fuerzas y</w:t>
      </w:r>
      <w:r>
        <w:t xml:space="preserve"> </w:t>
      </w:r>
      <m:oMath>
        <m:sSub>
          <m:e>
            <m:r>
              <m:t>P</m:t>
            </m:r>
          </m:e>
          <m:sub>
            <m:r>
              <m:t>S</m:t>
            </m:r>
            <m:r>
              <m:t>E</m:t>
            </m:r>
          </m:sub>
        </m:sSub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para momentos.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4" w:name="tbl-se-fourier-equivalence"/>
          <w:p>
            <w:pPr>
              <w:jc w:val="left"/>
              <w:pStyle w:val="ImageCaption"/>
            </w:pPr>
            <w:r>
              <w:t xml:space="preserve">Tabla 7: Reconstrucción de las resultantes Schwartz–Einstein. I: condición de interfaz; S: deslizamiento completo; NS: sin deslizamiento; εF y εD: diferencias máximas normalizadas de Fourier e integración directa.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Sección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I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t>n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Estado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1.99e-16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1.50e-13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1.99e-16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1.01e-13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2.07e-16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1.45e-13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2.07e-16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1.00e-13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2.11e-16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1.31e-13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0,2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2.11e-16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9.44e-14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</w:tbl>
          <w:bookmarkEnd w:id="174"/>
          <w:p/>
        </w:tc>
      </w:tr>
    </w:tbl>
    <w:p>
      <w:pPr>
        <w:pStyle w:val="BodyText"/>
      </w:pPr>
      <w:r>
        <w:t xml:space="preserve">Este resultado no significa que Fourier converja físicamente a</w:t>
      </w:r>
      <w:r>
        <w:t xml:space="preserve"> </w:t>
      </w:r>
      <w:r>
        <w:t xml:space="preserve">Schwartz–Einstein. La solución de interacción determina primero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M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mediante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la interfaz; Fourier e integración directa sólo</w:t>
      </w:r>
      <w:r>
        <w:t xml:space="preserve"> </w:t>
      </w:r>
      <w:r>
        <w:t xml:space="preserve">reproducen después el equilibrio de esos coeficientes. Si se parte, en cambio,</w:t>
      </w:r>
      <w:r>
        <w:t xml:space="preserve"> </w:t>
      </w:r>
      <w:r>
        <w:t xml:space="preserve">de la proyección uniforme del estado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, los coeficientes son los de la</w:t>
      </w:r>
      <w:r>
        <w:t xml:space="preserve"> </w:t>
      </w:r>
      <w:hyperlink w:anchor="eq-k0-full-response">
        <w:r>
          <w:rPr>
            <w:rStyle w:val="Hyperlink"/>
          </w:rPr>
          <w:t xml:space="preserve">ec. 48</w:t>
        </w:r>
      </w:hyperlink>
      <w:r>
        <w:t xml:space="preserve"> </w:t>
      </w:r>
      <w:r>
        <w:t xml:space="preserve">o la</w:t>
      </w:r>
      <w:r>
        <w:t xml:space="preserve"> </w:t>
      </w:r>
      <w:hyperlink w:anchor="eq-k0-normal-response">
        <w:r>
          <w:rPr>
            <w:rStyle w:val="Hyperlink"/>
          </w:rPr>
          <w:t xml:space="preserve">ec. 49</w:t>
        </w:r>
      </w:hyperlink>
      <w:r>
        <w:t xml:space="preserve"> </w:t>
      </w:r>
      <w:r>
        <w:t xml:space="preserve">y no dependen de la rigidez</w:t>
      </w:r>
      <w:r>
        <w:t xml:space="preserve"> </w:t>
      </w:r>
      <w:r>
        <w:t xml:space="preserve">del revestimiento.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5" w:name="tbl-uniform-interaction-comparison"/>
          <w:p>
            <w:pPr>
              <w:jc w:val="left"/>
              <w:pStyle w:val="ImageCaption"/>
            </w:pPr>
            <w:r>
              <w:t xml:space="preserve">Tabla 8: Coeficientes para el mismo campo uniforme. M: método; C: condición; K0: carga biaxial prescrita; E-S: Schwartz–Einstein; PT: proyección completa; PN: proyección normal; S: deslizamiento completo; NS: sin deslizamiento.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Sección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N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SE</m:t>
                        </m:r>
                      </m:sub>
                    </m:sSub>
                    <m:r>
                      <m:t>R)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N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SE</m:t>
                        </m:r>
                      </m:sub>
                    </m:sSub>
                    <m:r>
                      <m:t>R)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M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/</m:t>
                    </m:r>
                    <m:r>
                      <m:t>(</m:t>
                    </m:r>
                    <m:sSub>
                      <m:e>
                        <m:r>
                          <m:t>P</m:t>
                        </m:r>
                      </m:e>
                      <m:sub>
                        <m:r>
                          <m:t>SE</m:t>
                        </m:r>
                      </m:sub>
                    </m:sSub>
                    <m:sSup>
                      <m:e>
                        <m:r>
                          <m:t>R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)</m:t>
                    </m:r>
                  </m:oMath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K0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PT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-0.7277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0.2723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0.1362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K0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—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PN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-0.7277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0.0908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0.0908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-1.0511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0.0028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-1.0511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0.3228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0.0022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-1.0793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0.0338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0.0338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-1.0793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0.3363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0.0274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-1.0835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0.0880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0.0880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NS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-1.0835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0.3551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0.0728</w:t>
                  </w:r>
                </w:p>
              </w:tc>
            </w:tr>
          </w:tbl>
          <w:bookmarkEnd w:id="175"/>
          <w:p/>
        </w:tc>
      </w:tr>
    </w:tbl>
    <w:p>
      <w:pPr>
        <w:pStyle w:val="BodyText"/>
      </w:pPr>
      <w:r>
        <w:t xml:space="preserve">La</w:t>
      </w:r>
      <w:r>
        <w:t xml:space="preserve"> </w:t>
      </w:r>
      <w:hyperlink w:anchor="tbl-uniform-interaction-comparison">
        <w:r>
          <w:rPr>
            <w:rStyle w:val="Hyperlink"/>
          </w:rPr>
          <w:t xml:space="preserve">tabla 8</w:t>
        </w:r>
      </w:hyperlink>
      <w:r>
        <w:t xml:space="preserve"> </w:t>
      </w:r>
      <w:r>
        <w:t xml:space="preserve">muestra el efecto buscado: las tres</w:t>
      </w:r>
      <w:r>
        <w:t xml:space="preserve"> </w:t>
      </w:r>
      <w:r>
        <w:t xml:space="preserve">secciones reciben coeficientes diferentes con Schwartz–Einstein, mientras que</w:t>
      </w:r>
      <w:r>
        <w:t xml:space="preserve"> </w:t>
      </w:r>
      <w:r>
        <w:t xml:space="preserve">la carga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prescrita conserva los mismos coeficientes adimensionales. En la</w:t>
      </w:r>
      <w:r>
        <w:t xml:space="preserve"> </w:t>
      </w:r>
      <w:r>
        <w:t xml:space="preserve">memoria vigente, Schwartz–Einstein gobierna la componente uniforme y la</w:t>
      </w:r>
      <w:r>
        <w:t xml:space="preserve"> </w:t>
      </w:r>
      <w:r>
        <w:t xml:space="preserve">corrección equilibrada agrega el gradiente lineal; la proyección biaxial</w:t>
      </w:r>
      <w:r>
        <w:t xml:space="preserve"> </w:t>
      </w:r>
      <w:r>
        <w:t xml:space="preserve">uniforme prescrita permanece como control y no se combina ni se promedia con</w:t>
      </w:r>
      <w:r>
        <w:t xml:space="preserve"> </w:t>
      </w:r>
      <w:r>
        <w:t xml:space="preserve">la demanda.</w:t>
      </w:r>
    </w:p>
    <w:p>
      <w:pPr>
        <w:pStyle w:val="BodyText"/>
      </w:pPr>
      <w:r>
        <w:t xml:space="preserve">La</w:t>
      </w:r>
      <w:r>
        <w:t xml:space="preserve"> </w:t>
      </w:r>
      <w:hyperlink w:anchor="eq-methodology-linear-gradient-load">
        <w:r>
          <w:rPr>
            <w:rStyle w:val="Hyperlink"/>
          </w:rPr>
          <w:t xml:space="preserve">ec. 18</w:t>
        </w:r>
      </w:hyperlink>
      <w:r>
        <w:t xml:space="preserve"> </w:t>
      </w:r>
      <w:r>
        <w:t xml:space="preserve">introduce sólo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 La</w:t>
      </w:r>
      <w:r>
        <w:t xml:space="preserve"> </w:t>
      </w:r>
      <w:r>
        <w:t xml:space="preserve">primera fila de cada revestimiento en la</w:t>
      </w:r>
      <w:r>
        <w:t xml:space="preserve"> </w:t>
      </w:r>
      <w:hyperlink w:anchor="tbl-balanced-gradient-modes">
        <w:r>
          <w:rPr>
            <w:rStyle w:val="Hyperlink"/>
          </w:rPr>
          <w:t xml:space="preserve">tabla 9</w:t>
        </w:r>
      </w:hyperlink>
      <w:r>
        <w:t xml:space="preserve"> </w:t>
      </w:r>
      <w:r>
        <w:t xml:space="preserve">muestra</w:t>
      </w:r>
      <w:r>
        <w:t xml:space="preserve"> </w:t>
      </w:r>
      <w:r>
        <w:t xml:space="preserve">la resultante vertical antes de definir el apoyo; la segunda incorpora la</w:t>
      </w:r>
      <w:r>
        <w:t xml:space="preserve"> </w:t>
      </w:r>
      <w:r>
        <w:t xml:space="preserve">reacción radial de equilibrio de la</w:t>
      </w:r>
      <w:r>
        <w:t xml:space="preserve"> </w:t>
      </w:r>
      <w:hyperlink w:anchor="eq-methodology-gradient-support-reaction">
        <w:r>
          <w:rPr>
            <w:rStyle w:val="Hyperlink"/>
          </w:rPr>
          <w:t xml:space="preserve">ec. 20</w:t>
        </w:r>
      </w:hyperlink>
      <w:r>
        <w:t xml:space="preserve"> </w:t>
      </w:r>
      <w:r>
        <w:t xml:space="preserve">y recupera el equilibrio global.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6" w:name="tbl-balanced-gradient-modes"/>
          <w:p>
            <w:pPr>
              <w:jc w:val="left"/>
              <w:pStyle w:val="ImageCaption"/>
            </w:pPr>
            <w:r>
              <w:t xml:space="preserve">Tabla 9: Modos del gradiente geostático. Fz, N y Q se expresan en kN/m; a1s, en kPa; M, en kN m/m.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Sección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z,0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s</m:t>
                        </m:r>
                      </m:sup>
                    </m:sSubSup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F</m:t>
                        </m:r>
                      </m:e>
                      <m:sub>
                        <m:r>
                          <m:t>z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N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N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M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Q</m:t>
                        </m:r>
                      </m:e>
                      <m:sub>
                        <m:r>
                          <m:t>3</m:t>
                        </m:r>
                      </m:sub>
                    </m:sSub>
                  </m:oMath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-103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-5.5e-15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-4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-96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-3.5e-15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-92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3.5e-15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-2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-1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</w:tr>
          </w:tbl>
          <w:bookmarkEnd w:id="176"/>
          <w:p/>
        </w:tc>
      </w:tr>
    </w:tbl>
    <w:p>
      <w:pPr>
        <w:pStyle w:val="BodyText"/>
      </w:pPr>
      <w:r>
        <w:t xml:space="preserve">La corrección equilibrada se evaluó de dos maneras independientes: solución</w:t>
      </w:r>
      <w:r>
        <w:t xml:space="preserve"> </w:t>
      </w:r>
      <w:r>
        <w:t xml:space="preserve">modal de Fourier e integración numérica de las ecuaciones diferenciales del</w:t>
      </w:r>
      <w:r>
        <w:t xml:space="preserve"> </w:t>
      </w:r>
      <w:r>
        <w:t xml:space="preserve">anillo. La</w:t>
      </w:r>
      <w:r>
        <w:t xml:space="preserve"> </w:t>
      </w:r>
      <w:hyperlink w:anchor="tbl-balanced-gradient-verification">
        <w:r>
          <w:rPr>
            <w:rStyle w:val="Hyperlink"/>
          </w:rPr>
          <w:t xml:space="preserve">tabla 10</w:t>
        </w:r>
      </w:hyperlink>
      <w:r>
        <w:t xml:space="preserve"> </w:t>
      </w:r>
      <w:r>
        <w:t xml:space="preserve">informa la diferencia máxima</w:t>
      </w:r>
      <w:r>
        <w:t xml:space="preserve"> </w:t>
      </w:r>
      <w:r>
        <w:t xml:space="preserve">normalizada, el residuo de equilibrio y la compresión mínima prescrita sobre</w:t>
      </w:r>
      <w:r>
        <w:t xml:space="preserve"> </w:t>
      </w:r>
      <w:r>
        <w:t xml:space="preserve">el contacto.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7" w:name="tbl-balanced-gradient-verification"/>
          <w:p>
            <w:pPr>
              <w:jc w:val="left"/>
              <w:pStyle w:val="ImageCaption"/>
            </w:pPr>
            <w:r>
              <w:t xml:space="preserve">Tabla 10: Controles del gradiente equilibrado. eh: descenso de la resultante lateral; εFD: diferencia Fourier–integración; εeq: residuo de equilibrio; pn,min: compresión mínima.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Sección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e</m:t>
                        </m:r>
                      </m:e>
                      <m:sub>
                        <m:r>
                          <m:t>h</m:t>
                        </m:r>
                      </m:sub>
                    </m:sSub>
                  </m:oMath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[cm]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FD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ε</m:t>
                        </m:r>
                      </m:e>
                      <m:sub>
                        <m:r>
                          <m:t>eq</m:t>
                        </m:r>
                      </m:sub>
                    </m:sSub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sSub>
                      <m:e>
                        <m:r>
                          <m:t>p</m:t>
                        </m:r>
                      </m:e>
                      <m:sub>
                        <m:r>
                          <m:t>n,</m:t>
                        </m:r>
                        <m:r>
                          <m:rPr>
                            <m:sty m:val="p"/>
                          </m:rPr>
                          <m:t>min</m:t>
                        </m:r>
                        <m:r>
                          <m:t>⁡</m:t>
                        </m:r>
                      </m:sub>
                    </m:sSub>
                  </m:oMath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[kPa]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Estado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2.8e-16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1.0e-17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98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2.2e-16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9.7e-18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4.0e-16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8.2e-18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OK</w:t>
                  </w:r>
                </w:p>
              </w:tc>
            </w:tr>
          </w:tbl>
          <w:bookmarkEnd w:id="177"/>
          <w:p/>
        </w:tc>
      </w:tr>
    </w:tbl>
    <w:p>
      <w:pPr>
        <w:pStyle w:val="BodyText"/>
      </w:pPr>
      <w:r>
        <w:t xml:space="preserve">La comparación con la solución uniforme se presenta en la</w:t>
      </w:r>
      <w:r>
        <w:t xml:space="preserve"> </w:t>
      </w:r>
      <w:hyperlink w:anchor="tbl-hybrid-resultant-comparison">
        <w:r>
          <w:rPr>
            <w:rStyle w:val="Hyperlink"/>
          </w:rPr>
          <w:t xml:space="preserve">tabla 11</w:t>
        </w:r>
      </w:hyperlink>
      <w:r>
        <w:t xml:space="preserve">. Las variaciones relativas grandes de momento</w:t>
      </w:r>
      <w:r>
        <w:t xml:space="preserve"> </w:t>
      </w:r>
      <w:r>
        <w:t xml:space="preserve">y corte de la chapa se deben a que sus valores uniformes son pequeños; deben</w:t>
      </w:r>
      <w:r>
        <w:t xml:space="preserve"> </w:t>
      </w:r>
      <w:r>
        <w:t xml:space="preserve">leerse junto con la diferencia absoluta.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8" w:name="tbl-hybrid-resultant-comparison"/>
          <w:p>
            <w:pPr>
              <w:jc w:val="left"/>
              <w:pStyle w:val="ImageCaption"/>
            </w:pPr>
            <w:r>
              <w:t xml:space="preserve">Tabla 11: Máximos absolutos para S. R: resultante; E-S: campo uniforme; H: modelo híbrido; Δ: cambio absoluto. N y Q se expresan en kN/m; M, en kN m/m.</w:t>
            </w:r>
          </w:p>
      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      <w:tblPr>
              <w:tblLayout w:type="autofit"/>
              <w:jc w:val="center"/>
              <w:tblLook w:firstRow="1" w:lastRow="0" w:firstColumn="0" w:lastColumn="0" w:noHBand="0" w:noVBand="1"/>
            </w:tblPr>
            <w:tr>
              <w:trPr>
                <w:trHeight w:val="360" w:hRule="auto"/>
                <w:tblHeader/>
              </w:trPr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Sección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R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E-S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</w:t>
                  </w:r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rPr>
                        <m:sty m:val="p"/>
                      </m:rPr>
                      <m:t>Δ</m:t>
                    </m:r>
                  </m:oMath>
                </w:p>
              </w:tc>
              <w:tc>
                <w:tcPr>
                  <w:tcBorders>
                    <w:bottom w:val="single" w:sz="8" w:space="0" w:color="BEBEBE"/>
                    <w:top w:val="single" w:sz="12" w:space="0" w:color="666666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m:oMath xmlns:m="http://schemas.openxmlformats.org/officeDocument/2006/math" xmlns:mml="http://www.w3.org/1998/Math/MathML">
                    <m:r>
                      <m:rPr>
                        <m:sty m:val="p"/>
                      </m:rPr>
                      <m:t>Δ</m:t>
                    </m:r>
                  </m:oMath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tru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 [%]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301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306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5</w:t>
                  </w:r>
                </w:p>
              </w:tc>
              <w:tc>
                <w:tcPr>
                  <w:tcBorders>
                    <w:bottom w:val="none" w:sz="0" w:space="0" w:color="000000"/>
                    <w:top w:val="single" w:sz="8" w:space="0" w:color="BEBEBE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94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Chapa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Q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130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306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13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7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100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Q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8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N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315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0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M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29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30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none" w:sz="0" w:space="0" w:color="000000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</w:tr>
            <w:tr>
              <w:trPr>
                <w:trHeight w:val="360" w:hRule="auto"/>
              </w:trPr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lef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HP 150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center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Q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47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49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1</w:t>
                  </w:r>
                </w:p>
              </w:tc>
              <w:tc>
                <w:tcPr>
                  <w:tcBorders>
                    <w:bottom w:val="single" w:sz="12" w:space="0" w:color="666666"/>
                    <w:top w:val="none" w:sz="0" w:space="0" w:color="000000"/>
                    <w:left w:val="none" w:sz="0" w:space="0" w:color="000000"/>
                    <w:right w:val="none" w:sz="0" w:space="0" w:color="000000"/>
                  </w:tcBorders>
                  <w:shd w:val="clear" w:color="auto" w:fill="FFFFFF"/>
                  <w:tcMar>
                    <w:top w:w="0" w:type="dxa"/>
                    <w:bottom w:w="0" w:type="dxa"/>
                    <w:left w:w="0" w:type="dxa"/>
                    <w:right w:w="0" w:type="dxa"/>
                  </w:tcMar>
                  <w:vAlign w:val="center"/>
                </w:tcPr>
                <w:p>
                  <w:pPr>
                    <w:jc w:val="right"/>
                    <w:pBdr>
                      <w:bottom w:val="none" w:sz="0" w:space="0" w:color="000000"/>
                      <w:top w:val="none" w:sz="0" w:space="0" w:color="000000"/>
                      <w:left w:val="none" w:sz="0" w:space="0" w:color="000000"/>
                      <w:right w:val="none" w:sz="0" w:space="0" w:color="000000"/>
                    </w:pBdr>
                    <w:spacing w:after="40" w:before="40" w:line="240"/>
                    <w:ind w:left="100" w:right="100" w:firstLine="0" w:firstLineChars="0"/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</w:pPr>
      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      <w:rPr>
                      <w:rFonts w:ascii="Arial" w:hAnsi="Arial" w:eastAsia="Arial" w:cs="Arial"/>
                      <w:i w:val="false"/>
                      <w:b w:val="false"/>
                      <w:u w:val="none"/>
                      <w:strike w:val="false"/>
                      <w:sz w:val="20"/>
                      <w:szCs w:val="20"/>
                      <w:color w:val="000000"/>
                    </w:rPr>
                    <w:t xml:space="preserve">3</w:t>
                  </w:r>
                </w:p>
              </w:tc>
            </w:tr>
          </w:tbl>
          <w:bookmarkEnd w:id="178"/>
          <w:p/>
        </w:tc>
      </w:tr>
    </w:tbl>
    <w:p>
      <w:pPr>
        <w:pStyle w:val="BodyText"/>
      </w:pPr>
      <w:r>
        <w:t xml:space="preserve">La comprobación separa así cuatro preguntas: HP97 valida las ecuaciones</w:t>
      </w:r>
      <w:r>
        <w:t xml:space="preserve"> </w:t>
      </w:r>
      <w:r>
        <w:t xml:space="preserve">Schwartz–Einstein; la reconstrucción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valida su transferencia a las</w:t>
      </w:r>
      <w:r>
        <w:t xml:space="preserve"> </w:t>
      </w:r>
      <w:r>
        <w:t xml:space="preserve">ecuaciones del anillo; el equilibrio y la paridad Fourier–integración validan</w:t>
      </w:r>
      <w:r>
        <w:t xml:space="preserve"> </w:t>
      </w:r>
      <w:r>
        <w:t xml:space="preserve">la corrección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; y el control de compresión verifica que la acción</w:t>
      </w:r>
      <w:r>
        <w:t xml:space="preserve"> </w:t>
      </w:r>
      <w:r>
        <w:t xml:space="preserve">prescrita no exige tracción de contacto. No se atribuye a E–S una impedancia</w:t>
      </w:r>
      <w:r>
        <w:t xml:space="preserve"> </w:t>
      </w:r>
      <w:r>
        <w:t xml:space="preserve">para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que la formulación publicada no contiene.</w:t>
      </w:r>
    </w:p>
    <w:bookmarkEnd w:id="179"/>
    <w:bookmarkStart w:id="183" w:name="formulaciones-de-núñez"/>
    <w:p>
      <w:pPr>
        <w:pStyle w:val="Heading2"/>
      </w:pPr>
      <w:r>
        <w:t xml:space="preserve">Formulaciones de Núñez</w:t>
      </w:r>
    </w:p>
    <w:p>
      <w:pPr>
        <w:pStyle w:val="FirstParagraph"/>
      </w:pPr>
      <w:r>
        <w:t xml:space="preserve">El ejemplo de Núñez de 2000 adopta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10</m:t>
        </m:r>
        <m:r>
          <m:t> </m:t>
        </m:r>
        <m:r>
          <m:rPr>
            <m:sty m:val="p"/>
          </m:rPr>
          <m:t>m</m:t>
        </m:r>
      </m:oMath>
      <w:r>
        <w:t xml:space="preserve">, profundidad del eje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15</m:t>
        </m:r>
        <m:r>
          <m:t> </m:t>
        </m:r>
        <m:r>
          <m:rPr>
            <m:sty m:val="p"/>
          </m:rPr>
          <m:t>m</m:t>
        </m:r>
      </m:oMath>
      <w:r>
        <w:t xml:space="preserve">,</w:t>
      </w:r>
      <w:r>
        <w:t xml:space="preserve"> </w:t>
      </w:r>
      <m:oMath>
        <m:r>
          <m:t>γ</m:t>
        </m:r>
        <m:r>
          <m:rPr>
            <m:sty m:val="p"/>
          </m:rPr>
          <m:t>=</m:t>
        </m:r>
        <m:r>
          <m:t>1.9</m:t>
        </m:r>
        <m:r>
          <m:t> </m:t>
        </m:r>
        <m:r>
          <m:rPr>
            <m:sty m:val="p"/>
          </m:rPr>
          <m:t>t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3</m:t>
            </m:r>
          </m:sup>
        </m:sSup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  <m:r>
          <m:t> </m:t>
        </m:r>
        <m:r>
          <m:rPr>
            <m:sty m:val="p"/>
          </m:rPr>
          <m:t>t</m:t>
        </m:r>
        <m:r>
          <m:rPr>
            <m:sty m:val="p"/>
          </m:rPr>
          <m:t>f</m:t>
        </m:r>
        <m:r>
          <m:rPr>
            <m:sty m:val="p"/>
          </m:rPr>
          <m:t>/</m:t>
        </m:r>
        <m:sSup>
          <m:e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2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 La</w:t>
      </w:r>
      <w:r>
        <w:t xml:space="preserve"> </w:t>
      </w:r>
      <w:hyperlink w:anchor="tbl-nunez-check">
        <w:r>
          <w:rPr>
            <w:rStyle w:val="Hyperlink"/>
          </w:rPr>
          <w:t xml:space="preserve">tabla 12</w:t>
        </w:r>
      </w:hyperlink>
      <w:r>
        <w:t xml:space="preserve"> </w:t>
      </w:r>
      <w:r>
        <w:t xml:space="preserve">se calculó</w:t>
      </w:r>
      <w:r>
        <w:t xml:space="preserve"> </w:t>
      </w:r>
      <w:r>
        <w:t xml:space="preserve">exclusivamente con la</w:t>
      </w:r>
      <w:r>
        <w:t xml:space="preserve"> </w:t>
      </w:r>
      <w:hyperlink w:anchor="eq-nunez-2000-resultants">
        <w:r>
          <w:rPr>
            <w:rStyle w:val="Hyperlink"/>
          </w:rPr>
          <w:t xml:space="preserve">ec. 5</w:t>
        </w:r>
      </w:hyperlink>
      <w:r>
        <w:t xml:space="preserve">. Las fuerzas publicadas son compresiones</w:t>
      </w:r>
      <w:r>
        <w:t xml:space="preserve"> </w:t>
      </w:r>
      <w:r>
        <w:t xml:space="preserve">positivas; su conversión a la convención general requiere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N</m:t>
            </m:r>
          </m:e>
          <m:sup>
            <m:r>
              <m:rPr>
                <m:sty m:val="p"/>
              </m:rPr>
              <m:t>(</m:t>
            </m:r>
            <m:r>
              <m:t>2000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0" w:name="tbl-nunez-check"/>
          <w:p>
            <w:pPr>
              <w:jc w:val="left"/>
              <w:pStyle w:val="ImageCaption"/>
            </w:pPr>
            <w:r>
              <w:t xml:space="preserve">Tabla 12: Reproducción de los ejemplos circulares de Núñez de 2000</w:t>
            </w:r>
            <w:r>
              <w:t xml:space="preserve"> </w:t>
            </w:r>
            <w:r>
              <w:t xml:space="preserve">(</w:t>
            </w:r>
            <w:hyperlink w:anchor="ref-Nunez2000">
              <w:r>
                <w:rPr>
                  <w:rStyle w:val="Hyperlink"/>
                </w:rPr>
                <w:t xml:space="preserve">Núñez 2000</w:t>
              </w:r>
            </w:hyperlink>
            <w:r>
              <w:t xml:space="preserve">, sec. </w:t>
            </w:r>
            <w:r>
              <w:t xml:space="preserve">“Cálculo aproximado del revestimiento”</w:t>
            </w:r>
            <w:r>
              <w:t xml:space="preserve">, pp. 13–15 de la versión digital)</w:t>
            </w:r>
            <w:r>
              <w:t xml:space="preserve">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1397"/>
              <w:gridCol w:w="1397"/>
              <w:gridCol w:w="1863"/>
              <w:gridCol w:w="1863"/>
              <w:gridCol w:w="1397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Revestimiento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Valor publicado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Valor calculado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0.027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0.0270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0.0263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0.02629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1.21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1.2118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tf·m/m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54.5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54.34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0.10976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0.09890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—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9.0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9.1177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tf·m/m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103.4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103.33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147.5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147.50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</w:tbl>
          <w:bookmarkEnd w:id="180"/>
          <w:p/>
        </w:tc>
      </w:tr>
    </w:tbl>
    <w:p>
      <w:pPr>
        <w:pStyle w:val="BodyText"/>
      </w:pPr>
      <w:r>
        <w:t xml:space="preserve">La mayor diferencia relativa es</w:t>
      </w:r>
      <w:r>
        <w:t xml:space="preserve"> </w:t>
      </w:r>
      <m:oMath>
        <m:r>
          <m:t>1.31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y corresponde al momento del</w:t>
      </w:r>
      <w:r>
        <w:t xml:space="preserve"> </w:t>
      </w:r>
      <w:r>
        <w:t xml:space="preserve">revestimiento permanente, publicado con dos cifras significativas. Para la</w:t>
      </w:r>
      <w:r>
        <w:t xml:space="preserve"> </w:t>
      </w:r>
      <w:r>
        <w:t xml:space="preserve">conversión de las unidades originales se adopta</w:t>
      </w:r>
      <w:r>
        <w:t xml:space="preserve"> </w:t>
      </w:r>
      <m:oMath>
        <m:r>
          <m:t>1</m:t>
        </m:r>
        <m:r>
          <m:t> </m:t>
        </m:r>
        <m:r>
          <m:rPr>
            <m:sty m:val="p"/>
          </m:rPr>
          <m:t>t</m:t>
        </m:r>
        <m:r>
          <m:rPr>
            <m:sty m:val="p"/>
          </m:rPr>
          <m:t>f</m:t>
        </m:r>
        <m:r>
          <m:rPr>
            <m:sty m:val="p"/>
          </m:rPr>
          <m:t>=</m:t>
        </m:r>
        <m:r>
          <m:t>9.80665</m:t>
        </m:r>
        <m:r>
          <m:t> </m:t>
        </m:r>
        <m:r>
          <m:rPr>
            <m:sty m:val="p"/>
          </m:rPr>
          <m:t>k</m:t>
        </m:r>
        <m:r>
          <m:rPr>
            <m:sty m:val="p"/>
          </m:rPr>
          <m:t>N</m:t>
        </m:r>
      </m:oMath>
      <w:r>
        <w:t xml:space="preserve">.</w:t>
      </w:r>
    </w:p>
    <w:p>
      <w:pPr>
        <w:pStyle w:val="BodyText"/>
      </w:pPr>
      <w:r>
        <w:t xml:space="preserve">Las ecuaciones publicadas en 2014 no son intercambiables con las de 2000. La</w:t>
      </w:r>
      <w:r>
        <w:t xml:space="preserve"> </w:t>
      </w:r>
      <w:hyperlink w:anchor="tbl-nunez-version-check">
        <w:r>
          <w:rPr>
            <w:rStyle w:val="Hyperlink"/>
          </w:rPr>
          <w:t xml:space="preserve">tabla 13</w:t>
        </w:r>
      </w:hyperlink>
      <w:r>
        <w:t xml:space="preserve"> </w:t>
      </w:r>
      <w:r>
        <w:t xml:space="preserve">muestra las diferencias obtenidas al utilizar los</w:t>
      </w:r>
      <w:r>
        <w:t xml:space="preserve"> </w:t>
      </w:r>
      <w:r>
        <w:t xml:space="preserve">mismos datos de los ejemplos precedentes en la</w:t>
      </w:r>
      <w:r>
        <w:t xml:space="preserve"> </w:t>
      </w:r>
      <w:hyperlink w:anchor="eq-nunez-2000-resultants">
        <w:r>
          <w:rPr>
            <w:rStyle w:val="Hyperlink"/>
          </w:rPr>
          <w:t xml:space="preserve">ec. 5</w:t>
        </w:r>
      </w:hyperlink>
      <w:r>
        <w:t xml:space="preserve"> </w:t>
      </w:r>
      <w:r>
        <w:t xml:space="preserve">y en</w:t>
      </w:r>
      <w:r>
        <w:t xml:space="preserve"> </w:t>
      </w:r>
      <w:r>
        <w:t xml:space="preserve">la</w:t>
      </w:r>
      <w:r>
        <w:t xml:space="preserve"> </w:t>
      </w:r>
      <w:hyperlink w:anchor="eq-nunez-2014-resultants">
        <w:r>
          <w:rPr>
            <w:rStyle w:val="Hyperlink"/>
          </w:rPr>
          <w:t xml:space="preserve">ec. 6</w:t>
        </w:r>
      </w:hyperlink>
      <w:r>
        <w:t xml:space="preserve">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1" w:name="tbl-nunez-version-check"/>
          <w:p>
            <w:pPr>
              <w:jc w:val="left"/>
              <w:pStyle w:val="ImageCaption"/>
            </w:pPr>
            <w:r>
              <w:t xml:space="preserve">Tabla 13: Evaluación separada de las formulaciones de Núñez de 2000 y 2014.</w:t>
            </w:r>
          </w:p>
          <w:tbl>
            <w:tblPr>
              <w:tblLayout w:type="autofit"/>
              <w:tblStyle w:val="Table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Revestimiento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Versión 2000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Versión 2014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1.212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1.212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tf·m/m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54.343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52.895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primario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76.250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73.750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rPr>
                            <m:sty m:val="p"/>
                          </m:rPr>
                          <m:t>max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9.118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9.118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tf·m/m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103.331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110.137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permanente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147.500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147.500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tf/m</w:t>
                  </w:r>
                </w:p>
              </w:tc>
            </w:tr>
          </w:tbl>
          <w:bookmarkEnd w:id="181"/>
          <w:p/>
        </w:tc>
      </w:tr>
    </w:tbl>
    <w:p>
      <w:pPr>
        <w:pStyle w:val="BodyText"/>
      </w:pPr>
      <w:r>
        <w:t xml:space="preserve">La coincidencia de</w:t>
      </w:r>
      <w:r>
        <w:t xml:space="preserve"> </w:t>
      </w:r>
      <m:oMath>
        <m:sSub>
          <m:e>
            <m:r>
              <m:t>M</m:t>
            </m:r>
          </m:e>
          <m:sub>
            <m:r>
              <m:rPr>
                <m:sty m:val="p"/>
              </m:rPr>
              <m:t>max</m:t>
            </m:r>
          </m:sub>
        </m:sSub>
      </m:oMath>
      <w:r>
        <w:t xml:space="preserve"> </w:t>
      </w:r>
      <w:r>
        <w:t xml:space="preserve">no implica equivalencia entre ambas versiones:</w:t>
      </w:r>
      <w:r>
        <w:t xml:space="preserve"> </w:t>
      </w:r>
      <w:r>
        <w:t xml:space="preserve">las expresiones de fuerza normal y sus parámetros difieren. Por esta razón,</w:t>
      </w:r>
      <w:r>
        <w:t xml:space="preserve"> </w:t>
      </w:r>
      <w:r>
        <w:t xml:space="preserve">cada contraste conserva íntegramente la versión bibliográfica correspondiente.</w:t>
      </w:r>
    </w:p>
    <w:p>
      <w:pPr>
        <w:pStyle w:val="BodyText"/>
      </w:pPr>
      <w:r>
        <w:t xml:space="preserve">Núñez, Sfriso y Laiún publican siete comparaciones entre su formulación de 2014</w:t>
      </w:r>
      <w:r>
        <w:t xml:space="preserve"> </w:t>
      </w:r>
      <w:r>
        <w:t xml:space="preserve">y análisis bidimensionales para túneles de Buenos Aires. La</w:t>
      </w:r>
      <w:r>
        <w:t xml:space="preserve"> </w:t>
      </w:r>
      <w:hyperlink w:anchor="tbl-nunez-2014-case3">
        <w:r>
          <w:rPr>
            <w:rStyle w:val="Hyperlink"/>
          </w:rPr>
          <w:t xml:space="preserve">tabla 14</w:t>
        </w:r>
      </w:hyperlink>
      <w:r>
        <w:t xml:space="preserve"> </w:t>
      </w:r>
      <w:r>
        <w:t xml:space="preserve">reproduce tres resultantes del caso 3</w:t>
      </w:r>
      <w:r>
        <w:t xml:space="preserve"> </w:t>
      </w:r>
      <w:r>
        <w:t xml:space="preserve">(</w:t>
      </w:r>
      <w:hyperlink w:anchor="ref-NunezSfrisoLaiun2014">
        <w:r>
          <w:rPr>
            <w:rStyle w:val="Hyperlink"/>
          </w:rPr>
          <w:t xml:space="preserve">Núñez et al. 2014</w:t>
        </w:r>
      </w:hyperlink>
      <w:r>
        <w:t xml:space="preserve">, tabla 3, p. 7)</w:t>
      </w:r>
      <w:r>
        <w:t xml:space="preserve">.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tbl-nunez-2014-case3"/>
          <w:p>
            <w:pPr>
              <w:jc w:val="left"/>
              <w:pStyle w:val="ImageCaption"/>
            </w:pPr>
            <w:r>
              <w:t xml:space="preserve">Tabla 14: Resultados publicados para el caso 3 de Núñez, Sfriso y Laiún</w:t>
            </w:r>
            <w:r>
              <w:t xml:space="preserve"> </w:t>
            </w:r>
            <w:r>
              <w:t xml:space="preserve">(</w:t>
            </w:r>
            <w:hyperlink w:anchor="ref-NunezSfrisoLaiun2014">
              <w:r>
                <w:rPr>
                  <w:rStyle w:val="Hyperlink"/>
                </w:rPr>
                <w:t xml:space="preserve">Núñez et al. 2014</w:t>
              </w:r>
            </w:hyperlink>
            <w:r>
              <w:t xml:space="preserve">, tabla 3, p. 7)</w:t>
            </w:r>
            <w:r>
              <w:t xml:space="preserve">.</w:t>
            </w:r>
          </w:p>
          <w:tbl>
            <w:tblPr>
              <w:tblLayout w:type="autofit"/>
              <w:tblStyle w:val="Table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Resultante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Formulación de 2014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Análisis bidimensional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Unidad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720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500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kN/m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C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10.2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10.0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kN·m/m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A</m:t>
                        </m:r>
                      </m:sub>
                    </m:sSub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13.8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65.0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kN·m/m</w:t>
                  </w:r>
                </w:p>
              </w:tc>
            </w:tr>
          </w:tbl>
          <w:bookmarkEnd w:id="182"/>
          <w:p/>
        </w:tc>
      </w:tr>
    </w:tbl>
    <w:p>
      <w:pPr>
        <w:pStyle w:val="BodyText"/>
      </w:pPr>
      <w:r>
        <w:t xml:space="preserve">La publicación señala una dispersión</w:t>
      </w:r>
      <w:r>
        <w:t xml:space="preserve"> </w:t>
      </w:r>
      <w:r>
        <w:t xml:space="preserve">mayor en los momentos que en las fuerzas normales. Como no proporciona todos</w:t>
      </w:r>
      <w:r>
        <w:t xml:space="preserve"> </w:t>
      </w:r>
      <w:r>
        <w:t xml:space="preserve">los parámetros necesarios para reproducir los siete casos y varias secciones no</w:t>
      </w:r>
      <w:r>
        <w:t xml:space="preserve"> </w:t>
      </w:r>
      <w:r>
        <w:t xml:space="preserve">son circulares, esos valores se presentan como antecedentes publicados y no</w:t>
      </w:r>
      <w:r>
        <w:t xml:space="preserve"> </w:t>
      </w:r>
      <w:r>
        <w:t xml:space="preserve">como una reproducción independiente.</w:t>
      </w:r>
    </w:p>
    <w:bookmarkEnd w:id="183"/>
    <w:bookmarkStart w:id="185" w:name="alcance-de-los-contrastes"/>
    <w:p>
      <w:pPr>
        <w:pStyle w:val="Heading2"/>
      </w:pPr>
      <w:r>
        <w:t xml:space="preserve">Alcance de los contrastes</w:t>
      </w:r>
    </w:p>
    <w:tbl>
      <w:tblPr>
        <w:tblStyle w:val="Table"/>
        <w:tblLayout w:type="autofit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4" w:name="tbl-verification-summary"/>
          <w:p>
            <w:pPr>
              <w:jc w:val="left"/>
              <w:pStyle w:val="ImageCaption"/>
            </w:pPr>
            <w:r>
              <w:t xml:space="preserve">Tabla 15: Contenido y alcance de los contrastes numéricos.</w:t>
            </w:r>
          </w:p>
          <w:tbl>
            <w:tblPr>
              <w:tblStyle w:val="Table"/>
              <w:tblLayout w:type="autofit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Referencia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Magnitud contrastada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Resultado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Baker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N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y</w:t>
                  </w:r>
                  <w:r>
                    <w:t xml:space="preserve"> </w:t>
                  </w:r>
                  <m:oMath>
                    <m:sSub>
                      <m:e>
                        <m:r>
                          <m:t>M</m:t>
                        </m:r>
                      </m:e>
                      <m:sub>
                        <m:r>
                          <m:t>θ</m:t>
                        </m:r>
                      </m:sub>
                    </m:sSub>
                  </m:oMath>
                  <w:r>
                    <w:t xml:space="preserve"> </w:t>
                  </w:r>
                  <w:r>
                    <w:t xml:space="preserve">ante cargas radiales por sectores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diferencias menores que</w:t>
                  </w:r>
                  <w:r>
                    <w:t xml:space="preserve"> </w:t>
                  </w:r>
                  <m:oMath>
                    <m:r>
                      <m:t>5</m:t>
                    </m:r>
                    <m:r>
                      <m:rPr>
                        <m:sty m:val="p"/>
                      </m:rPr>
                      <m:t>×</m:t>
                    </m:r>
                    <m:sSup>
                      <m:e>
                        <m:r>
                          <m:t>10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sup>
                    </m:sSup>
                  </m:oMath>
                  <w:r>
                    <w:t xml:space="preserve"> </w:t>
                  </w:r>
                  <w:r>
                    <w:t xml:space="preserve">en las magnitudes adimensionales tabuladas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USACE, ejemplo D4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presión vertical y fuerza normal circunferencial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valores publicados reproducidos con los factores del ejemplo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FHWA-RD-98-191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presión horizontal de compactación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ocho filas reproducidas; una inconsistencia de datos identificada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Schwartz–Einstein, HP97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fuerza normal y momento para cuatro combinaciones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valores publicados reproducidos en la convención de la fuente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Schwartz–Einstein frente a Fourier e integración directa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reconstrucción de</w:t>
                  </w:r>
                  <w:r>
                    <w:t xml:space="preserve"> </w:t>
                  </w:r>
                  <m:oMath>
                    <m:r>
                      <m:t>N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M</m:t>
                    </m:r>
                  </m:oMath>
                  <w:r>
                    <w:t xml:space="preserve"> </w:t>
                  </w:r>
                  <w:r>
                    <w:t xml:space="preserve">y</w:t>
                  </w:r>
                  <w:r>
                    <w:t xml:space="preserve"> 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mediante los modos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diferencias dentro de las tolerancias declaradas para las seis combinaciones de las secciones autónomas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gradiente lineal sobre la altura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modos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3</m:t>
                    </m:r>
                  </m:oMath>
                  <w:r>
                    <w:t xml:space="preserve">, equilibrio global y paridad Fourier–integración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 reacción radial</w:t>
                  </w:r>
                  <w:r>
                    <w:t xml:space="preserve"> </w:t>
                  </w:r>
                  <m:oMath>
                    <m:r>
                      <m:t>n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equilibra el campo completo; los controles numéricos y de compresión satisfacen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Núñez 2000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parámetros, fuerza normal y momento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diferencia relativa máxima de</w:t>
                  </w:r>
                  <w:r>
                    <w:t xml:space="preserve"> </w:t>
                  </w:r>
                  <m:oMath>
                    <m:r>
                      <m:t>1.31</m:t>
                    </m:r>
                    <m:r>
                      <m:t> </m:t>
                    </m:r>
                    <m:r>
                      <m:rPr>
                        <m:sty m:val="p"/>
                      </m:rPr>
                      <m:t>%</m:t>
                    </m:r>
                  </m:oMath>
                  <w:r>
                    <w:t xml:space="preserve"> </w:t>
                  </w:r>
                  <w:r>
                    <w:t xml:space="preserve">respecto de valores redondeados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Núñez et al. 2014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comparación publicada con análisis bidimensionales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tres resultantes publicadas para el caso 3; la información disponible no permite reproducir independientemente los siete casos</w:t>
                  </w:r>
                </w:p>
              </w:tc>
            </w:tr>
          </w:tbl>
          <w:bookmarkEnd w:id="184"/>
          <w:p/>
        </w:tc>
      </w:tr>
    </w:tbl>
    <w:bookmarkEnd w:id="185"/>
    <w:bookmarkEnd w:id="186"/>
    <w:bookmarkStart w:id="190" w:name="aplicación-al-revestimiento-existente"/>
    <w:p>
      <w:pPr>
        <w:pStyle w:val="Heading1"/>
      </w:pPr>
      <w:r>
        <w:t xml:space="preserve">Aplicación al revestimiento existente</w:t>
      </w:r>
    </w:p>
    <w:bookmarkStart w:id="187" w:name="información-requerida"/>
    <w:p>
      <w:pPr>
        <w:pStyle w:val="Heading2"/>
      </w:pPr>
      <w:r>
        <w:t xml:space="preserve">Información requerida</w:t>
      </w:r>
    </w:p>
    <w:p>
      <w:pPr>
        <w:pStyle w:val="FirstParagraph"/>
      </w:pPr>
      <w:r>
        <w:t xml:space="preserve">La determinación de las resultantes seccionales exige definir la geometría</w:t>
      </w:r>
      <w:r>
        <w:t xml:space="preserve"> </w:t>
      </w:r>
      <w:r>
        <w:t xml:space="preserve">resistente, el estado de tensiones del relleno, las acciones constructivas y</w:t>
      </w:r>
      <w:r>
        <w:t xml:space="preserve"> </w:t>
      </w:r>
      <w:r>
        <w:t xml:space="preserve">las condiciones hidráulicas. Los siguientes antecedentes deben verificarse</w:t>
      </w:r>
      <w:r>
        <w:t xml:space="preserve"> </w:t>
      </w:r>
      <w:r>
        <w:t xml:space="preserve">antes de adoptar una envolvente de demanda.</w:t>
      </w:r>
    </w:p>
    <w:p>
      <w:pPr>
        <w:pStyle w:val="BodyText"/>
      </w:pPr>
      <w:r>
        <w:t xml:space="preserve">Para definir la geometría y las propiedades de la sección se requieren:</w:t>
      </w:r>
    </w:p>
    <w:p>
      <w:pPr>
        <w:pStyle w:val="ListBullet"/>
      </w:pPr>
      <w:r>
        <w:t xml:space="preserve">diámetro interior y radio del eje centroidal de la chapa;</w:t>
      </w:r>
    </w:p>
    <w:p>
      <w:pPr>
        <w:pStyle w:val="ListBullet"/>
      </w:pPr>
      <w:r>
        <w:t xml:space="preserve">ovalización inicial y variación geométrica a lo largo del conducto;</w:t>
      </w:r>
    </w:p>
    <w:p>
      <w:pPr>
        <w:pStyle w:val="ListBullet"/>
      </w:pPr>
      <w:r>
        <w:t xml:space="preserve">paso, altura y orientación de la corrugación;</w:t>
      </w:r>
    </w:p>
    <w:p>
      <w:pPr>
        <w:pStyle w:val="ListBullet"/>
      </w:pPr>
      <w:r>
        <w:t xml:space="preserve">espesor base y pérdidas de espesor representativas;</w:t>
      </w:r>
    </w:p>
    <w:p>
      <w:pPr>
        <w:pStyle w:val="ListBullet"/>
      </w:pPr>
      <w:r>
        <w:t xml:space="preserve">ubicación de solapes, juntas y otras discontinuidades;</w:t>
      </w:r>
    </w:p>
    <w:p>
      <w:pPr>
        <w:pStyle w:val="ListBullet"/>
      </w:pPr>
      <w:r>
        <w:t xml:space="preserve">módulo de elasticidad o especificación del acero.</w:t>
      </w:r>
    </w:p>
    <w:p>
      <w:pPr>
        <w:pStyle w:val="BodyText"/>
      </w:pPr>
      <w:r>
        <w:t xml:space="preserve">La geometría confirmada se incorpora como dato determinista. Mientras un</w:t>
      </w:r>
      <w:r>
        <w:t xml:space="preserve"> </w:t>
      </w:r>
      <w:r>
        <w:t xml:space="preserve">parámetro geométrico permanezca sin confirmar, se lo evalúa mediante valores</w:t>
      </w:r>
      <w:r>
        <w:t xml:space="preserve"> </w:t>
      </w:r>
      <w:r>
        <w:t xml:space="preserve">nominales alternativos claramente identificados y separados de las demás</w:t>
      </w:r>
      <w:r>
        <w:t xml:space="preserve"> </w:t>
      </w:r>
      <w:r>
        <w:t xml:space="preserve">hipótesis del escenario.</w:t>
      </w:r>
    </w:p>
    <w:p>
      <w:pPr>
        <w:pStyle w:val="BodyText"/>
      </w:pPr>
      <w:r>
        <w:t xml:space="preserve">Para caracterizar el relleno y la condición hidráulica se requieren:</w:t>
      </w:r>
    </w:p>
    <w:p>
      <w:pPr>
        <w:pStyle w:val="ListBullet"/>
      </w:pPr>
      <w:r>
        <w:t xml:space="preserve">estratigrafía y clasificación del relleno y del terreno adyacente;</w:t>
      </w:r>
    </w:p>
    <w:p>
      <w:pPr>
        <w:pStyle w:val="ListBullet"/>
      </w:pPr>
      <w:r>
        <w:t xml:space="preserve">pesos unitarios, humedad, densidad y grado de compactación;</w:t>
      </w:r>
    </w:p>
    <w:p>
      <w:pPr>
        <w:pStyle w:val="ListBullet"/>
      </w:pPr>
      <w:r>
        <w:t xml:space="preserve">ángulo de fricción efectiva, historia tensional y antecedentes para</w:t>
      </w:r>
      <w:r>
        <w:t xml:space="preserve"> </w:t>
      </w:r>
      <w:r>
        <w:t xml:space="preserve">establecer</w:t>
      </w:r>
      <w:r>
        <w:t xml:space="preserve"> 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;</w:t>
      </w:r>
    </w:p>
    <w:p>
      <w:pPr>
        <w:pStyle w:val="ListBullet"/>
      </w:pPr>
      <w:r>
        <w:t xml:space="preserve">cota piezométrica exterior, presión interior y sus variaciones;</w:t>
      </w:r>
    </w:p>
    <w:p>
      <w:pPr>
        <w:pStyle w:val="ListBullet"/>
      </w:pPr>
      <w:r>
        <w:t xml:space="preserve">sobrecargas permanentes y transitorias.</w:t>
      </w:r>
    </w:p>
    <w:p>
      <w:pPr>
        <w:pStyle w:val="BodyText"/>
      </w:pPr>
      <w:r>
        <w:t xml:space="preserve">Para caracterizar el proceso constructivo se requieren:</w:t>
      </w:r>
    </w:p>
    <w:p>
      <w:pPr>
        <w:pStyle w:val="ListBullet"/>
      </w:pPr>
      <w:r>
        <w:t xml:space="preserve">secuencia, espesor y cota de las tongadas;</w:t>
      </w:r>
    </w:p>
    <w:p>
      <w:pPr>
        <w:pStyle w:val="ListBullet"/>
      </w:pPr>
      <w:r>
        <w:t xml:space="preserve">tipo, fuerza y posición del equipo de compactación;</w:t>
      </w:r>
    </w:p>
    <w:p>
      <w:pPr>
        <w:pStyle w:val="ListBullet"/>
      </w:pPr>
      <w:r>
        <w:t xml:space="preserve">procedimiento empleado para controlar la ovalización durante el relleno;</w:t>
      </w:r>
    </w:p>
    <w:p>
      <w:pPr>
        <w:pStyle w:val="ListBullet"/>
      </w:pPr>
      <w:r>
        <w:t xml:space="preserve">características del material en contacto con la chapa;</w:t>
      </w:r>
    </w:p>
    <w:p>
      <w:pPr>
        <w:pStyle w:val="ListBullet"/>
      </w:pPr>
      <w:r>
        <w:t xml:space="preserve">mediciones de deformación efectuadas durante y después de la instalación.</w:t>
      </w:r>
    </w:p>
    <w:p>
      <w:pPr>
        <w:pStyle w:val="BodyText"/>
      </w:pPr>
      <w:r>
        <w:t xml:space="preserve">Estos antecedentes permiten juzgar si los límites de Schwartz–Einstein</w:t>
      </w:r>
      <w:r>
        <w:t xml:space="preserve"> </w:t>
      </w:r>
      <w:r>
        <w:t xml:space="preserve">representan adecuadamente el estado permanente y si debe añadirse una etapa de</w:t>
      </w:r>
      <w:r>
        <w:t xml:space="preserve"> </w:t>
      </w:r>
      <w:r>
        <w:t xml:space="preserve">compactación. La proyección completa y la carga exclusivamente normal son</w:t>
      </w:r>
      <w:r>
        <w:t xml:space="preserve"> </w:t>
      </w:r>
      <w:r>
        <w:t xml:space="preserve">controles de carga prescrita, no leyes constitutivas de interfaz. Una tracción</w:t>
      </w:r>
      <w:r>
        <w:t xml:space="preserve"> </w:t>
      </w:r>
      <w:r>
        <w:t xml:space="preserve">parcial basada en fricción requeriría una relación adicional que no forma parte</w:t>
      </w:r>
      <w:r>
        <w:t xml:space="preserve"> </w:t>
      </w:r>
      <w:r>
        <w:t xml:space="preserve">de esta metodología.</w:t>
      </w:r>
    </w:p>
    <w:bookmarkEnd w:id="187"/>
    <w:bookmarkStart w:id="188" w:name="procedimiento-de-cálculo"/>
    <w:p>
      <w:pPr>
        <w:pStyle w:val="Heading2"/>
      </w:pPr>
      <w:r>
        <w:t xml:space="preserve">Procedimiento de cálculo</w:t>
      </w:r>
    </w:p>
    <w:p>
      <w:pPr>
        <w:pStyle w:val="FirstParagraph"/>
      </w:pPr>
      <w:r>
        <w:t xml:space="preserve">La aplicación se organiza en la siguiente secuencia:</w:t>
      </w:r>
    </w:p>
    <w:p>
      <w:pPr>
        <w:pStyle w:val="ListNumber"/>
      </w:pPr>
      <w:r>
        <w:rPr>
          <w:b/>
          <w:bCs/>
        </w:rPr>
        <w:t xml:space="preserve">Definición de la sección transversal.</w:t>
      </w:r>
      <w:r>
        <w:t xml:space="preserve"> </w:t>
      </w:r>
      <w:r>
        <w:t xml:space="preserve">Se establece el radio centroidal</w:t>
      </w:r>
      <w:r>
        <w:t xml:space="preserve"> </w:t>
      </w:r>
      <w:r>
        <w:t xml:space="preserve">y se calculan</w:t>
      </w:r>
      <w:r>
        <w:t xml:space="preserve"> </w:t>
      </w:r>
      <m:oMath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ℓ</m:t>
            </m:r>
          </m:sub>
        </m:sSub>
        <m:sSub>
          <m:e>
            <m:r>
              <m:t>A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ℓ</m:t>
            </m:r>
          </m:sub>
        </m:sSub>
        <m:sSub>
          <m:e>
            <m: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η</m:t>
            </m:r>
          </m:e>
          <m:sub>
            <m:r>
              <m:t>ℓ</m:t>
            </m:r>
          </m:sub>
        </m:sSub>
      </m:oMath>
      <w:r>
        <w:t xml:space="preserve">.</w:t>
      </w:r>
    </w:p>
    <w:p>
      <w:pPr>
        <w:pStyle w:val="ListNumber"/>
      </w:pPr>
      <w:r>
        <w:rPr>
          <w:b/>
          <w:bCs/>
        </w:rPr>
        <w:t xml:space="preserve">Caracterización del estado tensional.</w:t>
      </w:r>
      <w:r>
        <w:t xml:space="preserve"> </w:t>
      </w:r>
      <w:r>
        <w:t xml:space="preserve">Se integra</w:t>
      </w:r>
      <w:r>
        <w:t xml:space="preserve"> </w:t>
      </w:r>
      <m:oMath>
        <m:sSubSup>
          <m:e>
            <m:r>
              <m:t>σ</m:t>
            </m:r>
          </m:e>
          <m:sub>
            <m:r>
              <m:t>v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, se</w:t>
      </w:r>
      <w:r>
        <w:t xml:space="preserve"> </w:t>
      </w:r>
      <w:r>
        <w:t xml:space="preserve">define</w:t>
      </w:r>
      <w:r>
        <w:t xml:space="preserve"> </w:t>
      </w:r>
      <m:oMath>
        <m:r>
          <m:rPr>
            <m:sty m:val="p"/>
          </m:rPr>
          <m:t>Δ</m:t>
        </m:r>
        <m:r>
          <m:t>u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y se determina el estado lateral del relleno.</w:t>
      </w:r>
    </w:p>
    <w:p>
      <w:pPr>
        <w:pStyle w:val="ListNumber"/>
      </w:pPr>
      <w:r>
        <w:rPr>
          <w:b/>
          <w:bCs/>
        </w:rPr>
        <w:t xml:space="preserve">Definición de estados de carga.</w:t>
      </w:r>
      <w:r>
        <w:t xml:space="preserve"> </w:t>
      </w:r>
      <w:r>
        <w:t xml:space="preserve">El estado permanente, las etapas de</w:t>
      </w:r>
      <w:r>
        <w:t xml:space="preserve"> </w:t>
      </w:r>
      <w:r>
        <w:t xml:space="preserve">compactación, las sobrecargas y las condiciones hidráulicas se evalúan por</w:t>
      </w:r>
      <w:r>
        <w:t xml:space="preserve"> </w:t>
      </w:r>
      <w:r>
        <w:t xml:space="preserve">separado.</w:t>
      </w:r>
    </w:p>
    <w:p>
      <w:pPr>
        <w:pStyle w:val="ListNumber"/>
      </w:pPr>
      <w:r>
        <w:rPr>
          <w:b/>
          <w:bCs/>
        </w:rPr>
        <w:t xml:space="preserve">Cálculo interactivo.</w:t>
      </w:r>
      <w:r>
        <w:t xml:space="preserve"> </w:t>
      </w:r>
      <w:r>
        <w:t xml:space="preserve">Para cada sección se calculan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se</w:t>
      </w:r>
      <w:r>
        <w:t xml:space="preserve"> </w:t>
      </w:r>
      <w:r>
        <w:t xml:space="preserve">resuelve la carga externa de Schwartz–Einstein con deslizamiento libre y</w:t>
      </w:r>
      <w:r>
        <w:t xml:space="preserve"> </w:t>
      </w:r>
      <w:r>
        <w:t xml:space="preserve">sin deslizamiento.</w:t>
      </w:r>
    </w:p>
    <w:p>
      <w:pPr>
        <w:pStyle w:val="ListNumber"/>
      </w:pPr>
      <w:r>
        <w:rPr>
          <w:b/>
          <w:bCs/>
        </w:rPr>
        <w:t xml:space="preserve">Gradiente geostático.</w:t>
      </w:r>
      <w:r>
        <w:t xml:space="preserve"> </w:t>
      </w:r>
      <w:r>
        <w:t xml:space="preserve">La variación lineal entre clave y solera se</w:t>
      </w:r>
      <w:r>
        <w:t xml:space="preserve"> </w:t>
      </w:r>
      <w:r>
        <w:t xml:space="preserve">proyecta en los modos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3</m:t>
        </m:r>
      </m:oMath>
      <w:r>
        <w:t xml:space="preserve">, se equilibra mediante la reacción radial de</w:t>
      </w:r>
      <w:r>
        <w:t xml:space="preserve"> </w:t>
      </w:r>
      <w:r>
        <w:t xml:space="preserve">orden uno y se superpone a la componente uniforme.</w:t>
      </w:r>
    </w:p>
    <w:p>
      <w:pPr>
        <w:pStyle w:val="ListNumber"/>
      </w:pPr>
      <w:r>
        <w:rPr>
          <w:b/>
          <w:bCs/>
        </w:rPr>
        <w:t xml:space="preserve">Control de carga prescrita.</w:t>
      </w:r>
      <w:r>
        <w:t xml:space="preserve"> </w:t>
      </w:r>
      <w:r>
        <w:t xml:space="preserve">El estado biaxial uniforme se expresa mediante</w:t>
      </w:r>
      <w:r>
        <w:t xml:space="preserve"> </w:t>
      </w:r>
      <m:oMath>
        <m:sSub>
          <m:e>
            <m:r>
              <m:t>P</m:t>
            </m:r>
          </m:e>
          <m:sub>
            <m:r>
              <m:t>r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 se controla su equilibrio global y se integra</w:t>
      </w:r>
      <w:r>
        <w:t xml:space="preserve"> </w:t>
      </w:r>
      <w:r>
        <w:t xml:space="preserve">mediante RK4.</w:t>
      </w:r>
    </w:p>
    <w:p>
      <w:pPr>
        <w:pStyle w:val="ListNumber"/>
      </w:pPr>
      <w:r>
        <w:rPr>
          <w:b/>
          <w:bCs/>
        </w:rPr>
        <w:t xml:space="preserve">Control modal.</w:t>
      </w:r>
      <w:r>
        <w:t xml:space="preserve"> </w:t>
      </w:r>
      <w:r>
        <w:t xml:space="preserve">La solución cerrada y Fourier comprueban la integración</w:t>
      </w:r>
      <w:r>
        <w:t xml:space="preserve"> </w:t>
      </w:r>
      <w:r>
        <w:t xml:space="preserve">directa para la misma carga prescrita; no sustituyen la demanda</w:t>
      </w:r>
      <w:r>
        <w:t xml:space="preserve"> </w:t>
      </w:r>
      <w:r>
        <w:t xml:space="preserve">interactiva.</w:t>
      </w:r>
    </w:p>
    <w:p>
      <w:pPr>
        <w:pStyle w:val="ListNumber"/>
      </w:pPr>
      <w:r>
        <w:rPr>
          <w:b/>
          <w:bCs/>
        </w:rPr>
        <w:t xml:space="preserve">Identificación de estados gobernantes.</w:t>
      </w:r>
      <w:r>
        <w:t xml:space="preserve"> </w:t>
      </w:r>
      <w:r>
        <w:t xml:space="preserve">Cada extremo se registra junto</w:t>
      </w:r>
      <w:r>
        <w:t xml:space="preserve"> </w:t>
      </w:r>
      <w:r>
        <w:t xml:space="preserve">con su magnitud, signo, posición angular y etapa constructiva.</w:t>
      </w:r>
    </w:p>
    <w:p>
      <w:pPr>
        <w:pStyle w:val="ListNumber"/>
      </w:pPr>
      <w:r>
        <w:rPr>
          <w:b/>
          <w:bCs/>
        </w:rPr>
        <w:t xml:space="preserve">Contraste con referencias.</w:t>
      </w:r>
      <w:r>
        <w:t xml:space="preserve"> </w:t>
      </w:r>
      <w:r>
        <w:t xml:space="preserve">La rama escalar de chapa se compara con la</w:t>
      </w:r>
      <w:r>
        <w:t xml:space="preserve"> </w:t>
      </w:r>
      <w:r>
        <w:t xml:space="preserve">relación USACE, la formulación Schwartz–Einstein con HP97 y la</w:t>
      </w:r>
      <w:r>
        <w:t xml:space="preserve"> </w:t>
      </w:r>
      <w:r>
        <w:t xml:space="preserve">integración directa con Baker. Núñez se evalúa sólo dentro de su dominio de</w:t>
      </w:r>
      <w:r>
        <w:t xml:space="preserve"> </w:t>
      </w:r>
      <w:r>
        <w:t xml:space="preserve">túneles excavados.</w:t>
      </w:r>
    </w:p>
    <w:bookmarkEnd w:id="188"/>
    <w:bookmarkStart w:id="189" w:name="límites-de-la-formulación-transversal"/>
    <w:p>
      <w:pPr>
        <w:pStyle w:val="Heading2"/>
      </w:pPr>
      <w:r>
        <w:t xml:space="preserve">Límites de la formulación transversal</w:t>
      </w:r>
    </w:p>
    <w:p>
      <w:pPr>
        <w:pStyle w:val="FirstParagraph"/>
      </w:pPr>
      <w:r>
        <w:t xml:space="preserve">La solución desarrollada representa una sección invariante en la dirección</w:t>
      </w:r>
      <w:r>
        <w:t xml:space="preserve"> </w:t>
      </w:r>
      <w:r>
        <w:t xml:space="preserve">longitudinal. Incluye compresión circunferencial, flexión en el plano de la</w:t>
      </w:r>
      <w:r>
        <w:t xml:space="preserve"> </w:t>
      </w:r>
      <w:r>
        <w:t xml:space="preserve">sección y fuerza cortante para distribuciones perimetrales autoequilibradas.</w:t>
      </w:r>
      <w:r>
        <w:t xml:space="preserve"> </w:t>
      </w:r>
      <w:r>
        <w:t xml:space="preserve">El estado biaxial uniforme a la cota del eje y las franjas laterales simétricas</w:t>
      </w:r>
      <w:r>
        <w:t xml:space="preserve"> </w:t>
      </w:r>
      <w:r>
        <w:t xml:space="preserve">de compactación satisfacen esta condición.</w:t>
      </w:r>
    </w:p>
    <w:p>
      <w:pPr>
        <w:pStyle w:val="BodyText"/>
      </w:pPr>
      <w:r>
        <w:t xml:space="preserve">Un gradiente de presión sobre el diámetro produce una resultante global antes</w:t>
      </w:r>
      <w:r>
        <w:t xml:space="preserve"> </w:t>
      </w:r>
      <w:r>
        <w:t xml:space="preserve">de considerar el apoyo. El procedimiento vigente la completa con una reacción</w:t>
      </w:r>
      <w:r>
        <w:t xml:space="preserve"> </w:t>
      </w:r>
      <w:r>
        <w:t xml:space="preserve">radial distribuida sobre toda la circunferencia, determinada por equilibrio y</w:t>
      </w:r>
      <w:r>
        <w:t xml:space="preserve"> </w:t>
      </w:r>
      <w:r>
        <w:t xml:space="preserve">sin asignar una rigidez</w:t>
      </w:r>
      <w:r>
        <w:t xml:space="preserve"> </w:t>
      </w:r>
      <m:oMath>
        <m:sSub>
          <m:e>
            <m:r>
              <m:t>k</m:t>
            </m:r>
          </m:e>
          <m:sub>
            <m:r>
              <m:t>r</m:t>
            </m:r>
          </m:sub>
        </m:sSub>
      </m:oMath>
      <w:r>
        <w:t xml:space="preserve">. Esta restricción no representa una ley</w:t>
      </w:r>
      <w:r>
        <w:t xml:space="preserve"> </w:t>
      </w:r>
      <w:r>
        <w:t xml:space="preserve">constitutiva del contacto. Los estados que requieran peso propio, flotación u</w:t>
      </w:r>
      <w:r>
        <w:t xml:space="preserve"> </w:t>
      </w:r>
      <w:r>
        <w:t xml:space="preserve">otras reacciones deben definirlos dentro de su propio sistema de cargas.</w:t>
      </w:r>
    </w:p>
    <w:p>
      <w:pPr>
        <w:pStyle w:val="BodyText"/>
      </w:pPr>
      <w:r>
        <w:t xml:space="preserve">Las zonas próximas a extremos, transiciones, aberturas, juntas</w:t>
      </w:r>
      <w:r>
        <w:t xml:space="preserve"> </w:t>
      </w:r>
      <w:r>
        <w:t xml:space="preserve">circunferenciales, cargas que varían longitudinalmente y corrugaciones</w:t>
      </w:r>
      <w:r>
        <w:t xml:space="preserve"> </w:t>
      </w:r>
      <w:r>
        <w:t xml:space="preserve">helicoidales quedan fuera del modelo plano. Su evaluación requiere una</w:t>
      </w:r>
      <w:r>
        <w:t xml:space="preserve"> </w:t>
      </w:r>
      <w:r>
        <w:t xml:space="preserve">formulación espacial específica.</w:t>
      </w:r>
    </w:p>
    <w:bookmarkEnd w:id="189"/>
    <w:bookmarkEnd w:id="190"/>
    <w:bookmarkStart w:id="191" w:name="conclusiones-de-la-formulación"/>
    <w:p>
      <w:pPr>
        <w:pStyle w:val="Heading1"/>
      </w:pPr>
      <w:r>
        <w:t xml:space="preserve">Conclusiones de la formulación</w:t>
      </w:r>
    </w:p>
    <w:p>
      <w:pPr>
        <w:pStyle w:val="FirstParagraph"/>
      </w:pPr>
      <w:r>
        <w:t xml:space="preserve">La demanda transversal de cada revestimiento suma la respuesta uniforme de</w:t>
      </w:r>
      <w:r>
        <w:t xml:space="preserve"> </w:t>
      </w:r>
      <w:r>
        <w:t xml:space="preserve">Schwartz–Einstein, determinada por el estado de campo libre, la rigidez</w:t>
      </w:r>
      <w:r>
        <w:t xml:space="preserve"> </w:t>
      </w:r>
      <w:r>
        <w:t xml:space="preserve">relativa y la interfaz, y la corrección equilibrada del gradiente geostático.</w:t>
      </w:r>
      <w:r>
        <w:t xml:space="preserve"> </w:t>
      </w:r>
      <w:r>
        <w:t xml:space="preserve">Para una carga perimetral prescrita y autoequilibrada, las ecuaciones de la</w:t>
      </w:r>
      <w:r>
        <w:t xml:space="preserve"> </w:t>
      </w:r>
      <w:r>
        <w:t xml:space="preserve">viga curva, la integración directa y Fourier proporcionan un control</w:t>
      </w:r>
      <w:r>
        <w:t xml:space="preserve"> </w:t>
      </w:r>
      <w:r>
        <w:t xml:space="preserve">matemático independiente.</w:t>
      </w:r>
    </w:p>
    <w:p>
      <w:pPr>
        <w:pStyle w:val="BodyText"/>
      </w:pPr>
      <w:r>
        <w:t xml:space="preserve">Para un estado biaxial uniforme, Schwartz–Einstein produce una componente</w:t>
      </w:r>
      <w:r>
        <w:t xml:space="preserve"> </w:t>
      </w:r>
      <w:r>
        <w:t xml:space="preserve">uniforme y un armónico de orden dos cuyos coeficientes dependen además de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 la interfaz. La proyección completa y la carga exclusivamente</w:t>
      </w:r>
      <w:r>
        <w:t xml:space="preserve"> </w:t>
      </w:r>
      <w:r>
        <w:t xml:space="preserve">normal producen otras respuestas porque prescriben directamente componentes</w:t>
      </w:r>
      <w:r>
        <w:t xml:space="preserve"> </w:t>
      </w:r>
      <w:r>
        <w:t xml:space="preserve">del vector de tracción. Que ambas formulaciones utilicen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no</w:t>
      </w:r>
      <w:r>
        <w:t xml:space="preserve"> </w:t>
      </w:r>
      <w:r>
        <w:t xml:space="preserve">implica que Fourier convierta una en la otra.</w:t>
      </w:r>
    </w:p>
    <w:p>
      <w:pPr>
        <w:pStyle w:val="BodyText"/>
      </w:pPr>
      <w:r>
        <w:t xml:space="preserve">La corrugación se incorpora mediante las rigideces circunferenciales</w:t>
      </w:r>
      <w:r>
        <w:t xml:space="preserve"> </w:t>
      </w:r>
      <m:oMath>
        <m:sSub>
          <m:e>
            <m:r>
              <m:t>K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K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de una viga curva por unidad de longitud axial. Esta</w:t>
      </w:r>
      <w:r>
        <w:t xml:space="preserve"> </w:t>
      </w:r>
      <w:r>
        <w:t xml:space="preserve">idealización entrega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. La rama resistente</w:t>
      </w:r>
      <w:r>
        <w:t xml:space="preserve"> </w:t>
      </w:r>
      <w:r>
        <w:t xml:space="preserve">de la chapa utiliza luego las propiedades seccionales y las acciones</w:t>
      </w:r>
      <w:r>
        <w:t xml:space="preserve"> </w:t>
      </w:r>
      <w:r>
        <w:t xml:space="preserve">concurrentes para comprobar pared, pandeo, costura, flexibilidad y tapada</w:t>
      </w:r>
      <w:r>
        <w:t xml:space="preserve"> </w:t>
      </w:r>
      <w:r>
        <w:t xml:space="preserve">mínima.</w:t>
      </w:r>
    </w:p>
    <w:p>
      <w:pPr>
        <w:pStyle w:val="BodyText"/>
      </w:pPr>
      <w:r>
        <w:t xml:space="preserve">La aplicación requiere confirmar la geometría seccional, la representatividad</w:t>
      </w:r>
      <w:r>
        <w:t xml:space="preserve"> </w:t>
      </w:r>
      <w:r>
        <w:t xml:space="preserve">de los parámetros geotécnicos adoptados, el estado hidráulico y la secuencia de</w:t>
      </w:r>
      <w:r>
        <w:t xml:space="preserve"> </w:t>
      </w:r>
      <w:r>
        <w:t xml:space="preserve">compactación. Esos antecedentes actualizan las entradas del escenario y no se</w:t>
      </w:r>
      <w:r>
        <w:t xml:space="preserve"> </w:t>
      </w:r>
      <w:r>
        <w:t xml:space="preserve">sustituyen por un coeficiente de reducción con la profundidad.</w:t>
      </w:r>
    </w:p>
    <w:bookmarkEnd w:id="191"/>
    <w:bookmarkStart w:id="196" w:name="X555264ac80f45c02e0219e3d558ff1d1fdcb3ca"/>
    <w:p>
      <w:pPr>
        <w:pStyle w:val="Heading1"/>
      </w:pPr>
      <w:r>
        <w:t xml:space="preserve">Apéndice A. Desarrollo de la solución estructural</w:t>
      </w:r>
    </w:p>
    <w:bookmarkStart w:id="192" w:name="equilibrio-del-elemento-diferencial"/>
    <w:p>
      <w:pPr>
        <w:pStyle w:val="Heading2"/>
      </w:pPr>
      <w:r>
        <w:t xml:space="preserve">Equilibrio del elemento diferencial</w:t>
      </w:r>
    </w:p>
    <w:p>
      <w:pPr>
        <w:pStyle w:val="FirstParagraph"/>
      </w:pPr>
      <w:r>
        <w:t xml:space="preserve">La fuerza interna sobre la cara positiva de la sección se expresa como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"/>
            </m:rPr>
            <m:t>F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Teniendo en cuenta las derivadas de la base polar,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b"/>
                </m:rPr>
                <m:t>F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r>
                    <m:t>d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−</m:t>
              </m:r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</m:e>
          </m:d>
          <m:sSub>
            <m:e>
              <m:r>
                <m:rPr>
                  <m:sty m:val="b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+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  <m:sSub>
                    <m:e>
                      <m:r>
                        <m:t>Q</m:t>
                      </m:r>
                    </m:e>
                    <m:sub>
                      <m:r>
                        <m:t>θ</m:t>
                      </m:r>
                    </m:sub>
                  </m:sSub>
                </m:num>
                <m:den>
                  <m:r>
                    <m:t>d</m:t>
                  </m:r>
                  <m:r>
                    <m:t>θ</m:t>
                  </m:r>
                </m:den>
              </m:f>
            </m:e>
          </m:d>
          <m:sSub>
            <m:e>
              <m:r>
                <m:rPr>
                  <m:sty m:val="b"/>
                </m:rP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equilibrio de fuerzas del elemento de longitud</w:t>
      </w:r>
      <w:r>
        <w:t xml:space="preserve"> </w:t>
      </w:r>
      <m:oMath>
        <m:r>
          <m:t>R</m:t>
        </m:r>
        <m:r>
          <m:t> </m:t>
        </m:r>
        <m:r>
          <m:t>d</m:t>
        </m:r>
        <m:r>
          <m:t>θ</m:t>
        </m:r>
      </m:oMath>
      <w:r>
        <w:t xml:space="preserve"> </w:t>
      </w:r>
      <w:r>
        <w:t xml:space="preserve">exige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rPr>
                  <m:sty m:val="b"/>
                </m:rPr>
                <m:t>F</m:t>
              </m:r>
            </m:num>
            <m:den>
              <m:r>
                <m:t>d</m:t>
              </m:r>
              <m:r>
                <m:t>θ</m:t>
              </m:r>
            </m:den>
          </m:f>
          <m:r>
            <m:rPr>
              <m:sty m:val="p"/>
            </m:rPr>
            <m:t>+</m:t>
          </m:r>
          <m:r>
            <m:t>R</m:t>
          </m:r>
          <m:r>
            <m:rPr>
              <m:sty m:val="p"/>
            </m:rPr>
            <m:t>(</m:t>
          </m:r>
          <m:sSub>
            <m:e>
              <m:r>
                <m:t>P</m:t>
              </m:r>
            </m:e>
            <m:sub>
              <m:r>
                <m:t>r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r</m:t>
              </m:r>
            </m:sub>
          </m:sSub>
          <m:r>
            <m:rPr>
              <m:sty m:val="p"/>
            </m:rPr>
            <m:t>+</m:t>
          </m:r>
          <m:sSub>
            <m:e>
              <m:r>
                <m:t>P</m:t>
              </m:r>
            </m:e>
            <m:sub>
              <m:r>
                <m:t>t</m:t>
              </m:r>
            </m:sub>
          </m:sSub>
          <m:sSub>
            <m:e>
              <m:r>
                <m:rPr>
                  <m:sty m:val="b"/>
                </m:rPr>
                <m:t>e</m:t>
              </m:r>
            </m:e>
            <m:sub>
              <m:r>
                <m:t>t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"/>
            </m:rP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La proyección sobre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rPr>
                <m:sty m:val="b"/>
              </m:rPr>
              <m:t>e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conduce a las</w:t>
      </w:r>
      <w:r>
        <w:t xml:space="preserve"> </w:t>
      </w:r>
      <w:hyperlink w:anchor="eq-ring-equilibrium-r">
        <w:r>
          <w:rPr>
            <w:rStyle w:val="Hyperlink"/>
          </w:rPr>
          <w:t xml:space="preserve">ec. 34</w:t>
        </w:r>
      </w:hyperlink>
      <w:r>
        <w:t xml:space="preserve"> </w:t>
      </w:r>
      <w:r>
        <w:t xml:space="preserve">y</w:t>
      </w:r>
      <w:r>
        <w:t xml:space="preserve"> </w:t>
      </w:r>
      <w:hyperlink w:anchor="eq-ring-equilibrium-t">
        <w:r>
          <w:rPr>
            <w:rStyle w:val="Hyperlink"/>
          </w:rPr>
          <w:t xml:space="preserve">ec. 35</w:t>
        </w:r>
      </w:hyperlink>
      <w:r>
        <w:t xml:space="preserve">. El equilibrio de momentos</w:t>
      </w:r>
      <w:r>
        <w:t xml:space="preserve"> </w:t>
      </w:r>
      <w:r>
        <w:t xml:space="preserve">respecto del centro de la sección da la</w:t>
      </w:r>
      <w:r>
        <w:t xml:space="preserve"> </w:t>
      </w:r>
      <w:hyperlink w:anchor="eq-ring-equilibrium-m">
        <w:r>
          <w:rPr>
            <w:rStyle w:val="Hyperlink"/>
          </w:rPr>
          <w:t xml:space="preserve">ec. 33</w:t>
        </w:r>
      </w:hyperlink>
      <w:r>
        <w:t xml:space="preserve">. Para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el sistema coincide con las ecuaciones radiales publicadas por Baker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ecs. 2.1a–2.1c, p. 16)</w:t>
      </w:r>
      <w:r>
        <w:t xml:space="preserve">; el término</w:t>
      </w:r>
      <w:r>
        <w:t xml:space="preserve"> </w:t>
      </w:r>
      <m:oMath>
        <m:r>
          <m:t>R</m:t>
        </m:r>
        <m:sSub>
          <m:e>
            <m:r>
              <m:t>P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resulta del equilibrio</w:t>
      </w:r>
      <w:r>
        <w:t xml:space="preserve"> </w:t>
      </w:r>
      <w:r>
        <w:t xml:space="preserve">vectorial del elemento.</w:t>
      </w:r>
    </w:p>
    <w:bookmarkEnd w:id="192"/>
    <w:bookmarkStart w:id="193" w:name="X49132d52114f601d232b13538aec113cba66093"/>
    <w:p>
      <w:pPr>
        <w:pStyle w:val="Heading2"/>
      </w:pPr>
      <w:r>
        <w:t xml:space="preserve">Determinación de las constantes de compatibilidad</w:t>
      </w:r>
    </w:p>
    <w:p>
      <w:pPr>
        <w:pStyle w:val="FirstParagraph"/>
      </w:pPr>
      <w:r>
        <w:t xml:space="preserve">La sustitución de la</w:t>
      </w:r>
      <w:r>
        <w:t xml:space="preserve"> </w:t>
      </w:r>
      <w:hyperlink w:anchor="eq-general-resultants">
        <w:r>
          <w:rPr>
            <w:rStyle w:val="Hyperlink"/>
          </w:rPr>
          <w:t xml:space="preserve">ec. 38</w:t>
        </w:r>
      </w:hyperlink>
      <w:r>
        <w:t xml:space="preserve"> </w:t>
      </w:r>
      <w:r>
        <w:t xml:space="preserve">en la primera condición de la</w:t>
      </w:r>
      <w:r>
        <w:t xml:space="preserve"> </w:t>
      </w:r>
      <w:hyperlink w:anchor="eq-compatibility-conditions">
        <w:r>
          <w:rPr>
            <w:rStyle w:val="Hyperlink"/>
          </w:rPr>
          <w:t xml:space="preserve">ec. 40</w:t>
        </w:r>
      </w:hyperlink>
      <w:r>
        <w:t xml:space="preserve"> </w:t>
      </w:r>
      <w:r>
        <w:t xml:space="preserve">produce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nary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+</m:t>
          </m:r>
          <m:r>
            <m:t>R</m:t>
          </m:r>
          <m:sSub>
            <m:e>
              <m:r>
                <m:t>λ</m:t>
              </m:r>
            </m:e>
            <m:sub>
              <m:r>
                <m:t>c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+</m:t>
          </m:r>
          <m:r>
            <m:t>R</m:t>
          </m:r>
          <m:sSub>
            <m:e>
              <m:r>
                <m:t>λ</m:t>
              </m:r>
            </m:e>
            <m:sub>
              <m:r>
                <m:t>s</m:t>
              </m:r>
            </m:sub>
          </m:sSub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  <m:r>
                <m:t>π</m:t>
              </m:r>
            </m:sup>
            <m:e>
              <m:r>
                <m:rPr>
                  <m:sty m:val="p"/>
                </m:rPr>
                <m:t>sin</m:t>
              </m:r>
            </m:e>
          </m:nary>
          <m:r>
            <m:t>θ</m:t>
          </m:r>
          <m:r>
            <m:rPr>
              <m:sty m:val="p"/>
            </m:rPr>
            <m:t>cos</m:t>
          </m:r>
          <m:r>
            <m:t>θ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Como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</m:e>
        </m:nary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y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2</m:t>
            </m:r>
            <m:r>
              <m:t>π</m:t>
            </m:r>
          </m:sup>
          <m:e>
            <m:r>
              <m:rPr>
                <m:sty m:val="p"/>
              </m:rPr>
              <m:t>sin</m:t>
            </m:r>
          </m:e>
        </m:nary>
        <m:r>
          <m:t>θ</m:t>
        </m:r>
        <m:r>
          <m:rPr>
            <m:sty m:val="p"/>
          </m:rPr>
          <m:t>cos</m:t>
        </m:r>
        <m:r>
          <m:t>θ</m:t>
        </m:r>
        <m:r>
          <m:t> </m:t>
        </m:r>
        <m:r>
          <m:t>d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, se obtiene la expresión de</w:t>
      </w:r>
      <w:r>
        <w:t xml:space="preserve"> </w:t>
      </w:r>
      <m:oMath>
        <m:sSub>
          <m:e>
            <m:r>
              <m:t>λ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de la</w:t>
      </w:r>
      <w:r>
        <w:t xml:space="preserve"> </w:t>
      </w:r>
      <w:hyperlink w:anchor="eq-compatibility-constants">
        <w:r>
          <w:rPr>
            <w:rStyle w:val="Hyperlink"/>
          </w:rPr>
          <w:t xml:space="preserve">ec. 41</w:t>
        </w:r>
      </w:hyperlink>
      <w:r>
        <w:t xml:space="preserve">. La segunda condición conduce de</w:t>
      </w:r>
      <w:r>
        <w:t xml:space="preserve"> </w:t>
      </w:r>
      <w:r>
        <w:t xml:space="preserve">igual modo a</w:t>
      </w:r>
      <w:r>
        <w:t xml:space="preserve"> </w:t>
      </w:r>
      <m:oMath>
        <m:sSub>
          <m:e>
            <m:r>
              <m:t>λ</m:t>
            </m:r>
          </m:e>
          <m:sub>
            <m:r>
              <m:t>s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Los términos de orden uno tienen media nula. Por lo tanto,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t>N</m:t>
                  </m:r>
                </m:e>
              </m:ba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</m:bar>
          <m:r>
            <m:rPr>
              <m:sty m:val="p"/>
            </m:rPr>
            <m:t>,</m:t>
          </m:r>
          <m:r>
            <m:t>  </m:t>
          </m:r>
          <m:sSub>
            <m:e>
              <m:bar>
                <m:barPr>
                  <m:pos m:val="top"/>
                </m:barPr>
                <m:e>
                  <m:r>
                    <m:t>M</m:t>
                  </m:r>
                </m:e>
              </m:ba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bar>
          <m:r>
            <m:rPr>
              <m:sty m:val="p"/>
            </m:rPr>
            <m:t>+</m:t>
          </m:r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Al introducir estas relaciones en la tercera condición de la</w:t>
      </w:r>
      <w:r>
        <w:t xml:space="preserve"> </w:t>
      </w:r>
      <w:hyperlink w:anchor="eq-compatibility-conditions">
        <w:r>
          <w:rPr>
            <w:rStyle w:val="Hyperlink"/>
          </w:rPr>
          <w:t xml:space="preserve">ec. 40</w:t>
        </w:r>
      </w:hyperlink>
      <w:r>
        <w:t xml:space="preserve"> </w:t>
      </w:r>
      <w:r>
        <w:t xml:space="preserve">se obtiene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λ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t>R</m:t>
          </m:r>
          <m:f>
            <m:fPr>
              <m:type m:val="bar"/>
            </m:fPr>
            <m:num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b>
                <m:e>
                  <m:r>
                    <m:t>η</m:t>
                  </m:r>
                </m:e>
                <m:sub>
                  <m:r>
                    <m:t>ℓ</m:t>
                  </m:r>
                </m:sub>
              </m:sSub>
            </m:den>
          </m:f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N</m:t>
                  </m:r>
                </m:e>
              </m:acc>
            </m:e>
          </m:bar>
          <m:r>
            <m:rPr>
              <m:sty m:val="p"/>
            </m:rPr>
            <m:t>−</m:t>
          </m:r>
          <m:bar>
            <m:barPr>
              <m:pos m:val="top"/>
            </m:barPr>
            <m:e>
              <m:acc>
                <m:accPr>
                  <m:chr m:val="̃"/>
                </m:accPr>
                <m:e>
                  <m:r>
                    <m:t>M</m:t>
                  </m:r>
                </m:e>
              </m:acc>
            </m:e>
          </m:ba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que completa la derivación de la</w:t>
      </w:r>
      <w:r>
        <w:t xml:space="preserve"> </w:t>
      </w:r>
      <w:hyperlink w:anchor="eq-compatibility-constants">
        <w:r>
          <w:rPr>
            <w:rStyle w:val="Hyperlink"/>
          </w:rPr>
          <w:t xml:space="preserve">ec. 41</w:t>
        </w:r>
      </w:hyperlink>
      <w:r>
        <w:t xml:space="preserve"> </w:t>
      </w:r>
      <w:r>
        <w:t xml:space="preserve">a partir de las</w:t>
      </w:r>
      <w:r>
        <w:t xml:space="preserve"> </w:t>
      </w:r>
      <w:r>
        <w:t xml:space="preserve">relaciones cinemáticas y constitutivas de la viga curva</w:t>
      </w:r>
      <w:r>
        <w:t xml:space="preserve"> </w:t>
      </w:r>
      <w:r>
        <w:t xml:space="preserve">(</w:t>
      </w:r>
      <w:hyperlink w:anchor="ref-Baker1968">
        <w:r>
          <w:rPr>
            <w:rStyle w:val="Hyperlink"/>
          </w:rPr>
          <w:t xml:space="preserve">Baker 1968</w:t>
        </w:r>
      </w:hyperlink>
      <w:r>
        <w:t xml:space="preserve">, ecs. 2.3–2.6, pp. 16–18)</w:t>
      </w:r>
      <w:r>
        <w:t xml:space="preserve">.</w:t>
      </w:r>
    </w:p>
    <w:bookmarkEnd w:id="193"/>
    <w:bookmarkStart w:id="195" w:name="coeficientes-modales"/>
    <w:p>
      <w:pPr>
        <w:pStyle w:val="Heading2"/>
      </w:pPr>
      <w:r>
        <w:t xml:space="preserve">Coeficientes modales</w:t>
      </w:r>
    </w:p>
    <w:p>
      <w:pPr>
        <w:pStyle w:val="FirstParagraph"/>
      </w:pPr>
      <w:r>
        <w:t xml:space="preserve">Para un armónico de orden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sean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r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P</m:t>
                  </m:r>
                </m:e>
                <m:sub>
                  <m:r>
                    <m:t>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N</m:t>
                  </m:r>
                </m:e>
                <m:sub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Q</m:t>
                  </m:r>
                </m:e>
                <m:sub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M</m:t>
                  </m:r>
                </m:e>
                <m:sub>
                  <m:r>
                    <m:t>θ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cos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+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sin</m:t>
              </m:r>
              <m:r>
                <m:t>n</m:t>
              </m:r>
              <m:r>
                <m:t>θ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La sustitución en las tres ecuaciones de equilibrio da el sistema algebraico</w:t>
      </w:r>
    </w:p>
    <w:p>
      <w:pPr>
        <w:pStyle w:val="BodyText"/>
      </w:pPr>
      <w:bookmarkStart w:id="194" w:name="eq-modal-algebra"/>
      <m:oMathPara>
        <m:oMathParaPr>
          <m:jc m:val="center"/>
        </m:oMathParaPr>
        <m:oMath>
          <m:eqArr>
            <m:e>
              <m:r>
                <m:t>n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−</m:t>
              </m:r>
              <m:r>
                <m:t>n</m:t>
              </m:r>
              <m:sSubSup>
                <m:e>
                  <m:r>
                    <m:t>M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,</m:t>
              </m:r>
            </m:e>
            <m:e>
              <m:r>
                <m:t>R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n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R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n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r>
                <m:t>n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R</m:t>
              </m:r>
              <m:sSub>
                <m:e>
                  <m:r>
                    <m:t>c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rPr>
                  <m:sty m:val="p"/>
                </m:rPr>
                <m:t>−</m:t>
              </m:r>
              <m:r>
                <m:t>n</m:t>
              </m:r>
              <m:sSubSup>
                <m:e>
                  <m:r>
                    <m:t>N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−</m:t>
              </m:r>
              <m:sSubSup>
                <m:e>
                  <m:r>
                    <m:t>Q</m:t>
                  </m:r>
                </m:e>
                <m:sub>
                  <m:r>
                    <m:t>n</m:t>
                  </m:r>
                </m:sub>
                <m:sup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R</m:t>
              </m:r>
              <m:sSub>
                <m:e>
                  <m:r>
                    <m:t>d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79</m:t>
          </m:r>
          <m:r>
            <m:rPr>
              <m:sty m:val="p"/>
            </m:rPr>
            <m:t>)</m:t>
          </m:r>
        </m:oMath>
      </m:oMathPara>
      <w:bookmarkEnd w:id="194"/>
    </w:p>
    <w:p>
      <w:pPr>
        <w:pStyle w:val="FirstParagraph"/>
      </w:pPr>
      <w:r>
        <w:t xml:space="preserve">La resolución de la</w:t>
      </w:r>
      <w:r>
        <w:t xml:space="preserve"> </w:t>
      </w:r>
      <w:hyperlink w:anchor="eq-modal-algebra">
        <w:r>
          <w:rPr>
            <w:rStyle w:val="Hyperlink"/>
          </w:rPr>
          <w:t xml:space="preserve">ec. 79</w:t>
        </w:r>
      </w:hyperlink>
      <w:r>
        <w:t xml:space="preserve"> </w:t>
      </w:r>
      <w:r>
        <w:t xml:space="preserve">produce los coeficientes de la</w:t>
      </w:r>
      <w:r>
        <w:t xml:space="preserve"> </w:t>
      </w:r>
      <w:hyperlink w:anchor="eq-modal-resultants">
        <w:r>
          <w:rPr>
            <w:rStyle w:val="Hyperlink"/>
          </w:rPr>
          <w:t xml:space="preserve">ec. 44</w:t>
        </w:r>
      </w:hyperlink>
      <w:r>
        <w:t xml:space="preserve">. Los coeficientes satisfacen las tres ecuaciones de</w:t>
      </w:r>
      <w:r>
        <w:t xml:space="preserve"> </w:t>
      </w:r>
      <w:r>
        <w:t xml:space="preserve">equilibrio para cada armónico. La referencia de Baker sustenta la</w:t>
      </w:r>
      <w:r>
        <w:t xml:space="preserve"> </w:t>
      </w:r>
      <w:r>
        <w:t xml:space="preserve">especialización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 la extensión a</w:t>
      </w:r>
      <w:r>
        <w:t xml:space="preserve"> </w:t>
      </w:r>
      <m:oMath>
        <m:sSub>
          <m:e>
            <m:r>
              <m:t>P</m:t>
            </m:r>
          </m:e>
          <m:sub>
            <m:r>
              <m:t>t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procede del equilibrio</w:t>
      </w:r>
      <w:r>
        <w:t xml:space="preserve"> </w:t>
      </w:r>
      <w:r>
        <w:t xml:space="preserve">vectorial precedente.</w:t>
      </w:r>
    </w:p>
    <w:bookmarkEnd w:id="195"/>
    <w:bookmarkEnd w:id="196"/>
    <w:bookmarkStart w:id="199" w:name="Xa6fdb050670bac0082bc06aaef11857a80b08e6"/>
    <w:p>
      <w:pPr>
        <w:pStyle w:val="Heading1"/>
      </w:pPr>
      <w:r>
        <w:t xml:space="preserve">Apéndice B. Sectores angulares de una tongada de compactación</w:t>
      </w:r>
    </w:p>
    <w:p>
      <w:pPr>
        <w:pStyle w:val="FirstParagraph"/>
      </w:pPr>
      <w:r>
        <w:t xml:space="preserve">La franja lateral de la</w:t>
      </w:r>
      <w:r>
        <w:t xml:space="preserve"> </w:t>
      </w:r>
      <w:hyperlink w:anchor="eq-fhwa-band">
        <w:r>
          <w:rPr>
            <w:rStyle w:val="Hyperlink"/>
          </w:rPr>
          <w:t xml:space="preserve">ec. 24</w:t>
        </w:r>
      </w:hyperlink>
      <w:r>
        <w:t xml:space="preserve"> </w:t>
      </w:r>
      <w:r>
        <w:t xml:space="preserve">queda delimitada por las cotas</w:t>
      </w:r>
      <w:r>
        <w:t xml:space="preserve"> </w:t>
      </w:r>
      <m:oMath>
        <m:sSubSup>
          <m:e>
            <m:r>
              <m:t>y</m:t>
            </m:r>
          </m:e>
          <m:sub>
            <m:r>
              <m:t>s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t xml:space="preserve"> </w:t>
      </w:r>
      <w:r>
        <w:t xml:space="preserve">y</w:t>
      </w:r>
      <w:r>
        <w:t xml:space="preserve"> </w:t>
      </w:r>
      <m:oMath>
        <m:sSubSup>
          <m:e>
            <m:r>
              <m:t>y</m:t>
            </m:r>
          </m:e>
          <m:sub>
            <m:r>
              <m:t>s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t xml:space="preserve"> </w:t>
      </w:r>
      <w:r>
        <w:t xml:space="preserve">medidas desde la solera. Para una cota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2</m:t>
        </m:r>
        <m:r>
          <m:t>R</m:t>
        </m:r>
      </m:oMath>
      <w:r>
        <w:t xml:space="preserve">, los puntos de intersección con la circunferencia satisfacen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y</m:t>
              </m:r>
            </m:num>
            <m:den>
              <m:r>
                <m:t>R</m:t>
              </m:r>
            </m:den>
          </m:f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y corresponden a los ángulos</w:t>
      </w:r>
    </w:p>
    <w:p>
      <w:pPr>
        <w:pStyle w:val="BodyText"/>
      </w:pPr>
      <w:bookmarkStart w:id="197" w:name="eq-fhwa-band-angles"/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arccos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R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t>2</m:t>
          </m:r>
          <m:r>
            <m:t>π</m:t>
          </m:r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y</m:t>
              </m:r>
            </m:sub>
          </m:sSub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80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Los límites de integración de la etapa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se forman con</w:t>
      </w:r>
    </w:p>
    <w:p>
      <w:pPr>
        <w:pStyle w:val="BodyText"/>
      </w:pPr>
      <w:bookmarkStart w:id="198" w:name="eq-fhwa-discontinuitie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t>s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θ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−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sSub>
                <m:e>
                  <m:r>
                    <m:t>θ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sSubSup>
                <m:e>
                  <m:r>
                    <m:t>y</m:t>
                  </m:r>
                </m:e>
                <m:sub>
                  <m:r>
                    <m:t>s</m:t>
                  </m:r>
                </m:sub>
                <m:sup>
                  <m:r>
                    <m:rPr>
                      <m:sty m:val="p"/>
                    </m:rPr>
                    <m:t>+</m:t>
                  </m:r>
                </m:sup>
              </m:sSubSup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81</m:t>
          </m:r>
          <m:r>
            <m:rPr>
              <m:sty m:val="p"/>
            </m:rPr>
            <m:t>)</m:t>
          </m:r>
        </m:oMath>
      </m:oMathPara>
      <w:bookmarkEnd w:id="198"/>
    </w:p>
    <w:p>
      <w:pPr>
        <w:pStyle w:val="FirstParagraph"/>
      </w:pPr>
      <w:r>
        <w:t xml:space="preserve">después de recortar las cotas al intervalo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t>R</m:t>
        </m:r>
        <m:r>
          <m:rPr>
            <m:sty m:val="p"/>
          </m:rPr>
          <m:t>]</m:t>
        </m:r>
      </m:oMath>
      <w:r>
        <w:t xml:space="preserve">, eliminar duplicados y</w:t>
      </w:r>
      <w:r>
        <w:t xml:space="preserve"> </w:t>
      </w:r>
      <w:r>
        <w:t xml:space="preserve">ordenar los ángulos. En cada intervalo definido por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t>s</m:t>
            </m:r>
          </m:sub>
        </m:sSub>
      </m:oMath>
      <w:r>
        <w:t xml:space="preserve">, la función</w:t>
      </w:r>
      <w:r>
        <w:t xml:space="preserve"> </w:t>
      </w:r>
      <m:oMath>
        <m:sSub>
          <m:e>
            <m:r>
              <m:t>I</m:t>
            </m:r>
          </m:e>
          <m:sub>
            <m:r>
              <m:t>s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es constante y las cargas de la</w:t>
      </w:r>
      <w:r>
        <w:t xml:space="preserve"> </w:t>
      </w:r>
      <w:hyperlink w:anchor="eq-fhwa-perimeter-load">
        <w:r>
          <w:rPr>
            <w:rStyle w:val="Hyperlink"/>
          </w:rPr>
          <w:t xml:space="preserve">ec. 25</w:t>
        </w:r>
      </w:hyperlink>
      <w:r>
        <w:t xml:space="preserve"> </w:t>
      </w:r>
      <w:r>
        <w:t xml:space="preserve">se</w:t>
      </w:r>
      <w:r>
        <w:t xml:space="preserve"> </w:t>
      </w:r>
      <w:r>
        <w:t xml:space="preserve">integran sin atravesar discontinuidades. La dirección horizontal y simétrica</w:t>
      </w:r>
      <w:r>
        <w:t xml:space="preserve"> </w:t>
      </w:r>
      <w:r>
        <w:t xml:space="preserve">de la acción reproduce la disposición de fuerzas de la figura 5.4 de FHWA</w:t>
      </w:r>
      <w:r>
        <w:t xml:space="preserve"> </w:t>
      </w:r>
      <w:r>
        <w:t xml:space="preserve">(</w:t>
      </w:r>
      <w:hyperlink w:anchor="ref-McGrathEtAl1999">
        <w:r>
          <w:rPr>
            <w:rStyle w:val="Hyperlink"/>
          </w:rPr>
          <w:t xml:space="preserve">McGrath et al. 1999, fig. 5.4</w:t>
        </w:r>
      </w:hyperlink>
      <w:r>
        <w:t xml:space="preserve">, pp. 175–176)</w:t>
      </w:r>
      <w:r>
        <w:t xml:space="preserve">. La formulación representa la acción</w:t>
      </w:r>
      <w:r>
        <w:t xml:space="preserve"> </w:t>
      </w:r>
      <w:r>
        <w:t xml:space="preserve">mediante franjas continuas de presión horizontal.</w:t>
      </w:r>
    </w:p>
    <w:bookmarkEnd w:id="199"/>
    <w:bookmarkStart w:id="210" w:name="X0226f0d253d66b6eb4774afa74e0fff38ffb1f2"/>
    <w:p>
      <w:pPr>
        <w:pStyle w:val="Heading1"/>
      </w:pPr>
      <w:r>
        <w:t xml:space="preserve">Apéndice C. Coeficientes de Schwartz–Einstein</w:t>
      </w:r>
    </w:p>
    <w:p>
      <w:pPr>
        <w:pStyle w:val="FirstParagraph"/>
      </w:pPr>
      <w:r>
        <w:t xml:space="preserve">Las expresiones se presentan inicialmente con la convención de la fuente:</w:t>
      </w:r>
      <w:r>
        <w:t xml:space="preserve"> </w:t>
      </w:r>
      <m:oMath>
        <m:sSub>
          <m:e>
            <m:r>
              <m:t>θ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en el hastial derecho, sentido antihorario y</w:t>
      </w:r>
      <w:r>
        <w:t xml:space="preserve"> </w:t>
      </w:r>
      <m:oMath>
        <m:sSub>
          <m:e>
            <m:r>
              <m:t>T</m:t>
            </m:r>
          </m:e>
          <m:sub>
            <m:r>
              <m:t>S</m:t>
            </m:r>
            <m:r>
              <m:t>E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compresión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1980, fig. 2.6</w:t>
        </w:r>
      </w:hyperlink>
      <w:r>
        <w:t xml:space="preserve">, p. 22)</w:t>
      </w:r>
      <w:r>
        <w:t xml:space="preserve">. La fuerza</w:t>
      </w:r>
      <w:r>
        <w:t xml:space="preserve"> </w:t>
      </w:r>
      <w:r>
        <w:t xml:space="preserve">cortante de la fuente satisface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R</m:t>
              </m:r>
            </m:den>
          </m:f>
          <m:f>
            <m:fPr>
              <m:type m:val="bar"/>
            </m:fPr>
            <m:num>
              <m:r>
                <m:t>d</m:t>
              </m:r>
              <m:sSub>
                <m:e>
                  <m:r>
                    <m:t>M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num>
            <m:den>
              <m:r>
                <m:t>d</m:t>
              </m:r>
              <m:sSub>
                <m:e>
                  <m:r>
                    <m:t>θ</m:t>
                  </m:r>
                </m:e>
                <m:sub>
                  <m:r>
                    <m:t>S</m:t>
                  </m:r>
                  <m:r>
                    <m:t>E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El cambio de coordenada angular y de signos adoptado para expresar esas</w:t>
      </w:r>
      <w:r>
        <w:t xml:space="preserve"> </w:t>
      </w:r>
      <w:r>
        <w:t xml:space="preserve">resultantes en la convención general es</w:t>
      </w:r>
    </w:p>
    <w:p>
      <w:pPr>
        <w:pStyle w:val="BodyText"/>
      </w:pPr>
      <w:bookmarkStart w:id="200" w:name="eq-se-resultant-conversion"/>
      <m:oMathPara>
        <m:oMathParaPr>
          <m:jc m:val="center"/>
        </m:oMathParaPr>
        <m:oMath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r>
            <m:t>θ</m:t>
          </m:r>
          <m:r>
            <m:t> </m:t>
          </m:r>
          <m:r>
            <m:rPr>
              <m:sty m:val="p"/>
            </m:rPr>
            <m:t>(</m:t>
          </m:r>
          <m:r>
            <m:rPr>
              <m:sty m:val="p"/>
            </m:rPr>
            <m:t>mod</m:t>
          </m:r>
          <m:r>
            <m:t> 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N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T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M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Q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=</m:t>
          </m:r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82</m:t>
          </m:r>
          <m:r>
            <m:rPr>
              <m:sty m:val="p"/>
            </m:rPr>
            <m:t>)</m:t>
          </m:r>
        </m:oMath>
      </m:oMathPara>
      <w:bookmarkEnd w:id="200"/>
    </w:p>
    <w:p>
      <w:pPr>
        <w:pStyle w:val="FirstParagraph"/>
      </w:pPr>
      <w:r>
        <w:t xml:space="preserve">En la condición</w:t>
      </w:r>
      <w:r>
        <w:t xml:space="preserve"> </w:t>
      </w:r>
      <w:r>
        <w:rPr>
          <w:i/>
          <w:iCs/>
        </w:rPr>
        <w:t xml:space="preserve">full slip</w:t>
      </w:r>
      <w:r>
        <w:t xml:space="preserve">, la tracción tangencial en la interfaz es nula; en</w:t>
      </w:r>
      <w:r>
        <w:t xml:space="preserve"> </w:t>
      </w:r>
      <w:r>
        <w:rPr>
          <w:i/>
          <w:iCs/>
        </w:rPr>
        <w:t xml:space="preserve">no slip</w:t>
      </w:r>
      <w:r>
        <w:t xml:space="preserve">, el desplazamiento tangencial relativo entre terreno y revestimiento</w:t>
      </w:r>
      <w:r>
        <w:t xml:space="preserve"> </w:t>
      </w:r>
      <w:r>
        <w:t xml:space="preserve">es nulo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1980, sec. 2.3</w:t>
        </w:r>
      </w:hyperlink>
      <w:r>
        <w:t xml:space="preserve">, p. 17)</w:t>
      </w:r>
      <w:r>
        <w:t xml:space="preserve">. En los encabezados siguientes</w:t>
      </w:r>
      <w:r>
        <w:t xml:space="preserve"> </w:t>
      </w:r>
      <w:r>
        <w:t xml:space="preserve">se emplean, respectivamente, «deslizamiento completo» y «sin deslizamiento»,</w:t>
      </w:r>
      <w:r>
        <w:t xml:space="preserve"> </w:t>
      </w:r>
      <w:r>
        <w:t xml:space="preserve">conservando entre paréntesis la denominación original.</w:t>
      </w:r>
    </w:p>
    <w:p>
      <w:pPr>
        <w:pStyle w:val="BodyText"/>
      </w:pPr>
      <w:r>
        <w:t xml:space="preserve">Con las razones</w:t>
      </w:r>
      <w:r>
        <w:t xml:space="preserve"> </w:t>
      </w:r>
      <m:oMath>
        <m:sSup>
          <m:e>
            <m:r>
              <m:t>C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y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de la</w:t>
      </w:r>
      <w:r>
        <w:t xml:space="preserve"> </w:t>
      </w:r>
      <w:hyperlink w:anchor="eq-se-stiffness">
        <w:r>
          <w:rPr>
            <w:rStyle w:val="Hyperlink"/>
          </w:rPr>
          <w:t xml:space="preserve">ec. 1</w:t>
        </w:r>
      </w:hyperlink>
      <w:r>
        <w:t xml:space="preserve">, la respuesta se escribe</w:t>
      </w:r>
      <w:r>
        <w:t xml:space="preserve"> </w:t>
      </w:r>
      <w:r>
        <w:t xml:space="preserve">en la forma de la</w:t>
      </w:r>
      <w:r>
        <w:t xml:space="preserve"> </w:t>
      </w:r>
      <w:hyperlink w:anchor="eq-se-response">
        <w:r>
          <w:rPr>
            <w:rStyle w:val="Hyperlink"/>
          </w:rPr>
          <w:t xml:space="preserve">ec. 2</w:t>
        </w:r>
      </w:hyperlink>
      <w:r>
        <w:t xml:space="preserve">. La fuerza cortante de la fuente es</w:t>
      </w:r>
    </w:p>
    <w:p>
      <w:pPr>
        <w:pStyle w:val="BodyText"/>
      </w:pPr>
      <w:bookmarkStart w:id="201" w:name="eq-se-shear"/>
      <m:oMathPara>
        <m:oMathParaPr>
          <m:jc m:val="center"/>
        </m:oMathParaPr>
        <m:oMath>
          <m:sSub>
            <m:e>
              <m:r>
                <m:t>V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sSub>
            <m:e>
              <m:r>
                <m:t>P</m:t>
              </m:r>
            </m:e>
            <m:sub>
              <m:r>
                <m:t>S</m:t>
              </m:r>
              <m:r>
                <m:t>E</m:t>
              </m:r>
            </m:sub>
          </m:sSub>
          <m:r>
            <m:t>R</m:t>
          </m:r>
          <m:r>
            <m:t> 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sin</m:t>
          </m:r>
          <m:r>
            <m:t>2</m:t>
          </m:r>
          <m:sSub>
            <m:e>
              <m:r>
                <m:t>θ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83</m:t>
          </m:r>
          <m:r>
            <m:rPr>
              <m:sty m:val="p"/>
            </m:rPr>
            <m:t>)</m:t>
          </m:r>
        </m:oMath>
      </m:oMathPara>
      <w:bookmarkEnd w:id="201"/>
    </w:p>
    <w:bookmarkStart w:id="203" w:name="X65b1b83e9f1a5f6bcb0799174c38fc95b961f7b"/>
    <w:p>
      <w:pPr>
        <w:pStyle w:val="Heading2"/>
      </w:pPr>
      <w:r>
        <w:t xml:space="preserve">Descarga por excavación con deslizamiento completo (</w:t>
      </w:r>
      <w:r>
        <w:rPr>
          <w:i/>
          <w:iCs/>
        </w:rPr>
        <w:t xml:space="preserve">full slip</w:t>
      </w:r>
      <w:r>
        <w:t xml:space="preserve">)</w:t>
      </w:r>
    </w:p>
    <w:p>
      <w:pPr>
        <w:pStyle w:val="FirstParagraph"/>
      </w:pPr>
      <w:r>
        <w:t xml:space="preserve">Para la solución denominada</w:t>
      </w:r>
      <w:r>
        <w:t xml:space="preserve"> </w:t>
      </w:r>
      <w:r>
        <w:rPr>
          <w:i/>
          <w:iCs/>
        </w:rPr>
        <w:t xml:space="preserve">full slip</w:t>
      </w:r>
      <w:r>
        <w:t xml:space="preserve"> </w:t>
      </w:r>
      <w:r>
        <w:t xml:space="preserve">por la fuente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ec. A.47, pp. 368–369)</w:t>
      </w:r>
      <w:r>
        <w:t xml:space="preserve">, se definen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coeficientes son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a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202" w:name="eq-se-excavation-slip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84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5" w:name="X47569550c7e93e00b2bbdcf87d64e0e8f130509"/>
    <w:p>
      <w:pPr>
        <w:pStyle w:val="Heading2"/>
      </w:pPr>
      <w:r>
        <w:t xml:space="preserve">Descarga por excavación sin deslizamiento (</w:t>
      </w:r>
      <w:r>
        <w:rPr>
          <w:i/>
          <w:iCs/>
        </w:rPr>
        <w:t xml:space="preserve">no slip</w:t>
      </w:r>
      <w:r>
        <w:t xml:space="preserve">)</w:t>
      </w:r>
    </w:p>
    <w:p>
      <w:pPr>
        <w:pStyle w:val="FirstParagraph"/>
      </w:pPr>
      <w:r>
        <w:t xml:space="preserve">Para la solución</w:t>
      </w:r>
      <w:r>
        <w:t xml:space="preserve"> </w:t>
      </w:r>
      <w:r>
        <w:rPr>
          <w:i/>
          <w:iCs/>
        </w:rPr>
        <w:t xml:space="preserve">no slip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ec. A.48, pp. 368–371)</w:t>
      </w:r>
      <w:r>
        <w:t xml:space="preserve">, se definen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num>
            <m:den>
              <m:r>
                <m:t>3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</m:den>
          </m:f>
          <m:r>
            <m:rPr>
              <m:sty m:val="p"/>
            </m:rPr>
            <m:t>,</m:t>
          </m:r>
          <m:r>
            <m:t>  </m:t>
          </m:r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b</m:t>
              </m:r>
            </m:e>
          </m:acc>
          <m:r>
            <m:t> </m:t>
          </m:r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Con el mismo</w:t>
      </w:r>
      <w:r>
        <w:t xml:space="preserve"> </w:t>
      </w:r>
      <m:oMath>
        <m:sSubSup>
          <m:e>
            <m:r>
              <m:t>a</m:t>
            </m:r>
          </m:e>
          <m:sub>
            <m:r>
              <m:t>0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de la solución anterior,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Sup>
            <m:e>
              <m:r>
                <m:t>a</m:t>
              </m:r>
            </m:e>
            <m:sub>
              <m:r>
                <m:t>0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204" w:name="eq-se-excavation-bonded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2</m:t>
          </m:r>
          <m:sSubSup>
            <m:e>
              <m:r>
                <m:t>a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+</m:t>
          </m:r>
          <m:r>
            <m:t>2</m:t>
          </m:r>
          <m:sSubSup>
            <m:e>
              <m:r>
                <m:t>b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85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7" w:name="X207241cae00c49f4adc8e49bb3fd24a9b997d1a"/>
    <w:p>
      <w:pPr>
        <w:pStyle w:val="Heading2"/>
      </w:pPr>
      <w:r>
        <w:t xml:space="preserve">Carga externa con deslizamiento completo (</w:t>
      </w:r>
      <w:r>
        <w:rPr>
          <w:i/>
          <w:iCs/>
        </w:rPr>
        <w:t xml:space="preserve">full slip</w:t>
      </w:r>
      <w:r>
        <w:t xml:space="preserve">)</w:t>
      </w:r>
    </w:p>
    <w:p>
      <w:pPr>
        <w:pStyle w:val="FirstParagraph"/>
      </w:pPr>
      <w:r>
        <w:t xml:space="preserve">Para las ecuaciones A.49–A.51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ecs. A.49–A.51, pp. 372–373)</w:t>
      </w:r>
      <w:r>
        <w:t xml:space="preserve">, se definen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num>
            <m:den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6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18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,</m:t>
          </m:r>
          <m:r>
            <m:t>  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</m:num>
            <m:den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15</m:t>
              </m:r>
              <m:r>
                <m:rPr>
                  <m:sty m:val="p"/>
                </m:rPr>
                <m:t>−</m:t>
              </m:r>
              <m:r>
                <m:t>18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coeficientes son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206" w:name="eq-se-external-slip"/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4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86</m:t>
          </m:r>
          <m:r>
            <m:rPr>
              <m:sty m:val="p"/>
            </m:rPr>
            <m:t>)</m:t>
          </m:r>
        </m:oMath>
      </m:oMathPara>
      <w:bookmarkEnd w:id="206"/>
    </w:p>
    <w:bookmarkEnd w:id="207"/>
    <w:bookmarkStart w:id="209" w:name="carga-externa-sin-deslizamiento-no-slip"/>
    <w:p>
      <w:pPr>
        <w:pStyle w:val="Heading2"/>
      </w:pPr>
      <w:r>
        <w:t xml:space="preserve">Carga externa sin deslizamiento (</w:t>
      </w:r>
      <w:r>
        <w:rPr>
          <w:i/>
          <w:iCs/>
        </w:rPr>
        <w:t xml:space="preserve">no slip</w:t>
      </w:r>
      <w:r>
        <w:t xml:space="preserve">)</w:t>
      </w:r>
    </w:p>
    <w:p>
      <w:pPr>
        <w:pStyle w:val="FirstParagraph"/>
      </w:pPr>
      <w:r>
        <w:t xml:space="preserve">Para las ecuaciones A.52–A.54</w:t>
      </w:r>
      <w:r>
        <w:t xml:space="preserve"> </w:t>
      </w:r>
      <w:r>
        <w:t xml:space="preserve">(</w:t>
      </w:r>
      <w:hyperlink w:anchor="ref-SchwartzEinstein1980">
        <w:r>
          <w:rPr>
            <w:rStyle w:val="Hyperlink"/>
          </w:rPr>
          <w:t xml:space="preserve">Schwartz y Einstein 1980</w:t>
        </w:r>
      </w:hyperlink>
      <w:r>
        <w:t xml:space="preserve">, ecs. A.52–A.54, pp. 373–374)</w:t>
      </w:r>
      <w:r>
        <w:t xml:space="preserve">, se utiliza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de la</w:t>
      </w:r>
      <w:r>
        <w:t xml:space="preserve"> </w:t>
      </w:r>
      <w:r>
        <w:t xml:space="preserve">solución anterior y se definen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5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8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+</m:t>
              </m:r>
              <m:r>
                <m:t>6</m:t>
              </m:r>
              <m:sSubSup>
                <m:e>
                  <m:r>
                    <m:t>ν</m:t>
                  </m:r>
                </m:e>
                <m:sub>
                  <m:r>
                    <m:t>g</m:t>
                  </m:r>
                </m:sub>
                <m:sup>
                  <m:r>
                    <m:t>2</m:t>
                  </m:r>
                </m:sup>
              </m:sSubSup>
            </m:e>
          </m:d>
          <m:r>
            <m:rPr>
              <m:sty m:val="p"/>
            </m:rPr>
            <m:t>+</m:t>
          </m:r>
          <m:r>
            <m:t>6</m:t>
          </m:r>
          <m:r>
            <m:rPr>
              <m:sty m:val="p"/>
            </m:rPr>
            <m:t>−</m:t>
          </m:r>
          <m:r>
            <m:t>8</m:t>
          </m:r>
          <m:sSub>
            <m:e>
              <m:r>
                <m:t>ν</m:t>
              </m:r>
            </m:e>
            <m:sub>
              <m:r>
                <m:t>g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6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ν</m:t>
                      </m:r>
                    </m:e>
                    <m:sub>
                      <m:r>
                        <m:t>g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C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ν</m:t>
                  </m:r>
                </m:e>
                <m:sub>
                  <m:r>
                    <m:t>g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</m:num>
            <m:den>
              <m:acc>
                <m:accPr>
                  <m:chr m:val="̂"/>
                </m:accPr>
                <m:e>
                  <m:r>
                    <m:t>a</m:t>
                  </m:r>
                </m:e>
              </m:acc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Los coeficientes finales son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bookmarkStart w:id="208" w:name="eq-se-external-bonded"/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K</m:t>
              </m:r>
            </m:e>
            <m:sub>
              <m:r>
                <m:t>S</m:t>
              </m:r>
              <m:r>
                <m:t>E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a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a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87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Estas cuatro soluciones corresponden a un medio elástico homogéneo, una</w:t>
      </w:r>
      <w:r>
        <w:t xml:space="preserve"> </w:t>
      </w:r>
      <w:r>
        <w:t xml:space="preserve">sección circular, deformación plana y un estado tensional inicial uniforme. Su</w:t>
      </w:r>
      <w:r>
        <w:t xml:space="preserve"> </w:t>
      </w:r>
      <w:r>
        <w:t xml:space="preserve">uso como referencia exige conservar la secuencia de carga y la condición de</w:t>
      </w:r>
      <w:r>
        <w:t xml:space="preserve"> </w:t>
      </w:r>
      <w:r>
        <w:t xml:space="preserve">interfaz de cada expresión.</w:t>
      </w:r>
    </w:p>
    <w:bookmarkEnd w:id="209"/>
    <w:bookmarkEnd w:id="210"/>
    <w:bookmarkStart w:id="215" w:name="sec-methodology-shotcrete-controls"/>
    <w:p>
      <w:pPr>
        <w:pStyle w:val="Heading1"/>
      </w:pPr>
      <w:r>
        <w:t xml:space="preserve">Apéndice D. Controles y datos requeridos</w:t>
      </w:r>
    </w:p>
    <w:bookmarkStart w:id="211" w:name="d.1-controles-del-cálculo-de-acciones"/>
    <w:p>
      <w:pPr>
        <w:pStyle w:val="Heading2"/>
      </w:pPr>
      <w:r>
        <w:t xml:space="preserve">D.1 Controles del cálculo de acciones</w:t>
      </w:r>
    </w:p>
    <w:p>
      <w:pPr>
        <w:pStyle w:val="FirstParagraph"/>
      </w:pPr>
      <w:r>
        <w:t xml:space="preserve">Para cada combinación y condición de interfaz se comprueba:</w:t>
      </w:r>
    </w:p>
    <w:p>
      <w:pPr>
        <w:pStyle w:val="ListBullet"/>
      </w:pPr>
      <w:r>
        <w:t xml:space="preserve">correspondencia entre los factores vertical y horizontal declarados y el</w:t>
      </w:r>
      <w:r>
        <w:t xml:space="preserve"> </w:t>
      </w:r>
      <w:r>
        <w:t xml:space="preserve">estado tensional utilizado para resolver la interacción;</w:t>
      </w:r>
    </w:p>
    <w:p>
      <w:pPr>
        <w:pStyle w:val="ListBullet"/>
      </w:pPr>
      <w:r>
        <w:t xml:space="preserve">conservación de una misma combinación, etapa y posición angular en</w:t>
      </w:r>
      <w:r>
        <w:t xml:space="preserve"> </w:t>
      </w:r>
      <m:oMath>
        <m:sSub>
          <m:e>
            <m:r>
              <m:t>N</m:t>
            </m:r>
          </m:e>
          <m:sub>
            <m:r>
              <m:t>θ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θ</m:t>
            </m:r>
          </m:sub>
        </m:sSub>
      </m:oMath>
      <w:r>
        <w:t xml:space="preserve"> </w:t>
      </w:r>
      <w:r>
        <w:t xml:space="preserve">y</w:t>
      </w:r>
      <w:r>
        <w:t xml:space="preserve"> </w:t>
      </w:r>
      <m:oMath>
        <m:sSub>
          <m:e>
            <m:r>
              <m:t>Q</m:t>
            </m:r>
          </m:e>
          <m:sub>
            <m:r>
              <m:t>θ</m:t>
            </m:r>
          </m:sub>
        </m:sSub>
      </m:oMath>
      <w:r>
        <w:t xml:space="preserve">;</w:t>
      </w:r>
    </w:p>
    <w:p>
      <w:pPr>
        <w:pStyle w:val="ListBullet"/>
      </w:pPr>
      <w:r>
        <w:t xml:space="preserve">uso de la geometría y la rigidez propias de la alternativa de hormigón;</w:t>
      </w:r>
    </w:p>
    <w:p>
      <w:pPr>
        <w:pStyle w:val="ListBullet"/>
      </w:pPr>
      <w:r>
        <w:t xml:space="preserve">equilibrio y cierre periódico de las distribuciones angulares; y</w:t>
      </w:r>
    </w:p>
    <w:p>
      <w:pPr>
        <w:pStyle w:val="ListBullet"/>
      </w:pPr>
      <w:r>
        <w:t xml:space="preserve">correspondencia de unidades entre kN/m, kN·m/m, N y N·mm.</w:t>
      </w:r>
    </w:p>
    <w:bookmarkEnd w:id="211"/>
    <w:bookmarkStart w:id="212" w:name="d.2-controles-de-hormigón-simple"/>
    <w:p>
      <w:pPr>
        <w:pStyle w:val="Heading2"/>
      </w:pPr>
      <w:r>
        <w:t xml:space="preserve">D.2 Controles de hormigón simple</w:t>
      </w:r>
    </w:p>
    <w:p>
      <w:pPr>
        <w:pStyle w:val="FirstParagraph"/>
      </w:pPr>
      <w:r>
        <w:t xml:space="preserve">La aplicación del Capítulo 14 requiere documentar:</w:t>
      </w:r>
    </w:p>
    <w:tbl>
      <w:tblPr>
        <w:tblStyle w:val="Table"/>
        <w:tblLayout w:type="autofi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Componente</w:t>
            </w:r>
          </w:p>
        </w:tc>
        <w:tc>
          <w:tcPr/>
          <w:p>
            <w:pPr>
              <w:pStyle w:val="Compact"/>
            </w:pPr>
            <w:r>
              <w:t xml:space="preserve">Dato o condición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sección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h</m:t>
              </m:r>
            </m:oMath>
            <w:r>
              <w:t xml:space="preserve">, condición de colocación contra suelo y espesor de cálculo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d</m:t>
                  </m:r>
                </m:sub>
              </m:sSub>
            </m:oMath>
          </w:p>
        </w:tc>
      </w:tr>
      <w:tr>
        <w:tc>
          <w:tcPr/>
          <w:p>
            <w:pPr>
              <w:pStyle w:val="Compact"/>
            </w:pPr>
            <w:r>
              <w:t xml:space="preserve">hormigón</w:t>
            </w:r>
          </w:p>
        </w:tc>
        <w:tc>
          <w:tcPr/>
          <w:p>
            <w:pPr>
              <w:pStyle w:val="Compact"/>
            </w:pPr>
            <m:oMath>
              <m:sSubSup>
                <m:e>
                  <m:r>
                    <m:t>f</m:t>
                  </m:r>
                </m:e>
                <m:sub>
                  <m:r>
                    <m:t>c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oMath>
            <w:r>
              <w:t xml:space="preserve">,</w:t>
            </w:r>
            <w:r>
              <w:t xml:space="preserve"> </w:t>
            </w:r>
            <m:oMath>
              <m:r>
                <m:t>λ</m:t>
              </m:r>
            </m:oMath>
            <w:r>
              <w:t xml:space="preserve"> </w:t>
            </w:r>
            <w:r>
              <w:t xml:space="preserve">y procedencia de las propiedades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acciones</w:t>
            </w:r>
          </w:p>
        </w:tc>
        <w:tc>
          <w:tcPr/>
          <w:p>
            <w:pPr>
              <w:pStyle w:val="Compact"/>
            </w:pPr>
            <m:oMath>
              <m:sSub>
                <m:e>
                  <m:r>
                    <m:t>P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M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y</w:t>
            </w:r>
            <w:r>
              <w:t xml:space="preserve"> </w:t>
            </w:r>
            <m:oMath>
              <m:sSub>
                <m:e>
                  <m:r>
                    <m:t>V</m:t>
                  </m:r>
                </m:e>
                <m:sub>
                  <m:r>
                    <m:t>u</m:t>
                  </m:r>
                </m:sub>
              </m:sSub>
            </m:oMath>
            <w:r>
              <w:t xml:space="preserve"> </w:t>
            </w:r>
            <w:r>
              <w:t xml:space="preserve">mayorados y concurrentes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compresión</w:t>
            </w:r>
          </w:p>
        </w:tc>
        <w:tc>
          <w:tcPr/>
          <w:p>
            <w:pPr>
              <w:pStyle w:val="Compact"/>
            </w:pPr>
            <w:r>
              <w:t xml:space="preserve">longitud</w:t>
            </w:r>
            <w:r>
              <w:t xml:space="preserve"> </w:t>
            </w:r>
            <m:oMath>
              <m:sSub>
                <m:e>
                  <m:r>
                    <m:t>ℓ</m:t>
                  </m:r>
                </m:e>
                <m:sub>
                  <m:r>
                    <m:t>c</m:t>
                  </m:r>
                </m:sub>
              </m:sSub>
            </m:oMath>
            <w:r>
              <w:t xml:space="preserve"> </w:t>
            </w:r>
            <w:r>
              <w:t xml:space="preserve">utilizada en la Ecuación 14.5.3.1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aplicabilidad</w:t>
            </w:r>
          </w:p>
        </w:tc>
        <w:tc>
          <w:tcPr/>
          <w:p>
            <w:pPr>
              <w:pStyle w:val="Compact"/>
            </w:pPr>
            <w:r>
              <w:t xml:space="preserve">tipología estructural y base que habilita hormigón simple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alcance sísmico</w:t>
            </w:r>
          </w:p>
        </w:tc>
        <w:tc>
          <w:tcPr/>
          <w:p>
            <w:pPr>
              <w:pStyle w:val="Compact"/>
            </w:pPr>
            <w:r>
              <w:t xml:space="preserve">categoría de diseño sísmico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discontinuidades</w:t>
            </w:r>
          </w:p>
        </w:tc>
        <w:tc>
          <w:tcPr/>
          <w:p>
            <w:pPr>
              <w:pStyle w:val="Compact"/>
            </w:pPr>
            <w:r>
              <w:t xml:space="preserve">disposición de juntas y tratamiento de continuidad flexional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aberturas</w:t>
            </w:r>
          </w:p>
        </w:tc>
        <w:tc>
          <w:tcPr/>
          <w:p>
            <w:pPr>
              <w:pStyle w:val="Compact"/>
            </w:pPr>
            <w:r>
              <w:t xml:space="preserve">ausencia de aberturas o detalle conforme alrededor de ellas</w:t>
            </w:r>
          </w:p>
        </w:tc>
      </w:tr>
    </w:tbl>
    <w:p>
      <w:pPr>
        <w:pStyle w:val="BodyText"/>
      </w:pPr>
      <w:r>
        <w:t xml:space="preserve">Los controles numéricos mínimos comprenden fuerza axial pura, flexión pura,</w:t>
      </w:r>
      <w:r>
        <w:t xml:space="preserve"> </w:t>
      </w:r>
      <w:r>
        <w:t xml:space="preserve">corte puro, inversión del signo del momento y coincidencia entre la fila</w:t>
      </w:r>
      <w:r>
        <w:t xml:space="preserve"> </w:t>
      </w:r>
      <w:r>
        <w:t xml:space="preserve">gobernante y el máximo de cada utilización. Una acción no mayorada no se</w:t>
      </w:r>
      <w:r>
        <w:t xml:space="preserve"> </w:t>
      </w:r>
      <w:r>
        <w:t xml:space="preserve">compara con una resistencia de diseño.</w:t>
      </w:r>
    </w:p>
    <w:p>
      <w:pPr>
        <w:pStyle w:val="BodyText"/>
      </w:pPr>
      <w:r>
        <w:t xml:space="preserve">La ausencia de armadura no constituye un incumplimiento de esta rama. Las</w:t>
      </w:r>
      <w:r>
        <w:t xml:space="preserve"> </w:t>
      </w:r>
      <w:r>
        <w:t xml:space="preserve">cuantías mínimas y el detallado de armaduras sólo se aplican cuando la sección</w:t>
      </w:r>
      <w:r>
        <w:t xml:space="preserve"> </w:t>
      </w:r>
      <w:r>
        <w:t xml:space="preserve">se clasifica como hormigón armado.</w:t>
      </w:r>
    </w:p>
    <w:bookmarkEnd w:id="212"/>
    <w:bookmarkStart w:id="213" w:name="d.3-controles-de-hormigón-armado"/>
    <w:p>
      <w:pPr>
        <w:pStyle w:val="Heading2"/>
      </w:pPr>
      <w:r>
        <w:t xml:space="preserve">D.3 Controles de hormigón armado</w:t>
      </w:r>
    </w:p>
    <w:p>
      <w:pPr>
        <w:pStyle w:val="FirstParagraph"/>
      </w:pPr>
      <w:r>
        <w:t xml:space="preserve">El núcleo seccional armado se comprueba mediante:</w:t>
      </w:r>
    </w:p>
    <w:p>
      <w:pPr>
        <w:pStyle w:val="ListBullet"/>
      </w:pPr>
      <w:r>
        <w:t xml:space="preserve">equilibrio de fuerzas y momentos para cada estado de deformación;</w:t>
      </w:r>
    </w:p>
    <w:p>
      <w:pPr>
        <w:pStyle w:val="ListBullet"/>
      </w:pPr>
      <w:r>
        <w:t xml:space="preserve">simetría del dominio respecto de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para secciones simétricas;</w:t>
      </w:r>
    </w:p>
    <w:p>
      <w:pPr>
        <w:pStyle w:val="ListBullet"/>
      </w:pPr>
      <w:r>
        <w:t xml:space="preserve">inversión coherente de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 intercambiar las caras;</w:t>
      </w:r>
    </w:p>
    <w:p>
      <w:pPr>
        <w:pStyle w:val="ListBullet"/>
      </w:pPr>
      <w:r>
        <w:t xml:space="preserve">convergencia respecto de la discretización del contorno; y</w:t>
      </w:r>
    </w:p>
    <w:p>
      <w:pPr>
        <w:pStyle w:val="ListBullet"/>
      </w:pPr>
      <w:r>
        <w:t xml:space="preserve">reproducción de estados elementales de fuerza normal y flexión.</w:t>
      </w:r>
    </w:p>
    <w:p>
      <w:pPr>
        <w:pStyle w:val="BodyText"/>
      </w:pPr>
      <w:r>
        <w:t xml:space="preserve">La cuantía se controla como total por dirección; no se confunde ese total con</w:t>
      </w:r>
      <w:r>
        <w:t xml:space="preserve"> </w:t>
      </w:r>
      <w:r>
        <w:t xml:space="preserve">el área de cada cara. Cuando se adopta una distribución simétrica, se comprueba</w:t>
      </w:r>
      <w:r>
        <w:t xml:space="preserve"> </w:t>
      </w:r>
      <w:r>
        <w:t xml:space="preserve">además la igualdad de las áreas interior y exterior y la presencia de una</w:t>
      </w:r>
      <w:r>
        <w:t xml:space="preserve"> </w:t>
      </w:r>
      <w:r>
        <w:t xml:space="preserve">armadura ortogonal independiente. La resistencia del acero, las coordenadas</w:t>
      </w:r>
      <w:r>
        <w:t xml:space="preserve"> </w:t>
      </w:r>
      <w:r>
        <w:t xml:space="preserve">de las capas y el módulo elástico son primitivas de la sección, no valores</w:t>
      </w:r>
      <w:r>
        <w:t xml:space="preserve"> </w:t>
      </w:r>
      <w:r>
        <w:t xml:space="preserve">deducidos de la cuantía total.</w:t>
      </w:r>
    </w:p>
    <w:p>
      <w:pPr>
        <w:pStyle w:val="BodyText"/>
      </w:pPr>
      <w:r>
        <w:t xml:space="preserve">Estas verificaciones comprueban la compatibilidad, el equilibrio y el control</w:t>
      </w:r>
      <w:r>
        <w:t xml:space="preserve"> </w:t>
      </w:r>
      <w:r>
        <w:t xml:space="preserve">separado de cuantía mínima; no adoptan una malla. Las demandas de cáscara, el</w:t>
      </w:r>
      <w:r>
        <w:t xml:space="preserve"> </w:t>
      </w:r>
      <w:r>
        <w:t xml:space="preserve">corte, la acción longitudinal, la estabilidad y el detallado se evalúan con el</w:t>
      </w:r>
      <w:r>
        <w:t xml:space="preserve"> </w:t>
      </w:r>
      <w:r>
        <w:t xml:space="preserve">articulado aplicable de ACI CODE-318.2-25.</w:t>
      </w:r>
    </w:p>
    <w:bookmarkEnd w:id="213"/>
    <w:bookmarkStart w:id="214" w:name="d.4-comprobaciones-independientes"/>
    <w:p>
      <w:pPr>
        <w:pStyle w:val="Heading2"/>
      </w:pPr>
      <w:r>
        <w:t xml:space="preserve">D.4 Comprobaciones independientes</w:t>
      </w:r>
    </w:p>
    <w:p>
      <w:pPr>
        <w:pStyle w:val="FirstParagraph"/>
      </w:pPr>
      <w:r>
        <w:t xml:space="preserve">La resistencia local se informa separadamente de:</w:t>
      </w:r>
    </w:p>
    <w:p>
      <w:pPr>
        <w:pStyle w:val="ListBullet"/>
      </w:pPr>
      <w:r>
        <w:t xml:space="preserve">estabilidad global y efectos de segundo orden;</w:t>
      </w:r>
    </w:p>
    <w:p>
      <w:pPr>
        <w:pStyle w:val="ListBullet"/>
      </w:pPr>
      <w:r>
        <w:t xml:space="preserve">durabilidad, exposición y recubrimiento;</w:t>
      </w:r>
    </w:p>
    <w:p>
      <w:pPr>
        <w:pStyle w:val="ListBullet"/>
      </w:pPr>
      <w:r>
        <w:t xml:space="preserve">fisuración y deformaciones en servicio;</w:t>
      </w:r>
    </w:p>
    <w:p>
      <w:pPr>
        <w:pStyle w:val="ListBullet"/>
      </w:pPr>
      <w:r>
        <w:t xml:space="preserve">juntas, aberturas y anclajes;</w:t>
      </w:r>
    </w:p>
    <w:p>
      <w:pPr>
        <w:pStyle w:val="ListBullet"/>
      </w:pPr>
      <w:r>
        <w:t xml:space="preserve">transferencia con la chapa existente; y</w:t>
      </w:r>
    </w:p>
    <w:p>
      <w:pPr>
        <w:pStyle w:val="ListBullet"/>
      </w:pPr>
      <w:r>
        <w:t xml:space="preserve">materiales, ejecución, ensayos y aceptación del hormigón proyectado.</w:t>
      </w:r>
    </w:p>
    <w:p>
      <w:pPr>
        <w:pStyle w:val="BodyText"/>
      </w:pPr>
      <w:r>
        <w:t xml:space="preserve">Cuando una de estas condiciones no está caracterizada, sólo queda pendiente</w:t>
      </w:r>
      <w:r>
        <w:t xml:space="preserve"> </w:t>
      </w:r>
      <w:r>
        <w:t xml:space="preserve">esa comprobación. Los controles resistentes que puedan calcularse con datos</w:t>
      </w:r>
      <w:r>
        <w:t xml:space="preserve"> </w:t>
      </w:r>
      <w:r>
        <w:t xml:space="preserve">suficientes conservan su resultado, incluido cualquier incumplimiento.</w:t>
      </w:r>
    </w:p>
    <w:bookmarkEnd w:id="214"/>
    <w:bookmarkEnd w:id="215"/>
    <w:bookmarkStart w:id="247" w:name="referencias"/>
    <w:p>
      <w:pPr>
        <w:pStyle w:val="Heading1"/>
      </w:pPr>
      <w:r>
        <w:t xml:space="preserve">Referencias</w:t>
      </w:r>
    </w:p>
    <w:bookmarkStart w:id="246" w:name="refs"/>
    <w:bookmarkStart w:id="217" w:name="ref-ACI318214"/>
    <w:p>
      <w:pPr>
        <w:pStyle w:val="Bibliography"/>
      </w:pPr>
      <w:r>
        <w:t xml:space="preserve">ACI Committee 318. 2014.</w:t>
      </w:r>
      <w:r>
        <w:t xml:space="preserve"> </w:t>
      </w:r>
      <w:r>
        <w:rPr>
          <w:i/>
          <w:iCs/>
        </w:rPr>
        <w:t xml:space="preserve">Building Code Requirements for Concrete Thin Shells and Commentary</w:t>
      </w:r>
      <w:r>
        <w:t xml:space="preserve">. ACI 318.2-14. American Concrete Institute.</w:t>
      </w:r>
      <w:r>
        <w:t xml:space="preserve"> </w:t>
      </w:r>
      <w:hyperlink r:id="rId216">
        <w:r>
          <w:rPr>
            <w:rStyle w:val="Hyperlink"/>
          </w:rPr>
          <w:t xml:space="preserve">https://www.concrete.org/portals/0/files/pdf/318_2_14.pdf</w:t>
        </w:r>
      </w:hyperlink>
      <w:r>
        <w:t xml:space="preserve">.</w:t>
      </w:r>
    </w:p>
    <w:bookmarkEnd w:id="217"/>
    <w:bookmarkStart w:id="219" w:name="ref-ACI318225"/>
    <w:p>
      <w:pPr>
        <w:pStyle w:val="Bibliography"/>
      </w:pPr>
      <w:r>
        <w:t xml:space="preserve">ACI Committee 318. 2025a.</w:t>
      </w:r>
      <w:r>
        <w:t xml:space="preserve"> </w:t>
      </w:r>
      <w:r>
        <w:rPr>
          <w:i/>
          <w:iCs/>
        </w:rPr>
        <w:t xml:space="preserve">Building Code for Concrete Thin Shells—Code Requirements and Commentary</w:t>
      </w:r>
      <w:r>
        <w:t xml:space="preserve">. ACI CODE-318.2-25. American Concrete Institute.</w:t>
      </w:r>
      <w:r>
        <w:t xml:space="preserve"> </w:t>
      </w:r>
      <w:hyperlink r:id="rId218">
        <w:r>
          <w:rPr>
            <w:rStyle w:val="Hyperlink"/>
          </w:rPr>
          <w:t xml:space="preserve">https://www.concrete.org/store/productdetail.aspx?Format=PROTECTED_PDF&amp;ItemID=318225&amp;Language=English&amp;Units=US_Units</w:t>
        </w:r>
      </w:hyperlink>
      <w:r>
        <w:t xml:space="preserve">.</w:t>
      </w:r>
    </w:p>
    <w:bookmarkEnd w:id="219"/>
    <w:bookmarkStart w:id="221" w:name="ref-ACI31825"/>
    <w:p>
      <w:pPr>
        <w:pStyle w:val="Bibliography"/>
      </w:pPr>
      <w:r>
        <w:t xml:space="preserve">ACI Committee 318. 2025b.</w:t>
      </w:r>
      <w:r>
        <w:t xml:space="preserve"> </w:t>
      </w:r>
      <w:r>
        <w:rPr>
          <w:i/>
          <w:iCs/>
        </w:rPr>
        <w:t xml:space="preserve">Building Code for Structural Concrete—Code Requirements and Commentary</w:t>
      </w:r>
      <w:r>
        <w:t xml:space="preserve">. ACI CODE-318-25. American Concrete Institute.</w:t>
      </w:r>
      <w:r>
        <w:t xml:space="preserve"> </w:t>
      </w:r>
      <w:hyperlink r:id="rId220">
        <w:r>
          <w:rPr>
            <w:rStyle w:val="Hyperlink"/>
          </w:rPr>
          <w:t xml:space="preserve">https://www.concrete.org/store/productdetail?ItemID=318U25&amp;Language=English</w:t>
        </w:r>
      </w:hyperlink>
      <w:r>
        <w:t xml:space="preserve">.</w:t>
      </w:r>
    </w:p>
    <w:bookmarkEnd w:id="221"/>
    <w:bookmarkStart w:id="223" w:name="ref-ACISPEC506213"/>
    <w:p>
      <w:pPr>
        <w:pStyle w:val="Bibliography"/>
      </w:pPr>
      <w:r>
        <w:t xml:space="preserve">ACI Committee 506. 2018.</w:t>
      </w:r>
      <w:r>
        <w:t xml:space="preserve"> </w:t>
      </w:r>
      <w:r>
        <w:rPr>
          <w:i/>
          <w:iCs/>
        </w:rPr>
        <w:t xml:space="preserve">Specification for Shotcrete</w:t>
      </w:r>
      <w:r>
        <w:t xml:space="preserve">. ACI SPEC-506.2-13(18). American Concrete Institute.</w:t>
      </w:r>
      <w:r>
        <w:t xml:space="preserve"> </w:t>
      </w:r>
      <w:hyperlink r:id="rId222">
        <w:r>
          <w:rPr>
            <w:rStyle w:val="Hyperlink"/>
          </w:rPr>
          <w:t xml:space="preserve">https://www.concrete.org/store/productdetail.aspx?Format=PROTECTED_PDF&amp;ItemID=5062U13&amp;Language=English&amp;Units=US_Units</w:t>
        </w:r>
      </w:hyperlink>
      <w:r>
        <w:t xml:space="preserve">.</w:t>
      </w:r>
    </w:p>
    <w:bookmarkEnd w:id="223"/>
    <w:bookmarkStart w:id="225" w:name="ref-ACI56225"/>
    <w:p>
      <w:pPr>
        <w:pStyle w:val="Bibliography"/>
      </w:pPr>
      <w:r>
        <w:t xml:space="preserve">ACI Committee 562. 2025.</w:t>
      </w:r>
      <w:r>
        <w:t xml:space="preserve"> </w:t>
      </w:r>
      <w:r>
        <w:rPr>
          <w:i/>
          <w:iCs/>
        </w:rPr>
        <w:t xml:space="preserve">Assessment, Repair, and Rehabilitation of Existing Concrete Structures—Code Requirements and Commentary</w:t>
      </w:r>
      <w:r>
        <w:t xml:space="preserve">. ACI CODE-562-25. American Concrete Institute.</w:t>
      </w:r>
      <w:r>
        <w:t xml:space="preserve"> </w:t>
      </w:r>
      <w:hyperlink r:id="rId224">
        <w:r>
          <w:rPr>
            <w:rStyle w:val="Hyperlink"/>
          </w:rPr>
          <w:t xml:space="preserve">https://www.concrete.org/store/productdetail.aspx?ItemID=562U25&amp;Language=English&amp;Units=US_Units</w:t>
        </w:r>
      </w:hyperlink>
      <w:r>
        <w:t xml:space="preserve">.</w:t>
      </w:r>
    </w:p>
    <w:bookmarkEnd w:id="225"/>
    <w:bookmarkStart w:id="227" w:name="ref-AASHTO2024TOC"/>
    <w:p>
      <w:pPr>
        <w:pStyle w:val="Bibliography"/>
      </w:pPr>
      <w:r>
        <w:t xml:space="preserve">American Association of State Highway and Transportation Officials. 2024.</w:t>
      </w:r>
      <w:r>
        <w:t xml:space="preserve"> </w:t>
      </w:r>
      <w:r>
        <w:rPr>
          <w:i/>
          <w:iCs/>
        </w:rPr>
        <w:t xml:space="preserve">AASHTO LRFD Bridge Design Specifications</w:t>
      </w:r>
      <w:r>
        <w:rPr>
          <w:i/>
          <w:iCs/>
        </w:rPr>
        <w:t xml:space="preserve">, Tenth Edition: Table of Contents and Index</w:t>
      </w:r>
      <w:r>
        <w:t xml:space="preserve">. 10.ª ed. Washington, D.C.</w:t>
      </w:r>
      <w:r>
        <w:t xml:space="preserve"> </w:t>
      </w:r>
      <w:hyperlink r:id="rId226">
        <w:r>
          <w:rPr>
            <w:rStyle w:val="Hyperlink"/>
          </w:rPr>
          <w:t xml:space="preserve">https://store.transportation.org/Common/DownloadContentFiles?id=2493</w:t>
        </w:r>
      </w:hyperlink>
      <w:r>
        <w:t xml:space="preserve">.</w:t>
      </w:r>
    </w:p>
    <w:bookmarkEnd w:id="227"/>
    <w:bookmarkStart w:id="229" w:name="ref-AndersonEtAl2023"/>
    <w:p>
      <w:pPr>
        <w:pStyle w:val="Bibliography"/>
      </w:pPr>
      <w:r>
        <w:t xml:space="preserve">Anderson, J. Brian, James S. Davidson, Bujing Liu, Chukwuma C. Okafor, Olga L. Rojas, y Kelly N. Turner. 2023.</w:t>
      </w:r>
      <w:r>
        <w:t xml:space="preserve"> </w:t>
      </w:r>
      <w:r>
        <w:rPr>
          <w:i/>
          <w:iCs/>
        </w:rPr>
        <w:t xml:space="preserve">Load Rating for Corrugated Metal Culverts under Shallow Cover Depths</w:t>
      </w:r>
      <w:r>
        <w:t xml:space="preserve">. Final Research Report prepared for the Alabama Department of Transportation. Highway Research Center; Department of Civil Engineering, Auburn University.</w:t>
      </w:r>
      <w:r>
        <w:t xml:space="preserve"> </w:t>
      </w:r>
      <w:hyperlink r:id="rId228">
        <w:r>
          <w:rPr>
            <w:rStyle w:val="Hyperlink"/>
          </w:rPr>
          <w:t xml:space="preserve">https://rosap.ntl.bts.gov/view/dot/68707</w:t>
        </w:r>
      </w:hyperlink>
      <w:r>
        <w:t xml:space="preserve">.</w:t>
      </w:r>
    </w:p>
    <w:bookmarkEnd w:id="229"/>
    <w:bookmarkStart w:id="230" w:name="ref-Baker1968"/>
    <w:p>
      <w:pPr>
        <w:pStyle w:val="Bibliography"/>
      </w:pPr>
      <w:r>
        <w:t xml:space="preserve">Baker, Owen Charles. 1968.</w:t>
      </w:r>
      <w:r>
        <w:t xml:space="preserve"> </w:t>
      </w:r>
      <w:r>
        <w:t xml:space="preserve">«A Comparison of Finite Element and</w:t>
      </w:r>
      <w:r>
        <w:t xml:space="preserve"> </w:t>
      </w:r>
      <w:r>
        <w:t xml:space="preserve">Fourier</w:t>
      </w:r>
      <w:r>
        <w:t xml:space="preserve"> </w:t>
      </w:r>
      <w:r>
        <w:t xml:space="preserve">Series Solutions as Applied to Radially Loaded Circular Rings»</w:t>
      </w:r>
      <w:r>
        <w:t xml:space="preserve">. Master of Science in Aeronautical Engineering thesis, Naval Postgraduate School.</w:t>
      </w:r>
    </w:p>
    <w:bookmarkEnd w:id="230"/>
    <w:bookmarkStart w:id="231" w:name="ref-ChristopherEtAl2006"/>
    <w:p>
      <w:pPr>
        <w:pStyle w:val="Bibliography"/>
      </w:pPr>
      <w:r>
        <w:t xml:space="preserve">Christopher, Barry R., Charles Schwartz, y Richard Boudreau. 2006.</w:t>
      </w:r>
      <w:r>
        <w:t xml:space="preserve"> </w:t>
      </w:r>
      <w:r>
        <w:rPr>
          <w:i/>
          <w:iCs/>
        </w:rPr>
        <w:t xml:space="preserve">Geotechnical Aspects of Pavements</w:t>
      </w:r>
      <w:r>
        <w:t xml:space="preserve">. Reference Manual and Participant Workbook FHWA NHI-05-037. Federal Highway Administration, National Highway Institute.</w:t>
      </w:r>
    </w:p>
    <w:bookmarkEnd w:id="231"/>
    <w:bookmarkStart w:id="233" w:name="ref-CSPIHandbookChapter2"/>
    <w:p>
      <w:pPr>
        <w:pStyle w:val="Bibliography"/>
      </w:pPr>
      <w:r>
        <w:t xml:space="preserve">Corrugated Steel Pipe Institute. s. f.</w:t>
      </w:r>
      <w:r>
        <w:t xml:space="preserve"> </w:t>
      </w:r>
      <w:r>
        <w:rPr>
          <w:i/>
          <w:iCs/>
        </w:rPr>
        <w:t xml:space="preserve">Handbook of Steel Drainage and Highway Construction Products: Product Details and Fabrication</w:t>
      </w:r>
      <w:r>
        <w:t xml:space="preserve">. Accedido 13 de agosto de 2026.</w:t>
      </w:r>
      <w:r>
        <w:t xml:space="preserve"> </w:t>
      </w:r>
      <w:hyperlink r:id="rId232">
        <w:r>
          <w:rPr>
            <w:rStyle w:val="Hyperlink"/>
          </w:rPr>
          <w:t xml:space="preserve">https://cspi.ca/wp-content/uploads/2021/04/handbook_chapter02.pdf</w:t>
        </w:r>
      </w:hyperlink>
      <w:r>
        <w:t xml:space="preserve">.</w:t>
      </w:r>
    </w:p>
    <w:bookmarkEnd w:id="233"/>
    <w:bookmarkStart w:id="235" w:name="ref-CIRSOC8044"/>
    <w:p>
      <w:pPr>
        <w:pStyle w:val="Bibliography"/>
      </w:pPr>
      <w:r>
        <w:t xml:space="preserve">INTI-CIRSOC. 2023.</w:t>
      </w:r>
      <w:r>
        <w:t xml:space="preserve"> </w:t>
      </w:r>
      <w:r>
        <w:rPr>
          <w:i/>
          <w:iCs/>
        </w:rPr>
        <w:t xml:space="preserve">Reglamento Argentino para el Diseño de Puentes Carreteros: Estructuras Enterradas y Revestimientos para Túneles</w:t>
      </w:r>
      <w:r>
        <w:t xml:space="preserve">. CIRSOC 804-4.</w:t>
      </w:r>
      <w:r>
        <w:t xml:space="preserve"> </w:t>
      </w:r>
      <w:hyperlink r:id="rId234">
        <w:r>
          <w:rPr>
            <w:rStyle w:val="Hyperlink"/>
          </w:rPr>
          <w:t xml:space="preserve">https://www.inti.gob.ar/assets/uploads/files/cirsoc/06-reglamentos-2da-generacion/area800/1/06_Area800_07-A-Reglamento-CIRSOC-804-4-2023_APROBADO.pdf</w:t>
        </w:r>
      </w:hyperlink>
      <w:r>
        <w:t xml:space="preserve">.</w:t>
      </w:r>
    </w:p>
    <w:bookmarkEnd w:id="235"/>
    <w:bookmarkStart w:id="236" w:name="ref-Mai2013"/>
    <w:p>
      <w:pPr>
        <w:pStyle w:val="Bibliography"/>
      </w:pPr>
      <w:r>
        <w:t xml:space="preserve">Mai, Van Thien. 2013.</w:t>
      </w:r>
      <w:r>
        <w:t xml:space="preserve"> </w:t>
      </w:r>
      <w:r>
        <w:t xml:space="preserve">«Assessment of Deteriorated Corrugated Steel Culverts»</w:t>
      </w:r>
      <w:r>
        <w:t xml:space="preserve">. Master of Applied Science thesis, Queen’s University.</w:t>
      </w:r>
    </w:p>
    <w:bookmarkEnd w:id="236"/>
    <w:bookmarkStart w:id="238" w:name="ref-MayneKulhawy1982"/>
    <w:p>
      <w:pPr>
        <w:pStyle w:val="Bibliography"/>
      </w:pPr>
      <w:r>
        <w:t xml:space="preserve">Mayne, Paul W., y Fred H. Kulhawy. 1982.</w:t>
      </w:r>
      <w:r>
        <w:t xml:space="preserve"> </w:t>
      </w:r>
      <w:r>
        <w:t xml:space="preserve">«</w:t>
      </w:r>
      <m:oMath>
        <m:sSub>
          <m:e>
            <m:r>
              <m:t>K</m:t>
            </m:r>
          </m:e>
          <m:sub>
            <m:r>
              <m:t>0</m:t>
            </m:r>
          </m:sub>
        </m:sSub>
      </m:oMath>
      <w:r>
        <w:t xml:space="preserve">–</w:t>
      </w:r>
      <w:r>
        <w:t xml:space="preserve">OCR</w:t>
      </w:r>
      <w:r>
        <w:t xml:space="preserve"> </w:t>
      </w:r>
      <w:r>
        <w:t xml:space="preserve">Relationships in Soil</w:t>
      </w:r>
      <w:r>
        <w:t xml:space="preserve">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the Geotechnical Engineering Division</w:t>
      </w:r>
      <w:r>
        <w:t xml:space="preserve"> </w:t>
      </w:r>
      <w:r>
        <w:t xml:space="preserve">108 (6): 851-72.</w:t>
      </w:r>
      <w:r>
        <w:t xml:space="preserve"> </w:t>
      </w:r>
      <w:hyperlink r:id="rId237">
        <w:r>
          <w:rPr>
            <w:rStyle w:val="Hyperlink"/>
          </w:rPr>
          <w:t xml:space="preserve">https://doi.org/10.1061/AJGEB6.0001306</w:t>
        </w:r>
      </w:hyperlink>
      <w:r>
        <w:t xml:space="preserve">.</w:t>
      </w:r>
    </w:p>
    <w:bookmarkEnd w:id="238"/>
    <w:bookmarkStart w:id="239" w:name="ref-McGrathEtAl1999"/>
    <w:p>
      <w:pPr>
        <w:pStyle w:val="Bibliography"/>
      </w:pPr>
      <w:r>
        <w:t xml:space="preserve">McGrath, Timothy J., Ernest T. Selig, Mark C. Webb, y Glenn V. Zoladz. 1999.</w:t>
      </w:r>
      <w:r>
        <w:t xml:space="preserve"> </w:t>
      </w:r>
      <w:r>
        <w:rPr>
          <w:i/>
          <w:iCs/>
        </w:rPr>
        <w:t xml:space="preserve">Pipe Interaction with the Backfill Envelope</w:t>
      </w:r>
      <w:r>
        <w:t xml:space="preserve">. Final Report FHWA-RD-98-191. Federal Highway Administration, Research, Development; Technology, Turner-Fairbank Highway Research Center.</w:t>
      </w:r>
    </w:p>
    <w:bookmarkEnd w:id="239"/>
    <w:bookmarkStart w:id="241" w:name="ref-Michalowski2005"/>
    <w:p>
      <w:pPr>
        <w:pStyle w:val="Bibliography"/>
      </w:pPr>
      <w:r>
        <w:t xml:space="preserve">Michalowski, Radoslaw L. 2005.</w:t>
      </w:r>
      <w:r>
        <w:t xml:space="preserve"> </w:t>
      </w:r>
      <w:r>
        <w:t xml:space="preserve">«Coefficient of Earth Pressure at Rest»</w:t>
      </w:r>
      <w:r>
        <w:t xml:space="preserve">.</w:t>
      </w:r>
      <w:r>
        <w:t xml:space="preserve"> </w:t>
      </w:r>
      <w:r>
        <w:rPr>
          <w:i/>
          <w:iCs/>
        </w:rPr>
        <w:t xml:space="preserve">Journal of Geotechnical and Geoenvironmental Engineering</w:t>
      </w:r>
      <w:r>
        <w:t xml:space="preserve"> </w:t>
      </w:r>
      <w:r>
        <w:t xml:space="preserve">131 (11): 1429-33.</w:t>
      </w:r>
      <w:r>
        <w:t xml:space="preserve"> </w:t>
      </w:r>
      <w:hyperlink r:id="rId240">
        <w:r>
          <w:rPr>
            <w:rStyle w:val="Hyperlink"/>
          </w:rPr>
          <w:t xml:space="preserve">https://doi.org/10.1061/(ASCE)1090-0241(2005)131:11(1429)</w:t>
        </w:r>
      </w:hyperlink>
      <w:r>
        <w:t xml:space="preserve">.</w:t>
      </w:r>
    </w:p>
    <w:bookmarkEnd w:id="241"/>
    <w:bookmarkStart w:id="242" w:name="ref-Nunez2000"/>
    <w:p>
      <w:pPr>
        <w:pStyle w:val="Bibliography"/>
      </w:pPr>
      <w:r>
        <w:t xml:space="preserve">Núñez, Eduardo. 2000.</w:t>
      </w:r>
      <w:r>
        <w:t xml:space="preserve"> </w:t>
      </w:r>
      <w:r>
        <w:rPr>
          <w:i/>
          <w:iCs/>
        </w:rPr>
        <w:t xml:space="preserve">Excavaciones y t</w:t>
      </w:r>
      <w:r>
        <w:rPr>
          <w:i/>
          <w:iCs/>
        </w:rPr>
        <w:t xml:space="preserve">ú</w:t>
      </w:r>
      <w:r>
        <w:rPr>
          <w:i/>
          <w:iCs/>
        </w:rPr>
        <w:t xml:space="preserve">neles en el Pampeano</w:t>
      </w:r>
      <w:r>
        <w:t xml:space="preserve">. Conferencia</w:t>
      </w:r>
      <w:r>
        <w:t xml:space="preserve"> </w:t>
      </w:r>
      <w:r>
        <w:t xml:space="preserve">«Ing. Fernando Torres»</w:t>
      </w:r>
      <w:r>
        <w:t xml:space="preserve">, XV CAMSIG GEOba 2000.</w:t>
      </w:r>
    </w:p>
    <w:bookmarkEnd w:id="242"/>
    <w:bookmarkStart w:id="243" w:name="ref-NunezSfrisoLaiun2014"/>
    <w:p>
      <w:pPr>
        <w:pStyle w:val="Bibliography"/>
      </w:pPr>
      <w:r>
        <w:t xml:space="preserve">Núñez, E., A. O. Sfriso, y J. G. Laiún. 2014.</w:t>
      </w:r>
      <w:r>
        <w:t xml:space="preserve"> </w:t>
      </w:r>
      <w:r>
        <w:t xml:space="preserve">«Fifteen Years of Experience with the Estimation of Structural Loadings Acting on Temporary Supports of Tunnels in Buenos Aires»</w:t>
      </w:r>
      <w:r>
        <w:t xml:space="preserve">.</w:t>
      </w:r>
      <w:r>
        <w:t xml:space="preserve"> </w:t>
      </w:r>
      <w:r>
        <w:rPr>
          <w:i/>
          <w:iCs/>
        </w:rPr>
        <w:t xml:space="preserve">Proceedings of the World Tunnel Congress 2014—Tunnels for a Better Life</w:t>
      </w:r>
      <w:r>
        <w:t xml:space="preserve"> </w:t>
      </w:r>
      <w:r>
        <w:t xml:space="preserve">(Foz do Igua</w:t>
      </w:r>
      <w:r>
        <w:t xml:space="preserve">ç</w:t>
      </w:r>
      <w:r>
        <w:t xml:space="preserve">u, Brazil), 1-8.</w:t>
      </w:r>
    </w:p>
    <w:bookmarkEnd w:id="243"/>
    <w:bookmarkStart w:id="244" w:name="ref-SchwartzEinstein1980"/>
    <w:p>
      <w:pPr>
        <w:pStyle w:val="Bibliography"/>
      </w:pPr>
      <w:r>
        <w:t xml:space="preserve">Schwartz, Charles W., y Herbert H. Einstein. 1980.</w:t>
      </w:r>
      <w:r>
        <w:t xml:space="preserve"> </w:t>
      </w:r>
      <w:r>
        <w:rPr>
          <w:i/>
          <w:iCs/>
        </w:rPr>
        <w:t xml:space="preserve">Improved Design of Tunnel Supports: Volume 1—Simplified Analysis for Ground-Structure Interaction in Tunneling</w:t>
      </w:r>
      <w:r>
        <w:t xml:space="preserve">. Final Report UMTA-MA-06-0100-80-4. U.S. Department of Transportation, Urban Mass Transportation Administration, Office of Technology Development; Deployment, Office of Rail; Construction Technology.</w:t>
      </w:r>
    </w:p>
    <w:bookmarkEnd w:id="244"/>
    <w:bookmarkStart w:id="245" w:name="ref-USACE2020"/>
    <w:p>
      <w:pPr>
        <w:pStyle w:val="Bibliography"/>
      </w:pPr>
      <w:r>
        <w:t xml:space="preserve">U.S. Army Corps of Engineers. 2020.</w:t>
      </w:r>
      <w:r>
        <w:t xml:space="preserve"> </w:t>
      </w:r>
      <w:r>
        <w:rPr>
          <w:i/>
          <w:iCs/>
        </w:rPr>
        <w:t xml:space="preserve">Conduits, Pipes, and Culverts Associated with Dams and Levee Systems</w:t>
      </w:r>
      <w:r>
        <w:t xml:space="preserve">. EM 1110-2-2902. Washington, D.C.</w:t>
      </w:r>
    </w:p>
    <w:bookmarkEnd w:id="245"/>
    <w:bookmarkEnd w:id="246"/>
    <w:bookmarkEnd w:id="247"/>
    <w:sectPr w:rsidR="00336EE6" w:rsidSect="00801857">
      <w:headerReference r:id="rId11" w:type="default"/>
      <w:footerReference r:id="rId12" w:type="default"/>
      <w:pgSz w:code="1" w:h="15840" w:w="12240"/>
      <w:pgMar w:bottom="1701" w:footer="397" w:gutter="0" w:header="567" w:left="2268" w:right="851" w:top="1985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SemiBold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Wingdings 2">
    <w:panose1 w:val="05020102010507070707"/>
    <w:charset w:val="4D"/>
    <w:family w:val="decorative"/>
    <w:pitch w:val="variable"/>
    <w:sig w:usb0="00000003" w:usb1="00000000" w:usb2="00000000" w:usb3="00000000" w:csb0="8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B722C" w14:textId="77777777" w:rsidR="00801857" w:rsidRDefault="00801857" w:rsidP="00336EE6">
    <w:pPr>
      <w:pStyle w:val="Footer"/>
      <w:ind w:left="-1440"/>
    </w:pPr>
    <w:r w:rsidRPr="00C43FB3">
      <w:t xml:space="preserve">SRK CONSULTING  </w:t>
    </w:r>
    <w:r w:rsidRPr="00035AF0">
      <w:rPr>
        <w:rFonts w:cstheme="minorHAnsi"/>
        <w:color w:val="F37021"/>
      </w:rPr>
      <w:sym w:font="Wingdings 2" w:char="F0A1"/>
    </w:r>
    <w:r w:rsidRPr="00035AF0">
      <w:t xml:space="preserve">  </w:t>
    </w:r>
    <w:sdt>
      <w:sdtPr>
        <w:tag w:val="Publish Date"/>
        <w:id w:val="-24404949"/>
        <w:placeholder>
          <w:docPart w:val="016216A70DCEE44EB48EF4AE61D0F80E"/>
        </w:placeholder>
        <w:showingPlcHdr/>
        <w:dataBinding w:prefixMappings="xmlns:ns0='http://schemas.microsoft.com/office/2006/coverPageProps' " w:xpath="/ns0:CoverPageProperties[1]/ns0:PublishDate[1]" w:storeItemID="{55AF091B-3C7A-41E3-B477-F2FDAA23CFDA}"/>
        <w:date>
          <w:dateFormat w:val="MMMM yyyy"/>
          <w:lid w:val="en-US"/>
          <w:storeMappedDataAs w:val="dateTime"/>
          <w:calendar w:val="gregorian"/>
        </w:date>
      </w:sdtPr>
      <w:sdtContent>
        <w:r w:rsidR="000A3DF4" w:rsidRPr="000A3DF4">
          <w:t>[Publish Date]</w:t>
        </w:r>
      </w:sdtContent>
    </w:sdt>
    <w:r w:rsidRPr="00035AF0">
      <w:t xml:space="preserve">  </w:t>
    </w:r>
    <w:r w:rsidRPr="00035AF0">
      <w:rPr>
        <w:rFonts w:cstheme="minorHAnsi"/>
        <w:color w:val="F37021"/>
      </w:rPr>
      <w:sym w:font="Wingdings 2" w:char="F0A1"/>
    </w:r>
    <w:r w:rsidRPr="00035AF0">
      <w:t xml:space="preserve">  </w:t>
    </w:r>
    <w:sdt>
      <w:sdtPr>
        <w:tag w:val="Footer"/>
        <w:id w:val="1405183133"/>
        <w:placeholder>
          <w:docPart w:val="92C2FEF28DB092499559294F41B8092F"/>
        </w:placeholder>
        <w:showingPlcHdr/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r w:rsidR="00760AE7" w:rsidRPr="00760AE7">
          <w:t>ADD NOTE OR DELETE INCLUDING PRECEDING BULLET.</w:t>
        </w:r>
      </w:sdtContent>
    </w:sdt>
    <w:r w:rsidRPr="00035AF0">
      <w:ptab w:relativeTo="margin" w:alignment="right" w:leader="none"/>
    </w:r>
    <w:r w:rsidRPr="00035AF0">
      <w:fldChar w:fldCharType="begin"/>
    </w:r>
    <w:r w:rsidRPr="00035AF0">
      <w:instrText xml:space="preserve"> PAGE   \* MERGEFORMAT </w:instrText>
    </w:r>
    <w:r w:rsidRPr="00035AF0">
      <w:fldChar w:fldCharType="separate"/>
    </w:r>
    <w:r>
      <w:t>iii</w:t>
    </w:r>
    <w:r w:rsidRPr="00035AF0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097A" w14:textId="77777777" w:rsidR="00336EE6" w:rsidRDefault="00336EE6" w:rsidP="00A42351">
    <w:pPr>
      <w:pStyle w:val="Footer"/>
      <w:pBdr>
        <w:top w:val="none" w:sz="0" w:space="0" w:color="auto"/>
      </w:pBd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CF9C9" w14:textId="77777777" w:rsidR="00801857" w:rsidRDefault="00000000" w:rsidP="00336EE6">
    <w:pPr>
      <w:pStyle w:val="Header"/>
      <w:ind w:left="-1440"/>
    </w:pPr>
    <w:sdt>
      <w:sdtPr>
        <w:alias w:val="Title"/>
        <w:tag w:val=""/>
        <w:id w:val="-1291671324"/>
        <w:placeholder>
          <w:docPart w:val="1C1CBEF7DCCB0246AA6C35E8CA938EC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801857" w:rsidRPr="00C43FB3">
          <w:t>[Title]</w:t>
        </w:r>
      </w:sdtContent>
    </w:sdt>
    <w:r w:rsidR="00801857" w:rsidRPr="00035AF0">
      <w:ptab w:relativeTo="margin" w:alignment="right" w:leader="none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9DDB0" w14:textId="77777777" w:rsidR="00336EE6" w:rsidRPr="00A42351" w:rsidRDefault="00336EE6" w:rsidP="00A42351">
    <w:pPr>
      <w:pStyle w:val="Header"/>
      <w:pBdr>
        <w:bottom w:val="none" w:sz="0" w:space="0" w:color="auto"/>
      </w:pBdr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02266CA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D1FA1E6A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F0E4E842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001CAB2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0E89B6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C6B82BD2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03C8934E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773CB8C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451A53D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27BA81CC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F14725"/>
    <w:multiLevelType w:val="multilevel"/>
    <w:tmpl w:val="C54EBE22"/>
    <w:styleLink w:val="SRKBulletList"/>
    <w:lvl w:ilvl="0">
      <w:start w:val="1"/>
      <w:numFmt w:val="bullet"/>
      <w:pStyle w:val="ListBullet"/>
      <w:lvlText w:val="▪"/>
      <w:lvlJc w:val="left"/>
      <w:pPr>
        <w:tabs>
          <w:tab w:pos="360" w:val="num"/>
        </w:tabs>
        <w:ind w:hanging="360" w:left="360"/>
      </w:pPr>
      <w:rPr>
        <w:rFonts w:ascii="Aptos SemiBold" w:hAnsi="Aptos SemiBold" w:hint="default"/>
        <w:color w:themeColor="text2" w:val="F37021"/>
      </w:rPr>
    </w:lvl>
    <w:lvl w:ilvl="1">
      <w:start w:val="1"/>
      <w:numFmt w:val="bullet"/>
      <w:pStyle w:val="ListBullet2"/>
      <w:lvlText w:val="–"/>
      <w:lvlJc w:val="left"/>
      <w:pPr>
        <w:tabs>
          <w:tab w:pos="720" w:val="num"/>
        </w:tabs>
        <w:ind w:hanging="360" w:left="720"/>
      </w:pPr>
      <w:rPr>
        <w:rFonts w:ascii="Aptos SemiBold" w:hAnsi="Aptos SemiBold" w:hint="default"/>
        <w:color w:themeColor="text2" w:val="F37021"/>
      </w:rPr>
    </w:lvl>
    <w:lvl w:ilvl="2">
      <w:start w:val="1"/>
      <w:numFmt w:val="bullet"/>
      <w:pStyle w:val="ListBullet3"/>
      <w:lvlText w:val="▪"/>
      <w:lvlJc w:val="left"/>
      <w:pPr>
        <w:tabs>
          <w:tab w:pos="1080" w:val="num"/>
        </w:tabs>
        <w:ind w:hanging="360" w:left="1080"/>
      </w:pPr>
      <w:rPr>
        <w:rFonts w:ascii="Aptos SemiBold" w:hAnsi="Aptos SemiBold" w:hint="default"/>
        <w:color w:themeColor="text2" w:val="F37021"/>
      </w:rPr>
    </w:lvl>
    <w:lvl w:ilvl="3">
      <w:start w:val="1"/>
      <w:numFmt w:val="bullet"/>
      <w:pStyle w:val="ListBullet4"/>
      <w:lvlText w:val="–"/>
      <w:lvlJc w:val="left"/>
      <w:pPr>
        <w:tabs>
          <w:tab w:pos="1440" w:val="num"/>
        </w:tabs>
        <w:ind w:hanging="360" w:left="1440"/>
      </w:pPr>
      <w:rPr>
        <w:rFonts w:ascii="Aptos SemiBold" w:hAnsi="Aptos SemiBold" w:hint="default"/>
        <w:color w:themeColor="text2" w:val="F37021"/>
      </w:rPr>
    </w:lvl>
    <w:lvl w:ilvl="4">
      <w:start w:val="1"/>
      <w:numFmt w:val="bullet"/>
      <w:pStyle w:val="ListBullet5"/>
      <w:lvlText w:val="▪"/>
      <w:lvlJc w:val="left"/>
      <w:pPr>
        <w:tabs>
          <w:tab w:pos="1800" w:val="num"/>
        </w:tabs>
        <w:ind w:hanging="360" w:left="1800"/>
      </w:pPr>
      <w:rPr>
        <w:rFonts w:ascii="Aptos SemiBold" w:hAnsi="Aptos SemiBold" w:hint="default"/>
        <w:color w:themeColor="text2" w:val="F37021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11">
    <w:nsid w:val="0AF75A05"/>
    <w:multiLevelType w:val="multilevel"/>
    <w:tmpl w:val="DCF8C812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  <w:color w:themeColor="accent2" w:val="AEAEAE"/>
      </w:rPr>
    </w:lvl>
    <w:lvl w:ilvl="1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3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4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5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360"/>
      </w:pPr>
      <w:rPr>
        <w:rFonts w:hint="default"/>
      </w:rPr>
    </w:lvl>
  </w:abstractNum>
  <w:abstractNum w15:restartNumberingAfterBreak="0" w:abstractNumId="12">
    <w:nsid w:val="0EF05286"/>
    <w:multiLevelType w:val="hybridMultilevel"/>
    <w:tmpl w:val="6B32BB28"/>
    <w:lvl w:ilvl="0" w:tplc="8278A8DC">
      <w:start w:val="1"/>
      <w:numFmt w:val="decimal"/>
      <w:lvlText w:val="%1."/>
      <w:lvlJc w:val="left"/>
      <w:pPr>
        <w:ind w:hanging="360" w:left="720"/>
      </w:pPr>
    </w:lvl>
    <w:lvl w:ilvl="1" w:tplc="9648AE98">
      <w:start w:val="1"/>
      <w:numFmt w:val="decimal"/>
      <w:lvlText w:val="%2."/>
      <w:lvlJc w:val="left"/>
      <w:pPr>
        <w:ind w:hanging="360" w:left="720"/>
      </w:pPr>
    </w:lvl>
    <w:lvl w:ilvl="2" w:tplc="8C7A8A4E">
      <w:start w:val="1"/>
      <w:numFmt w:val="decimal"/>
      <w:lvlText w:val="%3."/>
      <w:lvlJc w:val="left"/>
      <w:pPr>
        <w:ind w:hanging="360" w:left="720"/>
      </w:pPr>
    </w:lvl>
    <w:lvl w:ilvl="3" w:tplc="49CEE7F4">
      <w:start w:val="1"/>
      <w:numFmt w:val="decimal"/>
      <w:lvlText w:val="%4."/>
      <w:lvlJc w:val="left"/>
      <w:pPr>
        <w:ind w:hanging="360" w:left="720"/>
      </w:pPr>
    </w:lvl>
    <w:lvl w:ilvl="4" w:tplc="2AF4235A">
      <w:start w:val="1"/>
      <w:numFmt w:val="decimal"/>
      <w:lvlText w:val="%5."/>
      <w:lvlJc w:val="left"/>
      <w:pPr>
        <w:ind w:hanging="360" w:left="720"/>
      </w:pPr>
    </w:lvl>
    <w:lvl w:ilvl="5" w:tplc="BC06B6C2">
      <w:start w:val="1"/>
      <w:numFmt w:val="decimal"/>
      <w:lvlText w:val="%6."/>
      <w:lvlJc w:val="left"/>
      <w:pPr>
        <w:ind w:hanging="360" w:left="720"/>
      </w:pPr>
    </w:lvl>
    <w:lvl w:ilvl="6" w:tplc="CFCEB13E">
      <w:start w:val="1"/>
      <w:numFmt w:val="decimal"/>
      <w:lvlText w:val="%7."/>
      <w:lvlJc w:val="left"/>
      <w:pPr>
        <w:ind w:hanging="360" w:left="720"/>
      </w:pPr>
    </w:lvl>
    <w:lvl w:ilvl="7" w:tplc="28C439D2">
      <w:start w:val="1"/>
      <w:numFmt w:val="decimal"/>
      <w:lvlText w:val="%8."/>
      <w:lvlJc w:val="left"/>
      <w:pPr>
        <w:ind w:hanging="360" w:left="720"/>
      </w:pPr>
    </w:lvl>
    <w:lvl w:ilvl="8" w:tplc="941A2360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13">
    <w:nsid w:val="1FBA4A2D"/>
    <w:multiLevelType w:val="hybridMultilevel"/>
    <w:tmpl w:val="B8366280"/>
    <w:lvl w:ilvl="0" w:tplc="53E29752">
      <w:start w:val="1"/>
      <w:numFmt w:val="decimal"/>
      <w:lvlText w:val="%1."/>
      <w:lvlJc w:val="left"/>
      <w:pPr>
        <w:ind w:hanging="360" w:left="720"/>
      </w:pPr>
    </w:lvl>
    <w:lvl w:ilvl="1" w:tplc="A3D2462A">
      <w:start w:val="1"/>
      <w:numFmt w:val="decimal"/>
      <w:lvlText w:val="%2."/>
      <w:lvlJc w:val="left"/>
      <w:pPr>
        <w:ind w:hanging="360" w:left="720"/>
      </w:pPr>
    </w:lvl>
    <w:lvl w:ilvl="2" w:tplc="0DA24B44">
      <w:start w:val="1"/>
      <w:numFmt w:val="decimal"/>
      <w:lvlText w:val="%3."/>
      <w:lvlJc w:val="left"/>
      <w:pPr>
        <w:ind w:hanging="360" w:left="720"/>
      </w:pPr>
    </w:lvl>
    <w:lvl w:ilvl="3" w:tplc="E15E9016">
      <w:start w:val="1"/>
      <w:numFmt w:val="decimal"/>
      <w:lvlText w:val="%4."/>
      <w:lvlJc w:val="left"/>
      <w:pPr>
        <w:ind w:hanging="360" w:left="720"/>
      </w:pPr>
    </w:lvl>
    <w:lvl w:ilvl="4" w:tplc="2F68F6BA">
      <w:start w:val="1"/>
      <w:numFmt w:val="decimal"/>
      <w:lvlText w:val="%5."/>
      <w:lvlJc w:val="left"/>
      <w:pPr>
        <w:ind w:hanging="360" w:left="720"/>
      </w:pPr>
    </w:lvl>
    <w:lvl w:ilvl="5" w:tplc="C354ED1E">
      <w:start w:val="1"/>
      <w:numFmt w:val="decimal"/>
      <w:lvlText w:val="%6."/>
      <w:lvlJc w:val="left"/>
      <w:pPr>
        <w:ind w:hanging="360" w:left="720"/>
      </w:pPr>
    </w:lvl>
    <w:lvl w:ilvl="6" w:tplc="514A065A">
      <w:start w:val="1"/>
      <w:numFmt w:val="decimal"/>
      <w:lvlText w:val="%7."/>
      <w:lvlJc w:val="left"/>
      <w:pPr>
        <w:ind w:hanging="360" w:left="720"/>
      </w:pPr>
    </w:lvl>
    <w:lvl w:ilvl="7" w:tplc="1422D3F2">
      <w:start w:val="1"/>
      <w:numFmt w:val="decimal"/>
      <w:lvlText w:val="%8."/>
      <w:lvlJc w:val="left"/>
      <w:pPr>
        <w:ind w:hanging="360" w:left="720"/>
      </w:pPr>
    </w:lvl>
    <w:lvl w:ilvl="8" w:tplc="80DAC356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14">
    <w:nsid w:val="25567F41"/>
    <w:multiLevelType w:val="hybridMultilevel"/>
    <w:tmpl w:val="8B1AE702"/>
    <w:lvl w:ilvl="0" w:tplc="B61026FA">
      <w:start w:val="1"/>
      <w:numFmt w:val="decimal"/>
      <w:lvlText w:val="%1."/>
      <w:lvlJc w:val="left"/>
      <w:pPr>
        <w:ind w:hanging="360" w:left="720"/>
      </w:pPr>
    </w:lvl>
    <w:lvl w:ilvl="1" w:tplc="C63A4A18">
      <w:start w:val="1"/>
      <w:numFmt w:val="decimal"/>
      <w:lvlText w:val="%2."/>
      <w:lvlJc w:val="left"/>
      <w:pPr>
        <w:ind w:hanging="360" w:left="720"/>
      </w:pPr>
    </w:lvl>
    <w:lvl w:ilvl="2" w:tplc="0FDA790E">
      <w:start w:val="1"/>
      <w:numFmt w:val="decimal"/>
      <w:lvlText w:val="%3."/>
      <w:lvlJc w:val="left"/>
      <w:pPr>
        <w:ind w:hanging="360" w:left="720"/>
      </w:pPr>
    </w:lvl>
    <w:lvl w:ilvl="3" w:tplc="765AC4AE">
      <w:start w:val="1"/>
      <w:numFmt w:val="decimal"/>
      <w:lvlText w:val="%4."/>
      <w:lvlJc w:val="left"/>
      <w:pPr>
        <w:ind w:hanging="360" w:left="720"/>
      </w:pPr>
    </w:lvl>
    <w:lvl w:ilvl="4" w:tplc="ECE82ACE">
      <w:start w:val="1"/>
      <w:numFmt w:val="decimal"/>
      <w:lvlText w:val="%5."/>
      <w:lvlJc w:val="left"/>
      <w:pPr>
        <w:ind w:hanging="360" w:left="720"/>
      </w:pPr>
    </w:lvl>
    <w:lvl w:ilvl="5" w:tplc="6A40941E">
      <w:start w:val="1"/>
      <w:numFmt w:val="decimal"/>
      <w:lvlText w:val="%6."/>
      <w:lvlJc w:val="left"/>
      <w:pPr>
        <w:ind w:hanging="360" w:left="720"/>
      </w:pPr>
    </w:lvl>
    <w:lvl w:ilvl="6" w:tplc="E4D0B08A">
      <w:start w:val="1"/>
      <w:numFmt w:val="decimal"/>
      <w:lvlText w:val="%7."/>
      <w:lvlJc w:val="left"/>
      <w:pPr>
        <w:ind w:hanging="360" w:left="720"/>
      </w:pPr>
    </w:lvl>
    <w:lvl w:ilvl="7" w:tplc="16763308">
      <w:start w:val="1"/>
      <w:numFmt w:val="decimal"/>
      <w:lvlText w:val="%8."/>
      <w:lvlJc w:val="left"/>
      <w:pPr>
        <w:ind w:hanging="360" w:left="720"/>
      </w:pPr>
    </w:lvl>
    <w:lvl w:ilvl="8" w:tplc="40848526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15">
    <w:nsid w:val="26105DFC"/>
    <w:multiLevelType w:val="multilevel"/>
    <w:tmpl w:val="C54EBE22"/>
    <w:numStyleLink w:val="SRKBulletList"/>
  </w:abstractNum>
  <w:abstractNum w15:restartNumberingAfterBreak="0" w:abstractNumId="16">
    <w:nsid w:val="26AA78DC"/>
    <w:multiLevelType w:val="multilevel"/>
    <w:tmpl w:val="280EE35A"/>
    <w:styleLink w:val="CurrentList4"/>
    <w:lvl w:ilvl="0">
      <w:start w:val="1"/>
      <w:numFmt w:val="decimal"/>
      <w:lvlText w:val="%1."/>
      <w:lvlJc w:val="left"/>
      <w:pPr>
        <w:ind w:hanging="360" w:left="1440"/>
      </w:pPr>
      <w:rPr>
        <w:rFonts w:hint="default"/>
        <w:color w:themeColor="accent2" w:val="AEAEAE"/>
      </w:rPr>
    </w:lvl>
    <w:lvl w:ilvl="1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3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4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5">
      <w:start w:val="1"/>
      <w:numFmt w:val="none"/>
      <w:lvlText w:val=""/>
      <w:lvlJc w:val="right"/>
      <w:pPr>
        <w:ind w:hanging="360" w:left="144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8">
      <w:start w:val="1"/>
      <w:numFmt w:val="none"/>
      <w:lvlText w:val=""/>
      <w:lvlJc w:val="right"/>
      <w:pPr>
        <w:ind w:hanging="360" w:left="1440"/>
      </w:pPr>
      <w:rPr>
        <w:rFonts w:hint="default"/>
      </w:rPr>
    </w:lvl>
  </w:abstractNum>
  <w:abstractNum w15:restartNumberingAfterBreak="0" w:abstractNumId="17">
    <w:nsid w:val="292E05C5"/>
    <w:multiLevelType w:val="multilevel"/>
    <w:tmpl w:val="176272B6"/>
    <w:styleLink w:val="SRKTableFootnotes"/>
    <w:lvl w:ilvl="0">
      <w:start w:val="1"/>
      <w:numFmt w:val="decimal"/>
      <w:pStyle w:val="TableFootnote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color w:themeColor="text2" w:val="F37021"/>
      </w:rPr>
    </w:lvl>
    <w:lvl w:ilvl="1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pos="360" w:val="num"/>
        </w:tabs>
        <w:ind w:hanging="360" w:left="360"/>
      </w:pPr>
      <w:rPr>
        <w:rFonts w:hint="default"/>
      </w:rPr>
    </w:lvl>
  </w:abstractNum>
  <w:abstractNum w15:restartNumberingAfterBreak="0" w:abstractNumId="18">
    <w:nsid w:val="2FAC2485"/>
    <w:multiLevelType w:val="multilevel"/>
    <w:tmpl w:val="176272B6"/>
    <w:numStyleLink w:val="SRKTableFootnotes"/>
  </w:abstractNum>
  <w:abstractNum w15:restartNumberingAfterBreak="0" w:abstractNumId="19">
    <w:nsid w:val="34196550"/>
    <w:multiLevelType w:val="multilevel"/>
    <w:tmpl w:val="C0AE54D4"/>
    <w:styleLink w:val="CurrentList1"/>
    <w:lvl w:ilvl="0">
      <w:start w:val="1"/>
      <w:numFmt w:val="bullet"/>
      <w:lvlText w:val="▪"/>
      <w:lvlJc w:val="left"/>
      <w:pPr>
        <w:ind w:hanging="360" w:left="1440"/>
      </w:pPr>
      <w:rPr>
        <w:rFonts w:ascii="Aptos SemiBold" w:hAnsi="Aptos SemiBold" w:hint="default"/>
        <w:color w:themeColor="accent2" w:val="AEAEAE"/>
      </w:rPr>
    </w:lvl>
    <w:lvl w:ilvl="1">
      <w:start w:val="1"/>
      <w:numFmt w:val="bullet"/>
      <w:lvlText w:val="–"/>
      <w:lvlJc w:val="left"/>
      <w:pPr>
        <w:ind w:hanging="360" w:left="1800"/>
      </w:pPr>
      <w:rPr>
        <w:rFonts w:ascii="Aptos SemiBold" w:hAnsi="Aptos SemiBold" w:hint="default"/>
        <w:color w:themeColor="accent2" w:val="AEAEA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Aptos SemiBold" w:hAnsi="Aptos SemiBold" w:hint="default"/>
        <w:color w:themeColor="accent2" w:val="AEAEAE"/>
      </w:rPr>
    </w:lvl>
    <w:lvl w:ilvl="3">
      <w:start w:val="1"/>
      <w:numFmt w:val="bullet"/>
      <w:lvlText w:val="–"/>
      <w:lvlJc w:val="left"/>
      <w:pPr>
        <w:ind w:hanging="360" w:left="2520"/>
      </w:pPr>
      <w:rPr>
        <w:rFonts w:ascii="Aptos SemiBold" w:hAnsi="Aptos SemiBold" w:hint="default"/>
        <w:color w:themeColor="accent2" w:val="AEAEAE"/>
      </w:rPr>
    </w:lvl>
    <w:lvl w:ilvl="4">
      <w:start w:val="1"/>
      <w:numFmt w:val="bullet"/>
      <w:lvlText w:val="▪"/>
      <w:lvlJc w:val="left"/>
      <w:pPr>
        <w:ind w:hanging="360" w:left="2880"/>
      </w:pPr>
      <w:rPr>
        <w:rFonts w:ascii="Aptos SemiBold" w:hAnsi="Aptos SemiBold" w:hint="default"/>
        <w:color w:themeColor="accent2" w:val="AEAEAE"/>
      </w:rPr>
    </w:lvl>
    <w:lvl w:ilvl="5">
      <w:start w:val="1"/>
      <w:numFmt w:val="none"/>
      <w:lvlText w:val=""/>
      <w:lvlJc w:val="left"/>
      <w:pPr>
        <w:ind w:hanging="360" w:left="324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360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96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4320"/>
      </w:pPr>
      <w:rPr>
        <w:rFonts w:hint="default"/>
      </w:rPr>
    </w:lvl>
  </w:abstractNum>
  <w:abstractNum w15:restartNumberingAfterBreak="0" w:abstractNumId="20">
    <w:nsid w:val="39E00228"/>
    <w:multiLevelType w:val="multilevel"/>
    <w:tmpl w:val="24868AC4"/>
    <w:lvl w:ilvl="0">
      <w:start w:val="1"/>
      <w:numFmt w:val="bullet"/>
      <w:lvlText w:val="▪"/>
      <w:lvlJc w:val="left"/>
      <w:pPr>
        <w:ind w:hanging="360" w:left="1440"/>
      </w:pPr>
      <w:rPr>
        <w:rFonts w:ascii="Aptos SemiBold" w:hAnsi="Aptos SemiBold" w:hint="default"/>
        <w:color w:themeColor="accent2" w:val="AEAEAE"/>
      </w:rPr>
    </w:lvl>
    <w:lvl w:ilvl="1">
      <w:start w:val="1"/>
      <w:numFmt w:val="bullet"/>
      <w:lvlText w:val="–"/>
      <w:lvlJc w:val="left"/>
      <w:pPr>
        <w:ind w:hanging="360" w:left="1800"/>
      </w:pPr>
      <w:rPr>
        <w:rFonts w:ascii="Aptos SemiBold" w:hAnsi="Aptos SemiBold" w:hint="default"/>
        <w:color w:themeColor="accent2" w:val="AEAEA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Aptos SemiBold" w:hAnsi="Aptos SemiBold" w:hint="default"/>
        <w:color w:themeColor="accent2" w:val="AEAEAE"/>
      </w:rPr>
    </w:lvl>
    <w:lvl w:ilvl="3">
      <w:start w:val="1"/>
      <w:numFmt w:val="bullet"/>
      <w:lvlText w:val="–"/>
      <w:lvlJc w:val="left"/>
      <w:pPr>
        <w:ind w:hanging="360" w:left="2520"/>
      </w:pPr>
      <w:rPr>
        <w:rFonts w:ascii="Aptos SemiBold" w:hAnsi="Aptos SemiBold" w:hint="default"/>
        <w:color w:themeColor="accent2" w:val="AEAEAE"/>
      </w:rPr>
    </w:lvl>
    <w:lvl w:ilvl="4">
      <w:start w:val="1"/>
      <w:numFmt w:val="bullet"/>
      <w:lvlText w:val="▪"/>
      <w:lvlJc w:val="left"/>
      <w:pPr>
        <w:ind w:hanging="360" w:left="2880"/>
      </w:pPr>
      <w:rPr>
        <w:rFonts w:ascii="Aptos SemiBold" w:hAnsi="Aptos SemiBold" w:hint="default"/>
        <w:color w:themeColor="accent2" w:val="AEAEAE"/>
      </w:rPr>
    </w:lvl>
    <w:lvl w:ilvl="5">
      <w:start w:val="1"/>
      <w:numFmt w:val="none"/>
      <w:lvlText w:val=""/>
      <w:lvlJc w:val="left"/>
      <w:pPr>
        <w:ind w:hanging="360" w:left="324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360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96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4320"/>
      </w:pPr>
      <w:rPr>
        <w:rFonts w:hint="default"/>
      </w:rPr>
    </w:lvl>
  </w:abstractNum>
  <w:abstractNum w15:restartNumberingAfterBreak="0" w:abstractNumId="21">
    <w:nsid w:val="3A6F70D9"/>
    <w:multiLevelType w:val="hybridMultilevel"/>
    <w:tmpl w:val="034CDC6E"/>
    <w:lvl w:ilvl="0" w:tplc="03A2C670">
      <w:start w:val="1"/>
      <w:numFmt w:val="decimal"/>
      <w:lvlText w:val="%1."/>
      <w:lvlJc w:val="left"/>
      <w:pPr>
        <w:ind w:hanging="360" w:left="720"/>
      </w:pPr>
    </w:lvl>
    <w:lvl w:ilvl="1" w:tplc="5E7C4B2C">
      <w:start w:val="1"/>
      <w:numFmt w:val="decimal"/>
      <w:lvlText w:val="%2."/>
      <w:lvlJc w:val="left"/>
      <w:pPr>
        <w:ind w:hanging="360" w:left="720"/>
      </w:pPr>
    </w:lvl>
    <w:lvl w:ilvl="2" w:tplc="2B36462C">
      <w:start w:val="1"/>
      <w:numFmt w:val="decimal"/>
      <w:lvlText w:val="%3."/>
      <w:lvlJc w:val="left"/>
      <w:pPr>
        <w:ind w:hanging="360" w:left="720"/>
      </w:pPr>
    </w:lvl>
    <w:lvl w:ilvl="3" w:tplc="9546016C">
      <w:start w:val="1"/>
      <w:numFmt w:val="decimal"/>
      <w:lvlText w:val="%4."/>
      <w:lvlJc w:val="left"/>
      <w:pPr>
        <w:ind w:hanging="360" w:left="720"/>
      </w:pPr>
    </w:lvl>
    <w:lvl w:ilvl="4" w:tplc="E048E620">
      <w:start w:val="1"/>
      <w:numFmt w:val="decimal"/>
      <w:lvlText w:val="%5."/>
      <w:lvlJc w:val="left"/>
      <w:pPr>
        <w:ind w:hanging="360" w:left="720"/>
      </w:pPr>
    </w:lvl>
    <w:lvl w:ilvl="5" w:tplc="F828C000">
      <w:start w:val="1"/>
      <w:numFmt w:val="decimal"/>
      <w:lvlText w:val="%6."/>
      <w:lvlJc w:val="left"/>
      <w:pPr>
        <w:ind w:hanging="360" w:left="720"/>
      </w:pPr>
    </w:lvl>
    <w:lvl w:ilvl="6" w:tplc="73CCB68A">
      <w:start w:val="1"/>
      <w:numFmt w:val="decimal"/>
      <w:lvlText w:val="%7."/>
      <w:lvlJc w:val="left"/>
      <w:pPr>
        <w:ind w:hanging="360" w:left="720"/>
      </w:pPr>
    </w:lvl>
    <w:lvl w:ilvl="7" w:tplc="5D7CBC66">
      <w:start w:val="1"/>
      <w:numFmt w:val="decimal"/>
      <w:lvlText w:val="%8."/>
      <w:lvlJc w:val="left"/>
      <w:pPr>
        <w:ind w:hanging="360" w:left="720"/>
      </w:pPr>
    </w:lvl>
    <w:lvl w:ilvl="8" w:tplc="0AFEF98C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22">
    <w:nsid w:val="3EE35ABB"/>
    <w:multiLevelType w:val="multilevel"/>
    <w:tmpl w:val="176272B6"/>
    <w:numStyleLink w:val="SRKTableFootnotes"/>
  </w:abstractNum>
  <w:abstractNum w15:restartNumberingAfterBreak="0" w:abstractNumId="23">
    <w:nsid w:val="403D34D3"/>
    <w:multiLevelType w:val="multilevel"/>
    <w:tmpl w:val="49B888CC"/>
    <w:lvl w:ilvl="0">
      <w:start w:val="1"/>
      <w:numFmt w:val="decimal"/>
      <w:pStyle w:val="TableNumberList"/>
      <w:lvlText w:val="%1."/>
      <w:lvlJc w:val="left"/>
      <w:pPr>
        <w:ind w:hanging="288" w:left="288"/>
      </w:pPr>
      <w:rPr>
        <w:rFonts w:hint="default"/>
      </w:rPr>
    </w:lvl>
    <w:lvl w:ilvl="1">
      <w:start w:val="1"/>
      <w:numFmt w:val="lowerLetter"/>
      <w:pStyle w:val="TableNumberList2"/>
      <w:lvlText w:val="%2."/>
      <w:lvlJc w:val="left"/>
      <w:pPr>
        <w:ind w:hanging="288" w:left="576"/>
      </w:pPr>
      <w:rPr>
        <w:rFonts w:hint="default"/>
      </w:rPr>
    </w:lvl>
    <w:lvl w:ilvl="2">
      <w:start w:val="1"/>
      <w:numFmt w:val="decimal"/>
      <w:pStyle w:val="TableNumberList3"/>
      <w:lvlText w:val="%3."/>
      <w:lvlJc w:val="left"/>
      <w:pPr>
        <w:ind w:hanging="288" w:left="864"/>
      </w:pPr>
      <w:rPr>
        <w:rFonts w:hint="default"/>
      </w:rPr>
    </w:lvl>
    <w:lvl w:ilvl="3">
      <w:start w:val="1"/>
      <w:numFmt w:val="none"/>
      <w:lvlText w:val=""/>
      <w:lvlJc w:val="left"/>
      <w:pPr>
        <w:ind w:hanging="288" w:left="864"/>
      </w:pPr>
      <w:rPr>
        <w:rFonts w:hint="default"/>
      </w:rPr>
    </w:lvl>
    <w:lvl w:ilvl="4">
      <w:start w:val="1"/>
      <w:numFmt w:val="none"/>
      <w:lvlText w:val=""/>
      <w:lvlJc w:val="left"/>
      <w:pPr>
        <w:ind w:hanging="288" w:left="864"/>
      </w:pPr>
      <w:rPr>
        <w:rFonts w:hint="default"/>
      </w:rPr>
    </w:lvl>
    <w:lvl w:ilvl="5">
      <w:start w:val="1"/>
      <w:numFmt w:val="none"/>
      <w:lvlText w:val=""/>
      <w:lvlJc w:val="left"/>
      <w:pPr>
        <w:ind w:hanging="288" w:left="864"/>
      </w:pPr>
      <w:rPr>
        <w:rFonts w:hint="default"/>
      </w:rPr>
    </w:lvl>
    <w:lvl w:ilvl="6">
      <w:start w:val="1"/>
      <w:numFmt w:val="none"/>
      <w:lvlText w:val=""/>
      <w:lvlJc w:val="left"/>
      <w:pPr>
        <w:ind w:hanging="288" w:left="864"/>
      </w:pPr>
      <w:rPr>
        <w:rFonts w:hint="default"/>
      </w:rPr>
    </w:lvl>
    <w:lvl w:ilvl="7">
      <w:start w:val="1"/>
      <w:numFmt w:val="none"/>
      <w:lvlText w:val=""/>
      <w:lvlJc w:val="left"/>
      <w:pPr>
        <w:ind w:hanging="288" w:left="864"/>
      </w:pPr>
      <w:rPr>
        <w:rFonts w:hint="default"/>
      </w:rPr>
    </w:lvl>
    <w:lvl w:ilvl="8">
      <w:start w:val="1"/>
      <w:numFmt w:val="none"/>
      <w:lvlText w:val=""/>
      <w:lvlJc w:val="left"/>
      <w:pPr>
        <w:ind w:hanging="288" w:left="864"/>
      </w:pPr>
      <w:rPr>
        <w:rFonts w:hint="default"/>
      </w:rPr>
    </w:lvl>
  </w:abstractNum>
  <w:abstractNum w15:restartNumberingAfterBreak="0" w:abstractNumId="24">
    <w:nsid w:val="42F33629"/>
    <w:multiLevelType w:val="multilevel"/>
    <w:tmpl w:val="7F30ECA4"/>
    <w:styleLink w:val="CurrentList5"/>
    <w:lvl w:ilvl="0">
      <w:start w:val="1"/>
      <w:numFmt w:val="decimal"/>
      <w:lvlText w:val="%1."/>
      <w:lvlJc w:val="left"/>
      <w:pPr>
        <w:ind w:hanging="360" w:left="360"/>
      </w:pPr>
      <w:rPr>
        <w:rFonts w:hint="default"/>
        <w:color w:themeColor="accent2" w:val="AEAEAE"/>
      </w:rPr>
    </w:lvl>
    <w:lvl w:ilvl="1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3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4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5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6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360"/>
      </w:pPr>
      <w:rPr>
        <w:rFonts w:hint="default"/>
      </w:rPr>
    </w:lvl>
  </w:abstractNum>
  <w:abstractNum w15:restartNumberingAfterBreak="0" w:abstractNumId="25">
    <w:nsid w:val="49A513B0"/>
    <w:multiLevelType w:val="hybridMultilevel"/>
    <w:tmpl w:val="FA6472BC"/>
    <w:lvl w:ilvl="0" w:tplc="2862B7CE">
      <w:start w:val="1"/>
      <w:numFmt w:val="decimal"/>
      <w:lvlText w:val="%1."/>
      <w:lvlJc w:val="left"/>
      <w:pPr>
        <w:ind w:hanging="360" w:left="720"/>
      </w:pPr>
    </w:lvl>
    <w:lvl w:ilvl="1" w:tplc="F5BCBA42">
      <w:start w:val="1"/>
      <w:numFmt w:val="decimal"/>
      <w:lvlText w:val="%2."/>
      <w:lvlJc w:val="left"/>
      <w:pPr>
        <w:ind w:hanging="360" w:left="720"/>
      </w:pPr>
    </w:lvl>
    <w:lvl w:ilvl="2" w:tplc="F42E0B92">
      <w:start w:val="1"/>
      <w:numFmt w:val="decimal"/>
      <w:lvlText w:val="%3."/>
      <w:lvlJc w:val="left"/>
      <w:pPr>
        <w:ind w:hanging="360" w:left="720"/>
      </w:pPr>
    </w:lvl>
    <w:lvl w:ilvl="3" w:tplc="2398DD1C">
      <w:start w:val="1"/>
      <w:numFmt w:val="decimal"/>
      <w:lvlText w:val="%4."/>
      <w:lvlJc w:val="left"/>
      <w:pPr>
        <w:ind w:hanging="360" w:left="720"/>
      </w:pPr>
    </w:lvl>
    <w:lvl w:ilvl="4" w:tplc="26C0D72A">
      <w:start w:val="1"/>
      <w:numFmt w:val="decimal"/>
      <w:lvlText w:val="%5."/>
      <w:lvlJc w:val="left"/>
      <w:pPr>
        <w:ind w:hanging="360" w:left="720"/>
      </w:pPr>
    </w:lvl>
    <w:lvl w:ilvl="5" w:tplc="FDF08EDC">
      <w:start w:val="1"/>
      <w:numFmt w:val="decimal"/>
      <w:lvlText w:val="%6."/>
      <w:lvlJc w:val="left"/>
      <w:pPr>
        <w:ind w:hanging="360" w:left="720"/>
      </w:pPr>
    </w:lvl>
    <w:lvl w:ilvl="6" w:tplc="17F44372">
      <w:start w:val="1"/>
      <w:numFmt w:val="decimal"/>
      <w:lvlText w:val="%7."/>
      <w:lvlJc w:val="left"/>
      <w:pPr>
        <w:ind w:hanging="360" w:left="720"/>
      </w:pPr>
    </w:lvl>
    <w:lvl w:ilvl="7" w:tplc="EE3AB0DA">
      <w:start w:val="1"/>
      <w:numFmt w:val="decimal"/>
      <w:lvlText w:val="%8."/>
      <w:lvlJc w:val="left"/>
      <w:pPr>
        <w:ind w:hanging="360" w:left="720"/>
      </w:pPr>
    </w:lvl>
    <w:lvl w:ilvl="8" w:tplc="399C98E6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26">
    <w:nsid w:val="4E695031"/>
    <w:multiLevelType w:val="multilevel"/>
    <w:tmpl w:val="C0AE54D4"/>
    <w:styleLink w:val="CurrentList2"/>
    <w:lvl w:ilvl="0">
      <w:start w:val="1"/>
      <w:numFmt w:val="bullet"/>
      <w:lvlText w:val="▪"/>
      <w:lvlJc w:val="left"/>
      <w:pPr>
        <w:ind w:hanging="360" w:left="1440"/>
      </w:pPr>
      <w:rPr>
        <w:rFonts w:ascii="Aptos SemiBold" w:hAnsi="Aptos SemiBold" w:hint="default"/>
        <w:color w:themeColor="accent2" w:val="AEAEAE"/>
      </w:rPr>
    </w:lvl>
    <w:lvl w:ilvl="1">
      <w:start w:val="1"/>
      <w:numFmt w:val="bullet"/>
      <w:lvlText w:val="–"/>
      <w:lvlJc w:val="left"/>
      <w:pPr>
        <w:ind w:hanging="360" w:left="1800"/>
      </w:pPr>
      <w:rPr>
        <w:rFonts w:ascii="Aptos SemiBold" w:hAnsi="Aptos SemiBold" w:hint="default"/>
        <w:color w:themeColor="accent2" w:val="AEAEAE"/>
      </w:rPr>
    </w:lvl>
    <w:lvl w:ilvl="2">
      <w:start w:val="1"/>
      <w:numFmt w:val="bullet"/>
      <w:lvlText w:val="▪"/>
      <w:lvlJc w:val="left"/>
      <w:pPr>
        <w:ind w:hanging="360" w:left="2160"/>
      </w:pPr>
      <w:rPr>
        <w:rFonts w:ascii="Aptos SemiBold" w:hAnsi="Aptos SemiBold" w:hint="default"/>
        <w:color w:themeColor="accent2" w:val="AEAEAE"/>
      </w:rPr>
    </w:lvl>
    <w:lvl w:ilvl="3">
      <w:start w:val="1"/>
      <w:numFmt w:val="bullet"/>
      <w:lvlText w:val="–"/>
      <w:lvlJc w:val="left"/>
      <w:pPr>
        <w:ind w:hanging="360" w:left="2520"/>
      </w:pPr>
      <w:rPr>
        <w:rFonts w:ascii="Aptos SemiBold" w:hAnsi="Aptos SemiBold" w:hint="default"/>
        <w:color w:themeColor="accent2" w:val="AEAEAE"/>
      </w:rPr>
    </w:lvl>
    <w:lvl w:ilvl="4">
      <w:start w:val="1"/>
      <w:numFmt w:val="bullet"/>
      <w:lvlText w:val="▪"/>
      <w:lvlJc w:val="left"/>
      <w:pPr>
        <w:ind w:hanging="360" w:left="2880"/>
      </w:pPr>
      <w:rPr>
        <w:rFonts w:ascii="Aptos SemiBold" w:hAnsi="Aptos SemiBold" w:hint="default"/>
        <w:color w:themeColor="accent2" w:val="AEAEAE"/>
      </w:rPr>
    </w:lvl>
    <w:lvl w:ilvl="5">
      <w:start w:val="1"/>
      <w:numFmt w:val="none"/>
      <w:lvlText w:val=""/>
      <w:lvlJc w:val="left"/>
      <w:pPr>
        <w:ind w:hanging="360" w:left="324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360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3960"/>
      </w:pPr>
      <w:rPr>
        <w:rFonts w:hint="default"/>
      </w:rPr>
    </w:lvl>
    <w:lvl w:ilvl="8">
      <w:start w:val="1"/>
      <w:numFmt w:val="none"/>
      <w:lvlText w:val=""/>
      <w:lvlJc w:val="left"/>
      <w:pPr>
        <w:ind w:hanging="360" w:left="4320"/>
      </w:pPr>
      <w:rPr>
        <w:rFonts w:hint="default"/>
      </w:rPr>
    </w:lvl>
  </w:abstractNum>
  <w:abstractNum w15:restartNumberingAfterBreak="0" w:abstractNumId="27">
    <w:nsid w:val="53104405"/>
    <w:multiLevelType w:val="hybridMultilevel"/>
    <w:tmpl w:val="8C90D7EC"/>
    <w:lvl w:ilvl="0" w:tplc="2DC40B16">
      <w:start w:val="1"/>
      <w:numFmt w:val="decimal"/>
      <w:lvlText w:val="%1."/>
      <w:lvlJc w:val="left"/>
      <w:pPr>
        <w:ind w:hanging="360" w:left="720"/>
      </w:pPr>
    </w:lvl>
    <w:lvl w:ilvl="1" w:tplc="AEB26708">
      <w:start w:val="1"/>
      <w:numFmt w:val="decimal"/>
      <w:lvlText w:val="%2."/>
      <w:lvlJc w:val="left"/>
      <w:pPr>
        <w:ind w:hanging="360" w:left="720"/>
      </w:pPr>
    </w:lvl>
    <w:lvl w:ilvl="2" w:tplc="14A451C8">
      <w:start w:val="1"/>
      <w:numFmt w:val="decimal"/>
      <w:lvlText w:val="%3."/>
      <w:lvlJc w:val="left"/>
      <w:pPr>
        <w:ind w:hanging="360" w:left="720"/>
      </w:pPr>
    </w:lvl>
    <w:lvl w:ilvl="3" w:tplc="FF38A6DE">
      <w:start w:val="1"/>
      <w:numFmt w:val="decimal"/>
      <w:lvlText w:val="%4."/>
      <w:lvlJc w:val="left"/>
      <w:pPr>
        <w:ind w:hanging="360" w:left="720"/>
      </w:pPr>
    </w:lvl>
    <w:lvl w:ilvl="4" w:tplc="FFFA9FB2">
      <w:start w:val="1"/>
      <w:numFmt w:val="decimal"/>
      <w:lvlText w:val="%5."/>
      <w:lvlJc w:val="left"/>
      <w:pPr>
        <w:ind w:hanging="360" w:left="720"/>
      </w:pPr>
    </w:lvl>
    <w:lvl w:ilvl="5" w:tplc="1968F3EC">
      <w:start w:val="1"/>
      <w:numFmt w:val="decimal"/>
      <w:lvlText w:val="%6."/>
      <w:lvlJc w:val="left"/>
      <w:pPr>
        <w:ind w:hanging="360" w:left="720"/>
      </w:pPr>
    </w:lvl>
    <w:lvl w:ilvl="6" w:tplc="4E0C9D28">
      <w:start w:val="1"/>
      <w:numFmt w:val="decimal"/>
      <w:lvlText w:val="%7."/>
      <w:lvlJc w:val="left"/>
      <w:pPr>
        <w:ind w:hanging="360" w:left="720"/>
      </w:pPr>
    </w:lvl>
    <w:lvl w:ilvl="7" w:tplc="8F52B3F8">
      <w:start w:val="1"/>
      <w:numFmt w:val="decimal"/>
      <w:lvlText w:val="%8."/>
      <w:lvlJc w:val="left"/>
      <w:pPr>
        <w:ind w:hanging="360" w:left="720"/>
      </w:pPr>
    </w:lvl>
    <w:lvl w:ilvl="8" w:tplc="DB8E55E4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28">
    <w:nsid w:val="54760CD4"/>
    <w:multiLevelType w:val="hybridMultilevel"/>
    <w:tmpl w:val="B29A5EE8"/>
    <w:lvl w:ilvl="0" w:tplc="58C4E7DC">
      <w:start w:val="1"/>
      <w:numFmt w:val="decimal"/>
      <w:lvlText w:val="%1."/>
      <w:lvlJc w:val="left"/>
      <w:pPr>
        <w:ind w:hanging="360" w:left="720"/>
      </w:pPr>
    </w:lvl>
    <w:lvl w:ilvl="1" w:tplc="9ADC8DC0">
      <w:start w:val="1"/>
      <w:numFmt w:val="decimal"/>
      <w:lvlText w:val="%2."/>
      <w:lvlJc w:val="left"/>
      <w:pPr>
        <w:ind w:hanging="360" w:left="720"/>
      </w:pPr>
    </w:lvl>
    <w:lvl w:ilvl="2" w:tplc="91284F80">
      <w:start w:val="1"/>
      <w:numFmt w:val="decimal"/>
      <w:lvlText w:val="%3."/>
      <w:lvlJc w:val="left"/>
      <w:pPr>
        <w:ind w:hanging="360" w:left="720"/>
      </w:pPr>
    </w:lvl>
    <w:lvl w:ilvl="3" w:tplc="480ECBA0">
      <w:start w:val="1"/>
      <w:numFmt w:val="decimal"/>
      <w:lvlText w:val="%4."/>
      <w:lvlJc w:val="left"/>
      <w:pPr>
        <w:ind w:hanging="360" w:left="720"/>
      </w:pPr>
    </w:lvl>
    <w:lvl w:ilvl="4" w:tplc="394A1FDC">
      <w:start w:val="1"/>
      <w:numFmt w:val="decimal"/>
      <w:lvlText w:val="%5."/>
      <w:lvlJc w:val="left"/>
      <w:pPr>
        <w:ind w:hanging="360" w:left="720"/>
      </w:pPr>
    </w:lvl>
    <w:lvl w:ilvl="5" w:tplc="7B027956">
      <w:start w:val="1"/>
      <w:numFmt w:val="decimal"/>
      <w:lvlText w:val="%6."/>
      <w:lvlJc w:val="left"/>
      <w:pPr>
        <w:ind w:hanging="360" w:left="720"/>
      </w:pPr>
    </w:lvl>
    <w:lvl w:ilvl="6" w:tplc="39168CB8">
      <w:start w:val="1"/>
      <w:numFmt w:val="decimal"/>
      <w:lvlText w:val="%7."/>
      <w:lvlJc w:val="left"/>
      <w:pPr>
        <w:ind w:hanging="360" w:left="720"/>
      </w:pPr>
    </w:lvl>
    <w:lvl w:ilvl="7" w:tplc="E95044CE">
      <w:start w:val="1"/>
      <w:numFmt w:val="decimal"/>
      <w:lvlText w:val="%8."/>
      <w:lvlJc w:val="left"/>
      <w:pPr>
        <w:ind w:hanging="360" w:left="720"/>
      </w:pPr>
    </w:lvl>
    <w:lvl w:ilvl="8" w:tplc="0AD4BEDE">
      <w:start w:val="1"/>
      <w:numFmt w:val="decimal"/>
      <w:lvlText w:val="%9."/>
      <w:lvlJc w:val="left"/>
      <w:pPr>
        <w:ind w:hanging="360" w:left="720"/>
      </w:pPr>
    </w:lvl>
  </w:abstractNum>
  <w:abstractNum w15:restartNumberingAfterBreak="0" w:abstractNumId="29">
    <w:nsid w:val="554B737F"/>
    <w:multiLevelType w:val="multilevel"/>
    <w:tmpl w:val="09B0EE06"/>
    <w:lvl w:ilvl="0">
      <w:start w:val="1"/>
      <w:numFmt w:val="upperLetter"/>
      <w:pStyle w:val="Appx1Cover"/>
      <w:lvlText w:val="Appendix %1"/>
      <w:lvlJc w:val="left"/>
      <w:pPr>
        <w:ind w:hanging="2880" w:left="2880"/>
      </w:pPr>
      <w:rPr>
        <w:rFonts w:hint="default"/>
      </w:rPr>
    </w:lvl>
    <w:lvl w:ilvl="1">
      <w:start w:val="1"/>
      <w:numFmt w:val="decimal"/>
      <w:pStyle w:val="Appx2Cover"/>
      <w:lvlText w:val="Appendix %1.%2"/>
      <w:lvlJc w:val="left"/>
      <w:pPr>
        <w:ind w:hanging="2880" w:left="2880"/>
      </w:pPr>
      <w:rPr>
        <w:rFonts w:hint="default"/>
      </w:rPr>
    </w:lvl>
    <w:lvl w:ilvl="2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3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30">
    <w:nsid w:val="5B52312A"/>
    <w:multiLevelType w:val="multilevel"/>
    <w:tmpl w:val="CDA4BA36"/>
    <w:styleLink w:val="SRKTableFootnotesWide"/>
    <w:lvl w:ilvl="0">
      <w:start w:val="1"/>
      <w:numFmt w:val="decimal"/>
      <w:pStyle w:val="TableFootnoteWide"/>
      <w:lvlText w:val="%1."/>
      <w:lvlJc w:val="left"/>
      <w:pPr>
        <w:tabs>
          <w:tab w:pos="-1080" w:val="num"/>
        </w:tabs>
        <w:ind w:hanging="360" w:left="-1080"/>
      </w:pPr>
      <w:rPr>
        <w:rFonts w:hint="default"/>
        <w:color w:themeColor="text2" w:val="F37021"/>
      </w:rPr>
    </w:lvl>
    <w:lvl w:ilvl="1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pos="-1080" w:val="num"/>
        </w:tabs>
        <w:ind w:hanging="360" w:left="-1080"/>
      </w:pPr>
      <w:rPr>
        <w:rFonts w:hint="default"/>
      </w:rPr>
    </w:lvl>
  </w:abstractNum>
  <w:abstractNum w15:restartNumberingAfterBreak="0" w:abstractNumId="31">
    <w:nsid w:val="60B95CE3"/>
    <w:multiLevelType w:val="multilevel"/>
    <w:tmpl w:val="4BDE0F2A"/>
    <w:numStyleLink w:val="SRKNumberedList"/>
  </w:abstractNum>
  <w:abstractNum w15:restartNumberingAfterBreak="0" w:abstractNumId="32">
    <w:nsid w:val="67C83617"/>
    <w:multiLevelType w:val="multilevel"/>
    <w:tmpl w:val="4BDE0F2A"/>
    <w:styleLink w:val="SRKNumberedList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  <w:rPr>
        <w:rFonts w:hint="default"/>
        <w:color w:themeColor="text2" w:val="F37021"/>
      </w:rPr>
    </w:lvl>
    <w:lvl w:ilvl="1">
      <w:start w:val="1"/>
      <w:numFmt w:val="lowerLetter"/>
      <w:pStyle w:val="ListNumber2"/>
      <w:lvlText w:val="%2."/>
      <w:lvlJc w:val="left"/>
      <w:pPr>
        <w:tabs>
          <w:tab w:pos="720" w:val="num"/>
        </w:tabs>
        <w:ind w:hanging="360" w:left="720"/>
      </w:pPr>
      <w:rPr>
        <w:rFonts w:hint="default"/>
        <w:color w:themeColor="text2" w:val="F37021"/>
      </w:rPr>
    </w:lvl>
    <w:lvl w:ilvl="2">
      <w:start w:val="1"/>
      <w:numFmt w:val="decimal"/>
      <w:pStyle w:val="ListNumber3"/>
      <w:lvlText w:val="%3."/>
      <w:lvlJc w:val="left"/>
      <w:pPr>
        <w:tabs>
          <w:tab w:pos="1080" w:val="num"/>
        </w:tabs>
        <w:ind w:hanging="360" w:left="1080"/>
      </w:pPr>
      <w:rPr>
        <w:rFonts w:hint="default"/>
        <w:color w:themeColor="text2" w:val="F37021"/>
      </w:rPr>
    </w:lvl>
    <w:lvl w:ilvl="3">
      <w:start w:val="1"/>
      <w:numFmt w:val="lowerLetter"/>
      <w:pStyle w:val="ListNumber4"/>
      <w:lvlText w:val="%4."/>
      <w:lvlJc w:val="left"/>
      <w:pPr>
        <w:tabs>
          <w:tab w:pos="1440" w:val="num"/>
        </w:tabs>
        <w:ind w:hanging="360" w:left="1440"/>
      </w:pPr>
      <w:rPr>
        <w:rFonts w:hint="default"/>
        <w:color w:themeColor="text2" w:val="F37021"/>
      </w:rPr>
    </w:lvl>
    <w:lvl w:ilvl="4">
      <w:start w:val="1"/>
      <w:numFmt w:val="lowerRoman"/>
      <w:pStyle w:val="ListNumber5"/>
      <w:lvlText w:val="%5."/>
      <w:lvlJc w:val="left"/>
      <w:pPr>
        <w:tabs>
          <w:tab w:pos="1800" w:val="num"/>
        </w:tabs>
        <w:ind w:hanging="360" w:left="1800"/>
      </w:pPr>
      <w:rPr>
        <w:rFonts w:hint="default"/>
        <w:color w:themeColor="text2" w:val="F37021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33">
    <w:nsid w:val="6BF74260"/>
    <w:multiLevelType w:val="multilevel"/>
    <w:tmpl w:val="A23C7580"/>
    <w:lvl w:ilvl="0">
      <w:start w:val="1"/>
      <w:numFmt w:val="bullet"/>
      <w:pStyle w:val="TableBulletList"/>
      <w:lvlText w:val="▪"/>
      <w:lvlJc w:val="left"/>
      <w:pPr>
        <w:ind w:hanging="173" w:left="173"/>
      </w:pPr>
      <w:rPr>
        <w:rFonts w:ascii="Aptos SemiBold" w:hAnsi="Aptos SemiBold" w:hint="default"/>
        <w:color w:val="auto"/>
      </w:rPr>
    </w:lvl>
    <w:lvl w:ilvl="1">
      <w:start w:val="1"/>
      <w:numFmt w:val="bullet"/>
      <w:pStyle w:val="TableBulletList2"/>
      <w:lvlText w:val="–"/>
      <w:lvlJc w:val="left"/>
      <w:pPr>
        <w:ind w:hanging="173" w:left="346"/>
      </w:pPr>
      <w:rPr>
        <w:rFonts w:ascii="Aptos SemiBold" w:hAnsi="Aptos SemiBold" w:hint="default"/>
        <w:color w:val="auto"/>
      </w:rPr>
    </w:lvl>
    <w:lvl w:ilvl="2">
      <w:start w:val="1"/>
      <w:numFmt w:val="bullet"/>
      <w:pStyle w:val="TableBulletList3"/>
      <w:lvlText w:val="▪"/>
      <w:lvlJc w:val="left"/>
      <w:pPr>
        <w:ind w:hanging="172" w:left="518"/>
      </w:pPr>
      <w:rPr>
        <w:rFonts w:ascii="Aptos SemiBold" w:hAnsi="Aptos SemiBold" w:hint="default"/>
        <w:color w:val="auto"/>
      </w:rPr>
    </w:lvl>
    <w:lvl w:ilvl="3">
      <w:start w:val="1"/>
      <w:numFmt w:val="none"/>
      <w:lvlText w:val=""/>
      <w:lvlJc w:val="left"/>
      <w:pPr>
        <w:ind w:hanging="172" w:left="518"/>
      </w:pPr>
      <w:rPr>
        <w:rFonts w:hint="default"/>
      </w:rPr>
    </w:lvl>
    <w:lvl w:ilvl="4">
      <w:start w:val="1"/>
      <w:numFmt w:val="none"/>
      <w:lvlText w:val=""/>
      <w:lvlJc w:val="left"/>
      <w:pPr>
        <w:ind w:hanging="172" w:left="518"/>
      </w:pPr>
      <w:rPr>
        <w:rFonts w:hint="default"/>
      </w:rPr>
    </w:lvl>
    <w:lvl w:ilvl="5">
      <w:start w:val="1"/>
      <w:numFmt w:val="none"/>
      <w:lvlText w:val=""/>
      <w:lvlJc w:val="left"/>
      <w:pPr>
        <w:ind w:hanging="172" w:left="518"/>
      </w:pPr>
      <w:rPr>
        <w:rFonts w:hint="default"/>
      </w:rPr>
    </w:lvl>
    <w:lvl w:ilvl="6">
      <w:start w:val="1"/>
      <w:numFmt w:val="none"/>
      <w:lvlText w:val=""/>
      <w:lvlJc w:val="left"/>
      <w:pPr>
        <w:ind w:hanging="172" w:left="518"/>
      </w:pPr>
      <w:rPr>
        <w:rFonts w:hint="default"/>
      </w:rPr>
    </w:lvl>
    <w:lvl w:ilvl="7">
      <w:start w:val="1"/>
      <w:numFmt w:val="none"/>
      <w:lvlText w:val=""/>
      <w:lvlJc w:val="left"/>
      <w:pPr>
        <w:ind w:hanging="172" w:left="518"/>
      </w:pPr>
      <w:rPr>
        <w:rFonts w:hint="default"/>
      </w:rPr>
    </w:lvl>
    <w:lvl w:ilvl="8">
      <w:start w:val="1"/>
      <w:numFmt w:val="none"/>
      <w:lvlText w:val=""/>
      <w:lvlJc w:val="left"/>
      <w:pPr>
        <w:ind w:hanging="172" w:left="518"/>
      </w:pPr>
      <w:rPr>
        <w:rFonts w:hint="default"/>
      </w:rPr>
    </w:lvl>
  </w:abstractNum>
  <w:abstractNum w15:restartNumberingAfterBreak="0" w:abstractNumId="34">
    <w:nsid w:val="6CAB38E6"/>
    <w:multiLevelType w:val="multilevel"/>
    <w:tmpl w:val="6A362C98"/>
    <w:lvl w:ilvl="0">
      <w:start w:val="1"/>
      <w:numFmt w:val="decimal"/>
      <w:lvlText w:val="%1."/>
      <w:lvlJc w:val="left"/>
      <w:pPr>
        <w:ind w:hanging="360" w:left="1440"/>
      </w:pPr>
      <w:rPr>
        <w:rFonts w:hint="default"/>
        <w:color w:themeColor="accent2" w:val="AEAEA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  <w:color w:themeColor="accent2" w:val="AEAEAE"/>
      </w:rPr>
    </w:lvl>
    <w:lvl w:ilvl="2">
      <w:start w:val="1"/>
      <w:numFmt w:val="decimal"/>
      <w:lvlText w:val="%3."/>
      <w:lvlJc w:val="left"/>
      <w:pPr>
        <w:ind w:hanging="360" w:left="2160"/>
      </w:pPr>
      <w:rPr>
        <w:rFonts w:hint="default"/>
        <w:color w:themeColor="accent2" w:val="AEAEAE"/>
      </w:rPr>
    </w:lvl>
    <w:lvl w:ilvl="3">
      <w:start w:val="1"/>
      <w:numFmt w:val="lowerLetter"/>
      <w:lvlText w:val="%4."/>
      <w:lvlJc w:val="left"/>
      <w:pPr>
        <w:ind w:hanging="360" w:left="2520"/>
      </w:pPr>
      <w:rPr>
        <w:rFonts w:hint="default"/>
        <w:color w:themeColor="accent2" w:val="AEAEAE"/>
      </w:rPr>
    </w:lvl>
    <w:lvl w:ilvl="4">
      <w:start w:val="1"/>
      <w:numFmt w:val="lowerRoman"/>
      <w:lvlText w:val="%5."/>
      <w:lvlJc w:val="left"/>
      <w:pPr>
        <w:ind w:hanging="360" w:left="2880"/>
      </w:pPr>
      <w:rPr>
        <w:rFonts w:hint="default"/>
        <w:color w:themeColor="accent2" w:val="AEAEAE"/>
      </w:rPr>
    </w:lvl>
    <w:lvl w:ilvl="5">
      <w:start w:val="1"/>
      <w:numFmt w:val="none"/>
      <w:lvlText w:val=""/>
      <w:lvlJc w:val="left"/>
      <w:pPr>
        <w:ind w:firstLine="720" w:left="2160"/>
      </w:pPr>
      <w:rPr>
        <w:rFonts w:hint="default"/>
      </w:rPr>
    </w:lvl>
    <w:lvl w:ilvl="6">
      <w:start w:val="1"/>
      <w:numFmt w:val="none"/>
      <w:lvlText w:val=""/>
      <w:lvlJc w:val="left"/>
      <w:pPr>
        <w:ind w:firstLine="720" w:left="2520"/>
      </w:pPr>
      <w:rPr>
        <w:rFonts w:hint="default"/>
      </w:rPr>
    </w:lvl>
    <w:lvl w:ilvl="7">
      <w:start w:val="1"/>
      <w:numFmt w:val="none"/>
      <w:lvlText w:val=""/>
      <w:lvlJc w:val="left"/>
      <w:pPr>
        <w:ind w:firstLine="720" w:left="2880"/>
      </w:pPr>
      <w:rPr>
        <w:rFonts w:hint="default"/>
      </w:rPr>
    </w:lvl>
    <w:lvl w:ilvl="8">
      <w:start w:val="1"/>
      <w:numFmt w:val="none"/>
      <w:lvlText w:val=""/>
      <w:lvlJc w:val="left"/>
      <w:pPr>
        <w:ind w:firstLine="720" w:left="3240"/>
      </w:pPr>
      <w:rPr>
        <w:rFonts w:hint="default"/>
      </w:rPr>
    </w:lvl>
  </w:abstractNum>
  <w:abstractNum w15:restartNumberingAfterBreak="0" w:abstractNumId="35">
    <w:nsid w:val="6D07621E"/>
    <w:multiLevelType w:val="multilevel"/>
    <w:tmpl w:val="2482FF18"/>
    <w:styleLink w:val="CurrentList3"/>
    <w:lvl w:ilvl="0">
      <w:start w:val="1"/>
      <w:numFmt w:val="decimal"/>
      <w:lvlText w:val="%1."/>
      <w:lvlJc w:val="left"/>
      <w:pPr>
        <w:ind w:hanging="360" w:left="1440"/>
      </w:pPr>
      <w:rPr>
        <w:rFonts w:hint="default"/>
        <w:color w:themeColor="accent2" w:val="AEAEAE"/>
      </w:rPr>
    </w:lvl>
    <w:lvl w:ilvl="1">
      <w:start w:val="1"/>
      <w:numFmt w:val="lowerLetter"/>
      <w:lvlText w:val="%2."/>
      <w:lvlJc w:val="left"/>
      <w:pPr>
        <w:ind w:hanging="360" w:left="1800"/>
      </w:pPr>
      <w:rPr>
        <w:rFonts w:hint="default"/>
        <w:color w:themeColor="accent2" w:val="AEAEAE"/>
      </w:rPr>
    </w:lvl>
    <w:lvl w:ilvl="2">
      <w:start w:val="1"/>
      <w:numFmt w:val="decimal"/>
      <w:lvlText w:val="%3."/>
      <w:lvlJc w:val="left"/>
      <w:pPr>
        <w:ind w:hanging="360" w:left="2160"/>
      </w:pPr>
      <w:rPr>
        <w:rFonts w:hint="default"/>
        <w:color w:themeColor="accent2" w:val="AEAEAE"/>
      </w:rPr>
    </w:lvl>
    <w:lvl w:ilvl="3">
      <w:start w:val="1"/>
      <w:numFmt w:val="lowerLetter"/>
      <w:lvlText w:val="%4."/>
      <w:lvlJc w:val="left"/>
      <w:pPr>
        <w:ind w:hanging="360" w:left="2520"/>
      </w:pPr>
      <w:rPr>
        <w:rFonts w:hint="default"/>
        <w:color w:themeColor="accent2" w:val="AEAEAE"/>
      </w:rPr>
    </w:lvl>
    <w:lvl w:ilvl="4">
      <w:start w:val="1"/>
      <w:numFmt w:val="lowerRoman"/>
      <w:lvlText w:val="%5."/>
      <w:lvlJc w:val="left"/>
      <w:pPr>
        <w:ind w:hanging="360" w:left="2880"/>
      </w:pPr>
      <w:rPr>
        <w:rFonts w:hint="default"/>
        <w:color w:themeColor="accent2" w:val="AEAEAE"/>
      </w:rPr>
    </w:lvl>
    <w:lvl w:ilvl="5">
      <w:start w:val="1"/>
      <w:numFmt w:val="none"/>
      <w:lvlText w:val=""/>
      <w:lvlJc w:val="left"/>
      <w:pPr>
        <w:ind w:firstLine="720" w:left="2160"/>
      </w:pPr>
      <w:rPr>
        <w:rFonts w:hint="default"/>
      </w:rPr>
    </w:lvl>
    <w:lvl w:ilvl="6">
      <w:start w:val="1"/>
      <w:numFmt w:val="none"/>
      <w:lvlText w:val=""/>
      <w:lvlJc w:val="left"/>
      <w:pPr>
        <w:ind w:firstLine="720" w:left="2520"/>
      </w:pPr>
      <w:rPr>
        <w:rFonts w:hint="default"/>
      </w:rPr>
    </w:lvl>
    <w:lvl w:ilvl="7">
      <w:start w:val="1"/>
      <w:numFmt w:val="none"/>
      <w:lvlText w:val=""/>
      <w:lvlJc w:val="left"/>
      <w:pPr>
        <w:ind w:firstLine="720" w:left="2880"/>
      </w:pPr>
      <w:rPr>
        <w:rFonts w:hint="default"/>
      </w:rPr>
    </w:lvl>
    <w:lvl w:ilvl="8">
      <w:start w:val="1"/>
      <w:numFmt w:val="none"/>
      <w:lvlText w:val=""/>
      <w:lvlJc w:val="left"/>
      <w:pPr>
        <w:ind w:firstLine="720" w:left="3240"/>
      </w:pPr>
      <w:rPr>
        <w:rFonts w:hint="default"/>
      </w:rPr>
    </w:lvl>
  </w:abstractNum>
  <w:abstractNum w15:restartNumberingAfterBreak="0" w:abstractNumId="36">
    <w:nsid w:val="6E3A7E32"/>
    <w:multiLevelType w:val="multilevel"/>
    <w:tmpl w:val="176272B6"/>
    <w:numStyleLink w:val="SRKTableFootnotes"/>
  </w:abstractNum>
  <w:abstractNum w15:restartNumberingAfterBreak="0" w:abstractNumId="37">
    <w:nsid w:val="70A365D2"/>
    <w:multiLevelType w:val="multilevel"/>
    <w:tmpl w:val="73748376"/>
    <w:numStyleLink w:val="SRKHeadings"/>
  </w:abstractNum>
  <w:abstractNum w15:restartNumberingAfterBreak="0" w:abstractNumId="38">
    <w:nsid w:val="70CD3390"/>
    <w:multiLevelType w:val="multilevel"/>
    <w:tmpl w:val="73748376"/>
    <w:styleLink w:val="SRKHeadings"/>
    <w:lvl w:ilvl="0">
      <w:start w:val="1"/>
      <w:numFmt w:val="decimal"/>
      <w:pStyle w:val="Heading1"/>
      <w:lvlText w:val="%1"/>
      <w:lvlJc w:val="left"/>
      <w:pPr>
        <w:tabs>
          <w:tab w:pos="0" w:val="num"/>
        </w:tabs>
        <w:ind w:hanging="1440" w:left="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pos="0" w:val="num"/>
        </w:tabs>
        <w:ind w:hanging="1440" w:left="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pos="0" w:val="num"/>
        </w:tabs>
        <w:ind w:hanging="1440" w:left="0"/>
      </w:pPr>
      <w:rPr>
        <w:rFonts w:hint="default"/>
      </w:rPr>
    </w:lvl>
    <w:lvl w:ilvl="3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4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5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6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7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  <w:lvl w:ilvl="8">
      <w:start w:val="1"/>
      <w:numFmt w:val="none"/>
      <w:suff w:val="nothing"/>
      <w:lvlText w:val=""/>
      <w:lvlJc w:val="left"/>
      <w:pPr>
        <w:ind w:firstLine="0" w:left="0"/>
      </w:pPr>
      <w:rPr>
        <w:rFonts w:hint="default"/>
      </w:rPr>
    </w:lvl>
  </w:abstractNum>
  <w:abstractNum w15:restartNumberingAfterBreak="0" w:abstractNumId="39">
    <w:nsid w:val="790D2C35"/>
    <w:multiLevelType w:val="multilevel"/>
    <w:tmpl w:val="73748376"/>
    <w:numStyleLink w:val="SRKHeadings"/>
  </w:abstractNum>
  <w:abstractNum w15:restartNumberingAfterBreak="0" w:abstractNumId="40">
    <w:nsid w:val="7FD3114E"/>
    <w:multiLevelType w:val="multilevel"/>
    <w:tmpl w:val="CB0036FC"/>
    <w:lvl w:ilvl="0">
      <w:start w:val="1"/>
      <w:numFmt w:val="decimal"/>
      <w:lvlText w:val="%1."/>
      <w:lvlJc w:val="left"/>
      <w:pPr>
        <w:ind w:hanging="360" w:left="1440"/>
      </w:pPr>
      <w:rPr>
        <w:rFonts w:hint="default"/>
        <w:color w:themeColor="accent2" w:val="AEAEAE"/>
      </w:rPr>
    </w:lvl>
    <w:lvl w:ilvl="1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2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3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4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5">
      <w:start w:val="1"/>
      <w:numFmt w:val="none"/>
      <w:lvlText w:val=""/>
      <w:lvlJc w:val="right"/>
      <w:pPr>
        <w:ind w:hanging="360" w:left="1440"/>
      </w:pPr>
      <w:rPr>
        <w:rFonts w:hint="default"/>
      </w:rPr>
    </w:lvl>
    <w:lvl w:ilvl="6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7">
      <w:start w:val="1"/>
      <w:numFmt w:val="none"/>
      <w:lvlText w:val=""/>
      <w:lvlJc w:val="left"/>
      <w:pPr>
        <w:ind w:hanging="360" w:left="1440"/>
      </w:pPr>
      <w:rPr>
        <w:rFonts w:hint="default"/>
      </w:rPr>
    </w:lvl>
    <w:lvl w:ilvl="8">
      <w:start w:val="1"/>
      <w:numFmt w:val="none"/>
      <w:lvlText w:val=""/>
      <w:lvlJc w:val="right"/>
      <w:pPr>
        <w:ind w:hanging="360" w:left="1440"/>
      </w:pPr>
      <w:rPr>
        <w:rFonts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713386744" w:numId="1">
    <w:abstractNumId w:val="38"/>
  </w:num>
  <w:num w16cid:durableId="878665647" w:numId="2">
    <w:abstractNumId w:val="39"/>
  </w:num>
  <w:num w16cid:durableId="1231962909" w:numId="3">
    <w:abstractNumId w:val="37"/>
  </w:num>
  <w:num w16cid:durableId="160050212" w:numId="4">
    <w:abstractNumId w:val="9"/>
  </w:num>
  <w:num w16cid:durableId="398135216" w:numId="5">
    <w:abstractNumId w:val="20"/>
  </w:num>
  <w:num w16cid:durableId="1324627212" w:numId="6">
    <w:abstractNumId w:val="7"/>
  </w:num>
  <w:num w16cid:durableId="1492873082" w:numId="7">
    <w:abstractNumId w:val="20"/>
  </w:num>
  <w:num w16cid:durableId="997227361" w:numId="8">
    <w:abstractNumId w:val="6"/>
  </w:num>
  <w:num w16cid:durableId="1369836766" w:numId="9">
    <w:abstractNumId w:val="20"/>
  </w:num>
  <w:num w16cid:durableId="1560357199" w:numId="10">
    <w:abstractNumId w:val="5"/>
  </w:num>
  <w:num w16cid:durableId="1273901438" w:numId="11">
    <w:abstractNumId w:val="20"/>
  </w:num>
  <w:num w16cid:durableId="1244989116" w:numId="12">
    <w:abstractNumId w:val="4"/>
  </w:num>
  <w:num w16cid:durableId="1129013950" w:numId="13">
    <w:abstractNumId w:val="20"/>
  </w:num>
  <w:num w16cid:durableId="749082439" w:numId="14">
    <w:abstractNumId w:val="8"/>
  </w:num>
  <w:num w16cid:durableId="542639945" w:numId="15">
    <w:abstractNumId w:val="34"/>
  </w:num>
  <w:num w16cid:durableId="1056509168" w:numId="16">
    <w:abstractNumId w:val="3"/>
  </w:num>
  <w:num w16cid:durableId="786199644" w:numId="17">
    <w:abstractNumId w:val="34"/>
  </w:num>
  <w:num w16cid:durableId="246381128" w:numId="18">
    <w:abstractNumId w:val="2"/>
  </w:num>
  <w:num w16cid:durableId="1900942257" w:numId="19">
    <w:abstractNumId w:val="34"/>
  </w:num>
  <w:num w16cid:durableId="1483696824" w:numId="20">
    <w:abstractNumId w:val="1"/>
  </w:num>
  <w:num w16cid:durableId="300380012" w:numId="21">
    <w:abstractNumId w:val="34"/>
  </w:num>
  <w:num w16cid:durableId="109201859" w:numId="22">
    <w:abstractNumId w:val="0"/>
  </w:num>
  <w:num w16cid:durableId="1484812506" w:numId="23">
    <w:abstractNumId w:val="34"/>
  </w:num>
  <w:num w16cid:durableId="1910261790" w:numId="24">
    <w:abstractNumId w:val="19"/>
  </w:num>
  <w:num w16cid:durableId="925114191" w:numId="25">
    <w:abstractNumId w:val="26"/>
  </w:num>
  <w:num w16cid:durableId="1589725792" w:numId="26">
    <w:abstractNumId w:val="10"/>
  </w:num>
  <w:num w16cid:durableId="1075318188" w:numId="27">
    <w:abstractNumId w:val="15"/>
  </w:num>
  <w:num w16cid:durableId="1653369445" w:numId="28">
    <w:abstractNumId w:val="35"/>
  </w:num>
  <w:num w16cid:durableId="850338167" w:numId="29">
    <w:abstractNumId w:val="32"/>
  </w:num>
  <w:num w16cid:durableId="1446732381" w:numId="30">
    <w:abstractNumId w:val="31"/>
  </w:num>
  <w:num w16cid:durableId="900480705" w:numId="31">
    <w:abstractNumId w:val="33"/>
  </w:num>
  <w:num w16cid:durableId="968631135" w:numId="32">
    <w:abstractNumId w:val="33"/>
  </w:num>
  <w:num w16cid:durableId="807748336" w:numId="33">
    <w:abstractNumId w:val="33"/>
  </w:num>
  <w:num w16cid:durableId="595598100" w:numId="34">
    <w:abstractNumId w:val="40"/>
  </w:num>
  <w:num w16cid:durableId="1922788812" w:numId="35">
    <w:abstractNumId w:val="11"/>
  </w:num>
  <w:num w16cid:durableId="1808815864" w:numId="36">
    <w:abstractNumId w:val="23"/>
  </w:num>
  <w:num w16cid:durableId="711539597" w:numId="37">
    <w:abstractNumId w:val="23"/>
  </w:num>
  <w:num w16cid:durableId="1280840198" w:numId="38">
    <w:abstractNumId w:val="23"/>
  </w:num>
  <w:num w16cid:durableId="1667634837" w:numId="39">
    <w:abstractNumId w:val="17"/>
  </w:num>
  <w:num w16cid:durableId="1647661739" w:numId="40">
    <w:abstractNumId w:val="22"/>
  </w:num>
  <w:num w16cid:durableId="11810562" w:numId="41">
    <w:abstractNumId w:val="30"/>
  </w:num>
  <w:num w16cid:durableId="1623419802" w:numId="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06061376" w:numId="43">
    <w:abstractNumId w:val="16"/>
  </w:num>
  <w:num w16cid:durableId="796336309" w:numId="44">
    <w:abstractNumId w:val="36"/>
  </w:num>
  <w:num w16cid:durableId="83766069" w:numId="45">
    <w:abstractNumId w:val="24"/>
  </w:num>
  <w:num w16cid:durableId="1202792247" w:numId="46">
    <w:abstractNumId w:val="18"/>
  </w:num>
  <w:num w16cid:durableId="186796074" w:numId="47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7208169" w:numId="48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95916849" w:numId="49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028524010" w:numId="50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75506276" w:numId="51">
    <w:abstractNumId w:val="3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953778441" w:numId="52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2099322204" w:numId="53">
    <w:abstractNumId w:val="29"/>
    <w:lvlOverride w:ilvl="0">
      <w:lvl w:ilvl="0">
        <w:start w:val="1"/>
        <w:numFmt w:val="upperLetter"/>
        <w:pStyle w:val="Appx1Cover"/>
        <w:lvlText w:val="Appendix %1"/>
        <w:lvlJc w:val="left"/>
        <w:pPr>
          <w:ind w:hanging="2880" w:left="2880"/>
        </w:pPr>
        <w:rPr>
          <w:rFonts w:hint="default"/>
        </w:rPr>
      </w:lvl>
    </w:lvlOverride>
  </w:num>
  <w:num w16cid:durableId="261377396" w:numId="54">
    <w:abstractNumId w:val="29"/>
    <w:lvlOverride w:ilvl="0">
      <w:lvl w:ilvl="0">
        <w:start w:val="1"/>
        <w:numFmt w:val="upperLetter"/>
        <w:pStyle w:val="Appx1Cover"/>
        <w:lvlText w:val="Appendix %1"/>
        <w:lvlJc w:val="left"/>
        <w:pPr>
          <w:ind w:hanging="2880" w:left="2880"/>
        </w:pPr>
      </w:lvl>
    </w:lvlOverride>
  </w:num>
  <w:num w16cid:durableId="1878617724" w:numId="55">
    <w:abstractNumId w:val="29"/>
    <w:lvlOverride w:ilvl="0">
      <w:lvl w:ilvl="0">
        <w:start w:val="1"/>
        <w:numFmt w:val="upperLetter"/>
        <w:pStyle w:val="Appx1Cover"/>
        <w:lvlText w:val="Appendix %1"/>
        <w:lvlJc w:val="left"/>
        <w:pPr>
          <w:ind w:hanging="2880" w:left="2880"/>
        </w:pPr>
        <w:rPr>
          <w:rFonts w:hint="default"/>
        </w:rPr>
      </w:lvl>
    </w:lvlOverride>
  </w:num>
  <w:num w16cid:durableId="1273977713" w:numId="56">
    <w:abstractNumId w:val="29"/>
  </w:num>
  <w:num w16cid:durableId="916208345" w:numId="57">
    <w:abstractNumId w:val="12"/>
  </w:num>
  <w:num w16cid:durableId="286468319" w:numId="58">
    <w:abstractNumId w:val="21"/>
  </w:num>
  <w:num w16cid:durableId="1271744174" w:numId="59">
    <w:abstractNumId w:val="27"/>
  </w:num>
  <w:num w16cid:durableId="1922444484" w:numId="60">
    <w:abstractNumId w:val="28"/>
  </w:num>
  <w:num w16cid:durableId="672491515" w:numId="61">
    <w:abstractNumId w:val="25"/>
  </w:num>
  <w:num w16cid:durableId="1044796548" w:numId="62">
    <w:abstractNumId w:val="14"/>
  </w:num>
  <w:num w16cid:durableId="681667462" w:numId="63">
    <w:abstractNumId w:val="13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252"/>
  <w:embedSystemFonts/>
  <w:proofState w:grammar="clean" w:spelling="clean"/>
  <w:attachedTemplate r:id="rId1"/>
  <w:stylePaneFormatFilter w:allStyles="0" w:alternateStyleNames="0" w:clearFormatting="1" w:customStyles="0" w:directFormattingOnNumbering="1" w:directFormattingOnParagraphs="1" w:directFormattingOnRuns="1" w:directFormattingOnTables="1" w:headingStyles="0" w:latentStyles="0" w:numberingStyles="0" w:stylesInUse="1" w:tableStyles="0" w:top3HeadingStyles="0" w:val="1F08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94B"/>
    <w:rsid w:val="00037B4C"/>
    <w:rsid w:val="000555AF"/>
    <w:rsid w:val="000563F3"/>
    <w:rsid w:val="00090B98"/>
    <w:rsid w:val="00092671"/>
    <w:rsid w:val="000A3DF4"/>
    <w:rsid w:val="000A6B3B"/>
    <w:rsid w:val="000C0C04"/>
    <w:rsid w:val="000C494A"/>
    <w:rsid w:val="000F0388"/>
    <w:rsid w:val="0013794B"/>
    <w:rsid w:val="00145610"/>
    <w:rsid w:val="00186747"/>
    <w:rsid w:val="001936BF"/>
    <w:rsid w:val="00196346"/>
    <w:rsid w:val="001E1D1B"/>
    <w:rsid w:val="001F05BE"/>
    <w:rsid w:val="00200BE5"/>
    <w:rsid w:val="00204AEE"/>
    <w:rsid w:val="00211510"/>
    <w:rsid w:val="00220326"/>
    <w:rsid w:val="00234786"/>
    <w:rsid w:val="00241653"/>
    <w:rsid w:val="00242D89"/>
    <w:rsid w:val="00244209"/>
    <w:rsid w:val="00265469"/>
    <w:rsid w:val="00276815"/>
    <w:rsid w:val="00277EF3"/>
    <w:rsid w:val="00290600"/>
    <w:rsid w:val="00294C91"/>
    <w:rsid w:val="002A735F"/>
    <w:rsid w:val="002C04C0"/>
    <w:rsid w:val="002E3038"/>
    <w:rsid w:val="002F282E"/>
    <w:rsid w:val="00301D78"/>
    <w:rsid w:val="00320579"/>
    <w:rsid w:val="003333CE"/>
    <w:rsid w:val="00336EE6"/>
    <w:rsid w:val="003454EE"/>
    <w:rsid w:val="00352AB1"/>
    <w:rsid w:val="00356B8B"/>
    <w:rsid w:val="003651DE"/>
    <w:rsid w:val="003741DB"/>
    <w:rsid w:val="003850F3"/>
    <w:rsid w:val="00391438"/>
    <w:rsid w:val="003A157B"/>
    <w:rsid w:val="003A4127"/>
    <w:rsid w:val="003A5419"/>
    <w:rsid w:val="003C08D6"/>
    <w:rsid w:val="003C776C"/>
    <w:rsid w:val="003F27B8"/>
    <w:rsid w:val="00401D89"/>
    <w:rsid w:val="0040797B"/>
    <w:rsid w:val="00420652"/>
    <w:rsid w:val="00427496"/>
    <w:rsid w:val="00445C1F"/>
    <w:rsid w:val="00464836"/>
    <w:rsid w:val="00465784"/>
    <w:rsid w:val="00472B64"/>
    <w:rsid w:val="004738FA"/>
    <w:rsid w:val="004924CA"/>
    <w:rsid w:val="00497128"/>
    <w:rsid w:val="004B3EE8"/>
    <w:rsid w:val="004B577C"/>
    <w:rsid w:val="004C1117"/>
    <w:rsid w:val="004F656C"/>
    <w:rsid w:val="00512872"/>
    <w:rsid w:val="00523790"/>
    <w:rsid w:val="00523B99"/>
    <w:rsid w:val="00524615"/>
    <w:rsid w:val="00530CB6"/>
    <w:rsid w:val="005378CE"/>
    <w:rsid w:val="005379D7"/>
    <w:rsid w:val="00570AF9"/>
    <w:rsid w:val="00582208"/>
    <w:rsid w:val="00583CA1"/>
    <w:rsid w:val="00594347"/>
    <w:rsid w:val="0059520D"/>
    <w:rsid w:val="005C34E4"/>
    <w:rsid w:val="005C48F3"/>
    <w:rsid w:val="005D11CE"/>
    <w:rsid w:val="005E5D87"/>
    <w:rsid w:val="00603D3B"/>
    <w:rsid w:val="006149CF"/>
    <w:rsid w:val="006264CF"/>
    <w:rsid w:val="00631D68"/>
    <w:rsid w:val="00645F1B"/>
    <w:rsid w:val="00683F31"/>
    <w:rsid w:val="00685914"/>
    <w:rsid w:val="00692A14"/>
    <w:rsid w:val="006B6670"/>
    <w:rsid w:val="006C1FC9"/>
    <w:rsid w:val="006F630D"/>
    <w:rsid w:val="00707C6B"/>
    <w:rsid w:val="00720433"/>
    <w:rsid w:val="0072068D"/>
    <w:rsid w:val="00726FE7"/>
    <w:rsid w:val="00737771"/>
    <w:rsid w:val="00742C58"/>
    <w:rsid w:val="00760AE7"/>
    <w:rsid w:val="00761821"/>
    <w:rsid w:val="0076212B"/>
    <w:rsid w:val="007740EC"/>
    <w:rsid w:val="00783387"/>
    <w:rsid w:val="007A061D"/>
    <w:rsid w:val="007B48B9"/>
    <w:rsid w:val="007C2FFC"/>
    <w:rsid w:val="007C5367"/>
    <w:rsid w:val="007C550B"/>
    <w:rsid w:val="00801857"/>
    <w:rsid w:val="00841DB1"/>
    <w:rsid w:val="0086331B"/>
    <w:rsid w:val="00880987"/>
    <w:rsid w:val="0088485E"/>
    <w:rsid w:val="008A4BE8"/>
    <w:rsid w:val="008E5A44"/>
    <w:rsid w:val="008E5B00"/>
    <w:rsid w:val="00920255"/>
    <w:rsid w:val="009245C1"/>
    <w:rsid w:val="009626AD"/>
    <w:rsid w:val="0096534D"/>
    <w:rsid w:val="00965C6B"/>
    <w:rsid w:val="009750E4"/>
    <w:rsid w:val="00975CFA"/>
    <w:rsid w:val="009B021F"/>
    <w:rsid w:val="009B123E"/>
    <w:rsid w:val="009C7F78"/>
    <w:rsid w:val="009D5521"/>
    <w:rsid w:val="009E5BE9"/>
    <w:rsid w:val="009F2793"/>
    <w:rsid w:val="009F7685"/>
    <w:rsid w:val="00A00154"/>
    <w:rsid w:val="00A20012"/>
    <w:rsid w:val="00A324AA"/>
    <w:rsid w:val="00A3466A"/>
    <w:rsid w:val="00A36042"/>
    <w:rsid w:val="00A42351"/>
    <w:rsid w:val="00A4317E"/>
    <w:rsid w:val="00A538DF"/>
    <w:rsid w:val="00AA4941"/>
    <w:rsid w:val="00AA6FEC"/>
    <w:rsid w:val="00AB521A"/>
    <w:rsid w:val="00AD52FB"/>
    <w:rsid w:val="00AF105E"/>
    <w:rsid w:val="00B11459"/>
    <w:rsid w:val="00B54945"/>
    <w:rsid w:val="00B77A52"/>
    <w:rsid w:val="00BA07D5"/>
    <w:rsid w:val="00BB429F"/>
    <w:rsid w:val="00BB6AA4"/>
    <w:rsid w:val="00BC4B96"/>
    <w:rsid w:val="00BC4D0D"/>
    <w:rsid w:val="00BD428D"/>
    <w:rsid w:val="00BD516D"/>
    <w:rsid w:val="00C23B0C"/>
    <w:rsid w:val="00C35EC9"/>
    <w:rsid w:val="00C43FB3"/>
    <w:rsid w:val="00C70024"/>
    <w:rsid w:val="00C95DAF"/>
    <w:rsid w:val="00CD32B3"/>
    <w:rsid w:val="00CD7C83"/>
    <w:rsid w:val="00CF0BF7"/>
    <w:rsid w:val="00D037B8"/>
    <w:rsid w:val="00D0587C"/>
    <w:rsid w:val="00D12189"/>
    <w:rsid w:val="00D22FB8"/>
    <w:rsid w:val="00D36000"/>
    <w:rsid w:val="00D36674"/>
    <w:rsid w:val="00D46253"/>
    <w:rsid w:val="00D50399"/>
    <w:rsid w:val="00D55D0F"/>
    <w:rsid w:val="00D6762B"/>
    <w:rsid w:val="00D711C9"/>
    <w:rsid w:val="00D853B9"/>
    <w:rsid w:val="00D94612"/>
    <w:rsid w:val="00DB2CF2"/>
    <w:rsid w:val="00DC1A81"/>
    <w:rsid w:val="00DC1E5E"/>
    <w:rsid w:val="00DC5681"/>
    <w:rsid w:val="00DF59AE"/>
    <w:rsid w:val="00E472DF"/>
    <w:rsid w:val="00E47A34"/>
    <w:rsid w:val="00E54F5B"/>
    <w:rsid w:val="00E551ED"/>
    <w:rsid w:val="00E61C7B"/>
    <w:rsid w:val="00E64472"/>
    <w:rsid w:val="00E6544C"/>
    <w:rsid w:val="00E767F1"/>
    <w:rsid w:val="00E83712"/>
    <w:rsid w:val="00E86C73"/>
    <w:rsid w:val="00E94B02"/>
    <w:rsid w:val="00E97C7B"/>
    <w:rsid w:val="00EB3D55"/>
    <w:rsid w:val="00EC1F5F"/>
    <w:rsid w:val="00EE3CFE"/>
    <w:rsid w:val="00F05890"/>
    <w:rsid w:val="00F665A5"/>
    <w:rsid w:val="00F72404"/>
    <w:rsid w:val="00F725FA"/>
    <w:rsid w:val="00F766C8"/>
    <w:rsid w:val="00F835E0"/>
    <w:rsid w:val="00F83B42"/>
    <w:rsid w:val="00F939AA"/>
    <w:rsid w:val="00FA73C8"/>
    <w:rsid w:val="00FB375F"/>
    <w:rsid w:val="00FB441E"/>
    <w:rsid w:val="00FD3861"/>
  </w:rsids>
  <w:themeFontLang w:eastAsia="ja-JP" w:val="en-GB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color w:themeColor="text1" w:val="000000"/>
        <w:kern w:val="2"/>
        <w:sz w:val="22"/>
        <w:szCs w:val="22"/>
        <w:lang w:bidi="ar-SA" w:eastAsia="ja-JP" w:val="es"/>
        <w14:ligatures w14:val="standardContextual"/>
      </w:rPr>
    </w:rPrDefault>
    <w:pPrDefault>
      <w:pPr>
        <w:spacing w:before="180" w:line="264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annotation text" w:semiHidden="1" w:unhideWhenUsed="1"/>
    <w:lsdException w:name="header" w:semiHidden="1" w:uiPriority="31" w:unhideWhenUsed="1"/>
    <w:lsdException w:name="footer" w:semiHidden="1" w:uiPriority="31" w:unhideWhenUsed="1"/>
    <w:lsdException w:name="index heading" w:semiHidden="1" w:unhideWhenUsed="1"/>
    <w:lsdException w:name="caption" w:qFormat="1" w:semiHidden="1" w:uiPriority="1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qFormat="1" w:semiHidden="1" w:uiPriority="9" w:unhideWhenUsed="1"/>
    <w:lsdException w:name="List Number" w:qFormat="1" w:semiHidden="1" w:uiPriority="9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9" w:unhideWhenUsed="1"/>
    <w:lsdException w:name="List Bullet 3" w:semiHidden="1" w:uiPriority="9" w:unhideWhenUsed="1"/>
    <w:lsdException w:name="List Bullet 4" w:semiHidden="1" w:uiPriority="9" w:unhideWhenUsed="1"/>
    <w:lsdException w:name="List Bullet 5" w:semiHidden="1" w:uiPriority="9" w:unhideWhenUsed="1"/>
    <w:lsdException w:name="List Number 2" w:semiHidden="1" w:uiPriority="9" w:unhideWhenUsed="1"/>
    <w:lsdException w:name="List Number 3" w:semiHidden="1" w:uiPriority="9" w:unhideWhenUsed="1"/>
    <w:lsdException w:name="List Number 4" w:semiHidden="1" w:uiPriority="9" w:unhideWhenUsed="1"/>
    <w:lsdException w:name="List Number 5" w:semiHidden="1" w:uiPriority="9" w:unhideWhenUsed="1"/>
    <w:lsdException w:name="Title" w:uiPriority="27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qFormat="1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7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"/>
    <w:lsdException w:name="Emphasis" w:uiPriority="2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qFormat="1" w:semiHidden="1" w:uiPriority="31"/>
    <w:lsdException w:name="Intense Reference" w:qFormat="1" w:uiPriority="32"/>
    <w:lsdException w:name="Book Title" w:qFormat="1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styleId="Heading1" w:type="paragraph">
    <w:name w:val="heading 1"/>
    <w:basedOn w:val="TOC1Heading"/>
    <w:next w:val="Normal"/>
    <w:link w:val="Heading1Char"/>
    <w:uiPriority w:val="9"/>
    <w:qFormat/>
    <w:rsid w:val="00683F31"/>
    <w:pPr>
      <w:keepLines/>
      <w:numPr>
        <w:numId w:val="3"/>
      </w:numPr>
    </w:pPr>
    <w:rPr>
      <w:rFonts w:ascii="Arial" w:cstheme="majorBidi" w:eastAsiaTheme="majorEastAsia" w:hAnsi="Arial"/>
      <w:b/>
      <w:sz w:val="36"/>
      <w:szCs w:val="36"/>
    </w:rPr>
  </w:style>
  <w:style w:styleId="Heading2" w:type="paragraph">
    <w:name w:val="heading 2"/>
    <w:basedOn w:val="TOC2Heading"/>
    <w:next w:val="Normal"/>
    <w:link w:val="Heading2Char"/>
    <w:uiPriority w:val="9"/>
    <w:qFormat/>
    <w:rsid w:val="003C776C"/>
    <w:pPr>
      <w:keepLines/>
      <w:numPr>
        <w:ilvl w:val="1"/>
        <w:numId w:val="3"/>
      </w:numPr>
    </w:pPr>
    <w:rPr>
      <w:rFonts w:ascii="Arial" w:cstheme="majorBidi" w:eastAsiaTheme="majorEastAsia" w:hAnsi="Arial"/>
      <w:b/>
      <w:sz w:val="28"/>
      <w:szCs w:val="28"/>
    </w:rPr>
  </w:style>
  <w:style w:styleId="Heading3" w:type="paragraph">
    <w:name w:val="heading 3"/>
    <w:basedOn w:val="TOC3Heading"/>
    <w:next w:val="Normal"/>
    <w:link w:val="Heading3Char"/>
    <w:uiPriority w:val="9"/>
    <w:qFormat/>
    <w:rsid w:val="003C776C"/>
    <w:pPr>
      <w:keepLines/>
      <w:numPr>
        <w:ilvl w:val="2"/>
        <w:numId w:val="3"/>
      </w:numPr>
    </w:pPr>
    <w:rPr>
      <w:rFonts w:ascii="Arial" w:cstheme="majorBidi" w:eastAsiaTheme="majorEastAsia" w:hAnsi="Arial"/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qFormat/>
    <w:rsid w:val="00C70024"/>
    <w:pPr>
      <w:keepNext/>
      <w:keepLines/>
      <w:spacing w:after="120" w:before="360" w:line="240" w:lineRule="auto"/>
      <w:ind w:hanging="284" w:left="284"/>
      <w:outlineLvl w:val="3"/>
    </w:pPr>
    <w:rPr>
      <w:rFonts w:ascii="Arial" w:cstheme="majorBidi" w:eastAsiaTheme="majorEastAsia" w:hAnsi="Arial"/>
      <w:b/>
      <w:sz w:val="22"/>
      <w:szCs w:val="22"/>
    </w:rPr>
  </w:style>
  <w:style w:styleId="Heading5" w:type="paragraph">
    <w:name w:val="heading 5"/>
    <w:basedOn w:val="Normal"/>
    <w:next w:val="Normal"/>
    <w:link w:val="Heading5Char"/>
    <w:uiPriority w:val="9"/>
    <w:semiHidden/>
    <w:qFormat/>
    <w:rsid w:val="00975CFA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qFormat/>
    <w:rsid w:val="00975CFA"/>
    <w:pPr>
      <w:keepNext/>
      <w:keepLines/>
      <w:spacing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qFormat/>
    <w:rsid w:val="00975CFA"/>
    <w:pPr>
      <w:keepNext/>
      <w:keepLines/>
      <w:spacing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qFormat/>
    <w:rsid w:val="00975CFA"/>
    <w:pPr>
      <w:keepNext/>
      <w:keepLines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qFormat/>
    <w:rsid w:val="00975CFA"/>
    <w:pPr>
      <w:keepNext/>
      <w:keepLines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683F31"/>
    <w:rPr>
      <w:rFonts w:ascii="Arial" w:cstheme="majorBidi" w:eastAsiaTheme="majorEastAsia" w:hAnsi="Arial"/>
      <w:b/>
      <w:sz w:val="36"/>
      <w:szCs w:val="36"/>
      <w:lang w:eastAsia="en-US" w:val="es"/>
    </w:rPr>
  </w:style>
  <w:style w:customStyle="1" w:styleId="Heading2Char" w:type="character">
    <w:name w:val="Heading 2 Char"/>
    <w:basedOn w:val="DefaultParagraphFont"/>
    <w:link w:val="Heading2"/>
    <w:uiPriority w:val="9"/>
    <w:rsid w:val="00C70024"/>
    <w:rPr>
      <w:rFonts w:ascii="Arial" w:cstheme="majorBidi" w:eastAsiaTheme="majorEastAsia" w:hAnsi="Arial"/>
      <w:b/>
      <w:sz w:val="28"/>
      <w:szCs w:val="28"/>
      <w:lang w:eastAsia="en-US" w:val="es"/>
    </w:rPr>
  </w:style>
  <w:style w:customStyle="1" w:styleId="Heading3Char" w:type="character">
    <w:name w:val="Heading 3 Char"/>
    <w:basedOn w:val="DefaultParagraphFont"/>
    <w:link w:val="Heading3"/>
    <w:uiPriority w:val="9"/>
    <w:rsid w:val="00C70024"/>
    <w:rPr>
      <w:rFonts w:ascii="Arial" w:cstheme="majorBidi" w:eastAsiaTheme="majorEastAsia" w:hAnsi="Arial"/>
      <w:b/>
      <w:sz w:val="24"/>
      <w:szCs w:val="24"/>
      <w:lang w:eastAsia="en-US" w:val="es"/>
    </w:rPr>
  </w:style>
  <w:style w:customStyle="1" w:styleId="Heading4Char" w:type="character">
    <w:name w:val="Heading 4 Char"/>
    <w:basedOn w:val="DefaultParagraphFont"/>
    <w:link w:val="Heading4"/>
    <w:uiPriority w:val="9"/>
    <w:rsid w:val="00241653"/>
    <w:rPr>
      <w:rFonts w:ascii="Arial" w:cstheme="majorBidi" w:eastAsiaTheme="majorEastAsia" w:hAnsi="Arial"/>
      <w:b/>
      <w:sz w:val="22"/>
      <w:szCs w:val="22"/>
      <w:lang w:val="es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241653"/>
    <w:rPr>
      <w:rFonts w:cstheme="majorBidi" w:eastAsiaTheme="majorEastAsia"/>
      <w:color w:themeColor="accent1" w:themeShade="BF" w:val="0F4761"/>
      <w:lang w:val="es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241653"/>
    <w:rPr>
      <w:rFonts w:cstheme="majorBidi" w:eastAsiaTheme="majorEastAsia"/>
      <w:i/>
      <w:iCs/>
      <w:color w:themeColor="text1" w:themeTint="A6" w:val="595959"/>
      <w:lang w:val="es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241653"/>
    <w:rPr>
      <w:rFonts w:cstheme="majorBidi" w:eastAsiaTheme="majorEastAsia"/>
      <w:color w:themeColor="text1" w:themeTint="A6" w:val="595959"/>
      <w:lang w:val="es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241653"/>
    <w:rPr>
      <w:rFonts w:cstheme="majorBidi" w:eastAsiaTheme="majorEastAsia"/>
      <w:i/>
      <w:iCs/>
      <w:color w:themeColor="text1" w:themeTint="D8" w:val="272727"/>
      <w:lang w:val="es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241653"/>
    <w:rPr>
      <w:rFonts w:cstheme="majorBidi" w:eastAsiaTheme="majorEastAsia"/>
      <w:color w:themeColor="text1" w:themeTint="D8" w:val="272727"/>
      <w:lang w:val="es"/>
    </w:rPr>
  </w:style>
  <w:style w:styleId="Title" w:type="paragraph">
    <w:name w:val="Title"/>
    <w:basedOn w:val="Normal"/>
    <w:next w:val="Normal"/>
    <w:link w:val="TitleChar"/>
    <w:uiPriority w:val="27"/>
    <w:rsid w:val="00200BE5"/>
    <w:pPr>
      <w:spacing w:after="240" w:before="120" w:line="240" w:lineRule="auto"/>
      <w:contextualSpacing/>
    </w:pPr>
    <w:rPr>
      <w:rFonts w:ascii="Arial" w:cstheme="majorBidi" w:eastAsiaTheme="majorEastAsia" w:hAnsi="Arial"/>
      <w:sz w:val="44"/>
      <w:szCs w:val="44"/>
    </w:rPr>
  </w:style>
  <w:style w:customStyle="1" w:styleId="TitleChar" w:type="character">
    <w:name w:val="Title Char"/>
    <w:basedOn w:val="DefaultParagraphFont"/>
    <w:link w:val="Title"/>
    <w:uiPriority w:val="27"/>
    <w:rsid w:val="00200BE5"/>
    <w:rPr>
      <w:rFonts w:ascii="Arial" w:cstheme="majorBidi" w:eastAsiaTheme="majorEastAsia" w:hAnsi="Arial"/>
      <w:sz w:val="44"/>
      <w:szCs w:val="44"/>
      <w:lang w:val="es"/>
    </w:rPr>
  </w:style>
  <w:style w:styleId="FootnoteReference" w:type="character">
    <w:name w:val="footnote reference"/>
    <w:basedOn w:val="DefaultParagraphFont"/>
    <w:uiPriority w:val="99"/>
    <w:rsid w:val="00E551ED"/>
    <w:rPr>
      <w:b/>
      <w:color w:themeColor="text2" w:val="F37021"/>
      <w:sz w:val="18"/>
      <w:vertAlign w:val="superscript"/>
    </w:rPr>
  </w:style>
  <w:style w:customStyle="1" w:styleId="Spacer" w:type="paragraph">
    <w:name w:val="Spacer"/>
    <w:semiHidden/>
    <w:qFormat/>
    <w:rsid w:val="00707C6B"/>
    <w:pPr>
      <w:spacing w:before="0" w:line="240" w:lineRule="auto"/>
    </w:pPr>
    <w:rPr>
      <w:rFonts w:eastAsiaTheme="minorHAnsi"/>
      <w:noProof/>
      <w:sz w:val="4"/>
      <w:lang w:eastAsia="en-US" w:val="es"/>
    </w:rPr>
  </w:style>
  <w:style w:styleId="Quote" w:type="paragraph">
    <w:name w:val="Quote"/>
    <w:basedOn w:val="Normal"/>
    <w:next w:val="Normal"/>
    <w:link w:val="QuoteChar"/>
    <w:uiPriority w:val="3"/>
    <w:rsid w:val="00C70024"/>
    <w:pPr>
      <w:spacing w:after="180"/>
      <w:ind w:left="720" w:right="720"/>
    </w:pPr>
    <w:rPr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3"/>
    <w:rsid w:val="00C70024"/>
    <w:rPr>
      <w:iCs/>
      <w:color w:themeColor="text1" w:themeTint="BF" w:val="404040"/>
      <w:lang w:val="es"/>
    </w:rPr>
  </w:style>
  <w:style w:styleId="ListParagraph" w:type="paragraph">
    <w:name w:val="List Paragraph"/>
    <w:basedOn w:val="Normal"/>
    <w:uiPriority w:val="34"/>
    <w:semiHidden/>
    <w:qFormat/>
    <w:rsid w:val="00975CFA"/>
    <w:pPr>
      <w:ind w:left="720"/>
      <w:contextualSpacing/>
    </w:pPr>
  </w:style>
  <w:style w:styleId="IntenseQuote" w:type="paragraph">
    <w:name w:val="Intense Quote"/>
    <w:basedOn w:val="Normal"/>
    <w:next w:val="Normal"/>
    <w:link w:val="IntenseQuoteChar"/>
    <w:uiPriority w:val="3"/>
    <w:rsid w:val="00C70024"/>
    <w:pPr>
      <w:pBdr>
        <w:top w:color="F37021" w:space="10" w:sz="4" w:themeColor="text2" w:val="single"/>
        <w:bottom w:color="F37021" w:space="10" w:sz="4" w:themeColor="text2" w:val="single"/>
      </w:pBdr>
      <w:spacing w:after="360" w:before="360"/>
      <w:ind w:left="720" w:right="720"/>
    </w:pPr>
    <w:rPr>
      <w:iCs/>
    </w:rPr>
  </w:style>
  <w:style w:customStyle="1" w:styleId="IntenseQuoteChar" w:type="character">
    <w:name w:val="Intense Quote Char"/>
    <w:basedOn w:val="DefaultParagraphFont"/>
    <w:link w:val="IntenseQuote"/>
    <w:uiPriority w:val="3"/>
    <w:rsid w:val="00C70024"/>
    <w:rPr>
      <w:iCs/>
      <w:lang w:val="es"/>
    </w:rPr>
  </w:style>
  <w:style w:styleId="IntenseReference" w:type="character">
    <w:name w:val="Intense Reference"/>
    <w:basedOn w:val="DefaultParagraphFont"/>
    <w:uiPriority w:val="32"/>
    <w:semiHidden/>
    <w:qFormat/>
    <w:rsid w:val="00975CFA"/>
    <w:rPr>
      <w:b/>
      <w:bCs/>
      <w:smallCaps/>
      <w:color w:themeColor="accent1" w:themeShade="BF" w:val="0F4761"/>
      <w:spacing w:val="5"/>
    </w:rPr>
  </w:style>
  <w:style w:styleId="TableGrid" w:type="table">
    <w:name w:val="Table Grid"/>
    <w:basedOn w:val="TableNormal"/>
    <w:uiPriority w:val="39"/>
    <w:rsid w:val="00EC1F5F"/>
    <w:pPr>
      <w:spacing w:before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PlaceholderText" w:type="character">
    <w:name w:val="Placeholder Text"/>
    <w:basedOn w:val="DefaultParagraphFont"/>
    <w:uiPriority w:val="99"/>
    <w:semiHidden/>
    <w:rsid w:val="009626AD"/>
    <w:rPr>
      <w:color w:val="666666"/>
      <w:bdr w:color="auto" w:space="0" w:sz="0" w:val="none"/>
      <w:shd w:color="auto" w:fill="auto" w:val="clear"/>
    </w:rPr>
  </w:style>
  <w:style w:customStyle="1" w:styleId="Title3" w:type="paragraph">
    <w:name w:val="Title 3"/>
    <w:uiPriority w:val="27"/>
    <w:rsid w:val="00200BE5"/>
    <w:pPr>
      <w:spacing w:before="120" w:line="240" w:lineRule="auto"/>
    </w:pPr>
    <w:rPr>
      <w:rFonts w:eastAsiaTheme="minorHAnsi"/>
      <w:sz w:val="24"/>
      <w:szCs w:val="32"/>
      <w:lang w:eastAsia="en-US" w:val="es"/>
    </w:rPr>
  </w:style>
  <w:style w:styleId="NoSpacing" w:type="paragraph">
    <w:name w:val="No Spacing"/>
    <w:qFormat/>
    <w:rsid w:val="00707C6B"/>
    <w:pPr>
      <w:spacing w:before="0" w:line="240" w:lineRule="auto"/>
    </w:pPr>
    <w:rPr>
      <w:lang w:val="es"/>
    </w:rPr>
  </w:style>
  <w:style w:styleId="Header" w:type="paragraph">
    <w:name w:val="header"/>
    <w:basedOn w:val="Normal"/>
    <w:link w:val="HeaderChar"/>
    <w:uiPriority w:val="31"/>
    <w:rsid w:val="000F0388"/>
    <w:pPr>
      <w:pBdr>
        <w:bottom w:color="F37021" w:space="5" w:sz="2" w:themeColor="text2" w:val="single"/>
      </w:pBdr>
      <w:tabs>
        <w:tab w:pos="9360" w:val="right"/>
      </w:tabs>
      <w:spacing w:before="0" w:line="240" w:lineRule="auto"/>
    </w:pPr>
    <w:rPr>
      <w:sz w:val="16"/>
    </w:rPr>
  </w:style>
  <w:style w:customStyle="1" w:styleId="HeaderChar" w:type="character">
    <w:name w:val="Header Char"/>
    <w:basedOn w:val="DefaultParagraphFont"/>
    <w:link w:val="Header"/>
    <w:uiPriority w:val="31"/>
    <w:rsid w:val="00301D78"/>
    <w:rPr>
      <w:sz w:val="16"/>
      <w:lang w:val="es"/>
    </w:rPr>
  </w:style>
  <w:style w:styleId="Footer" w:type="paragraph">
    <w:name w:val="footer"/>
    <w:basedOn w:val="Normal"/>
    <w:link w:val="FooterChar"/>
    <w:uiPriority w:val="31"/>
    <w:rsid w:val="000A3DF4"/>
    <w:pPr>
      <w:pBdr>
        <w:top w:color="F37021" w:space="5" w:sz="2" w:themeColor="text2" w:val="single"/>
      </w:pBdr>
      <w:tabs>
        <w:tab w:pos="9360" w:val="right"/>
      </w:tabs>
      <w:spacing w:before="0" w:line="240" w:lineRule="auto"/>
    </w:pPr>
    <w:rPr>
      <w:caps/>
      <w:sz w:val="16"/>
    </w:rPr>
  </w:style>
  <w:style w:customStyle="1" w:styleId="FooterChar" w:type="character">
    <w:name w:val="Footer Char"/>
    <w:basedOn w:val="DefaultParagraphFont"/>
    <w:link w:val="Footer"/>
    <w:uiPriority w:val="31"/>
    <w:rsid w:val="000A3DF4"/>
    <w:rPr>
      <w:caps/>
      <w:sz w:val="16"/>
      <w:lang w:val="es"/>
    </w:rPr>
  </w:style>
  <w:style w:customStyle="1" w:styleId="CoverHeading" w:type="paragraph">
    <w:name w:val="Cover Heading"/>
    <w:link w:val="CoverHeadingChar"/>
    <w:uiPriority w:val="29"/>
    <w:rsid w:val="00707C6B"/>
    <w:pPr>
      <w:spacing w:before="0" w:line="240" w:lineRule="auto"/>
    </w:pPr>
    <w:rPr>
      <w:rFonts w:eastAsiaTheme="minorHAnsi"/>
      <w:b/>
      <w:bCs/>
      <w:sz w:val="20"/>
      <w:lang w:eastAsia="en-US" w:val="es"/>
    </w:rPr>
  </w:style>
  <w:style w:customStyle="1" w:styleId="CoverHeadingChar" w:type="character">
    <w:name w:val="Cover Heading Char"/>
    <w:basedOn w:val="DefaultParagraphFont"/>
    <w:link w:val="CoverHeading"/>
    <w:uiPriority w:val="29"/>
    <w:rsid w:val="00707C6B"/>
    <w:rPr>
      <w:rFonts w:eastAsiaTheme="minorHAnsi"/>
      <w:b/>
      <w:bCs/>
      <w:sz w:val="20"/>
      <w:lang w:eastAsia="en-US" w:val="es"/>
    </w:rPr>
  </w:style>
  <w:style w:customStyle="1" w:styleId="CoverText" w:type="paragraph">
    <w:name w:val="Cover Text"/>
    <w:link w:val="CoverTextChar"/>
    <w:uiPriority w:val="29"/>
    <w:rsid w:val="00707C6B"/>
    <w:pPr>
      <w:spacing w:before="0" w:line="240" w:lineRule="auto"/>
    </w:pPr>
    <w:rPr>
      <w:rFonts w:eastAsiaTheme="minorHAnsi"/>
      <w:sz w:val="18"/>
      <w:lang w:eastAsia="en-US" w:val="es"/>
    </w:rPr>
  </w:style>
  <w:style w:customStyle="1" w:styleId="CoverTextChar" w:type="character">
    <w:name w:val="Cover Text Char"/>
    <w:basedOn w:val="DefaultParagraphFont"/>
    <w:link w:val="CoverText"/>
    <w:uiPriority w:val="29"/>
    <w:rsid w:val="00707C6B"/>
    <w:rPr>
      <w:rFonts w:eastAsiaTheme="minorHAnsi"/>
      <w:sz w:val="18"/>
      <w:lang w:eastAsia="en-US" w:val="es"/>
    </w:rPr>
  </w:style>
  <w:style w:customStyle="1" w:styleId="CoverTelephone" w:type="paragraph">
    <w:name w:val="Cover Telephone"/>
    <w:basedOn w:val="CoverText"/>
    <w:next w:val="CoverText"/>
    <w:link w:val="CoverTelephoneChar"/>
    <w:uiPriority w:val="29"/>
    <w:rsid w:val="00F766C8"/>
    <w:pPr>
      <w:spacing w:before="60"/>
    </w:pPr>
  </w:style>
  <w:style w:customStyle="1" w:styleId="CoverTelephoneChar" w:type="character">
    <w:name w:val="Cover Telephone Char"/>
    <w:basedOn w:val="CoverTextChar"/>
    <w:link w:val="CoverTelephone"/>
    <w:uiPriority w:val="29"/>
    <w:rsid w:val="00F766C8"/>
    <w:rPr>
      <w:rFonts w:eastAsiaTheme="minorHAnsi"/>
      <w:sz w:val="18"/>
      <w:lang w:eastAsia="en-US" w:val="es"/>
    </w:rPr>
  </w:style>
  <w:style w:customStyle="1" w:styleId="Title2" w:type="paragraph">
    <w:name w:val="Title 2"/>
    <w:link w:val="Title2Char"/>
    <w:uiPriority w:val="27"/>
    <w:rsid w:val="00200BE5"/>
    <w:pPr>
      <w:spacing w:before="0" w:line="240" w:lineRule="auto"/>
    </w:pPr>
    <w:rPr>
      <w:rFonts w:asciiTheme="majorHAnsi" w:eastAsiaTheme="minorHAnsi" w:hAnsiTheme="majorHAnsi"/>
      <w:sz w:val="28"/>
      <w:szCs w:val="36"/>
      <w:lang w:eastAsia="en-US" w:val="es"/>
    </w:rPr>
  </w:style>
  <w:style w:customStyle="1" w:styleId="Title2Char" w:type="character">
    <w:name w:val="Title 2 Char"/>
    <w:basedOn w:val="DefaultParagraphFont"/>
    <w:link w:val="Title2"/>
    <w:uiPriority w:val="27"/>
    <w:rsid w:val="00200BE5"/>
    <w:rPr>
      <w:rFonts w:asciiTheme="majorHAnsi" w:eastAsiaTheme="minorHAnsi" w:hAnsiTheme="majorHAnsi"/>
      <w:sz w:val="28"/>
      <w:szCs w:val="36"/>
      <w:lang w:eastAsia="en-US" w:val="es"/>
    </w:rPr>
  </w:style>
  <w:style w:styleId="TOCHeading" w:type="paragraph">
    <w:name w:val="TOC Heading"/>
    <w:basedOn w:val="Heading1"/>
    <w:next w:val="BodyText"/>
    <w:uiPriority w:val="39"/>
    <w:semiHidden/>
    <w:rsid w:val="0088485E"/>
    <w:pPr>
      <w:numPr>
        <w:numId w:val="0"/>
      </w:numPr>
    </w:pPr>
    <w:rPr>
      <w:szCs w:val="32"/>
    </w:rPr>
  </w:style>
  <w:style w:customStyle="1" w:styleId="BodyTextChar" w:type="character">
    <w:name w:val="Body Text Char"/>
    <w:basedOn w:val="DefaultParagraphFont"/>
    <w:link w:val="BodyText"/>
    <w:uiPriority w:val="1"/>
    <w:semiHidden/>
    <w:rsid w:val="00683F31"/>
    <w:rPr>
      <w:rFonts w:ascii="Arial" w:eastAsiaTheme="minorHAnsi" w:hAnsi="Arial"/>
      <w:sz w:val="20"/>
      <w:lang w:eastAsia="en-US" w:val="es"/>
    </w:rPr>
  </w:style>
  <w:style w:customStyle="1" w:styleId="SRKHeadings" w:type="numbering">
    <w:name w:val="SRK Headings"/>
    <w:uiPriority w:val="99"/>
    <w:rsid w:val="00E6544C"/>
    <w:pPr>
      <w:numPr>
        <w:numId w:val="1"/>
      </w:numPr>
    </w:pPr>
  </w:style>
  <w:style w:customStyle="1" w:styleId="Disclaimer" w:type="paragraph">
    <w:name w:val="Disclaimer"/>
    <w:uiPriority w:val="35"/>
    <w:rsid w:val="00F05890"/>
    <w:pPr>
      <w:spacing w:before="120" w:line="240" w:lineRule="auto"/>
    </w:pPr>
    <w:rPr>
      <w:rFonts w:ascii="Arial" w:eastAsiaTheme="minorHAnsi" w:hAnsi="Arial"/>
      <w:sz w:val="16"/>
      <w:szCs w:val="18"/>
      <w:lang w:eastAsia="en-US" w:val="es"/>
    </w:rPr>
  </w:style>
  <w:style w:customStyle="1" w:styleId="References" w:type="paragraph">
    <w:name w:val="References"/>
    <w:basedOn w:val="BodyText"/>
    <w:uiPriority w:val="1"/>
    <w:rsid w:val="00336EE6"/>
    <w:pPr>
      <w:ind w:hanging="1080" w:left="1080"/>
    </w:pPr>
    <w:rPr>
      <w:lang w:val="es"/>
    </w:rPr>
  </w:style>
  <w:style w:styleId="ListBullet2" w:type="paragraph">
    <w:name w:val="List Bullet 2"/>
    <w:basedOn w:val="ListBullet"/>
    <w:uiPriority w:val="4"/>
    <w:rsid w:val="00E6544C"/>
    <w:pPr>
      <w:numPr>
        <w:ilvl w:val="1"/>
      </w:numPr>
    </w:pPr>
  </w:style>
  <w:style w:styleId="ListBullet3" w:type="paragraph">
    <w:name w:val="List Bullet 3"/>
    <w:basedOn w:val="ListBullet2"/>
    <w:uiPriority w:val="4"/>
    <w:rsid w:val="00E6544C"/>
    <w:pPr>
      <w:numPr>
        <w:ilvl w:val="2"/>
      </w:numPr>
    </w:pPr>
  </w:style>
  <w:style w:styleId="ListBullet4" w:type="paragraph">
    <w:name w:val="List Bullet 4"/>
    <w:basedOn w:val="ListBullet3"/>
    <w:uiPriority w:val="4"/>
    <w:rsid w:val="00E6544C"/>
    <w:pPr>
      <w:numPr>
        <w:ilvl w:val="3"/>
      </w:numPr>
      <w:contextualSpacing/>
    </w:pPr>
  </w:style>
  <w:style w:styleId="ListBullet5" w:type="paragraph">
    <w:name w:val="List Bullet 5"/>
    <w:basedOn w:val="ListBullet4"/>
    <w:uiPriority w:val="4"/>
    <w:rsid w:val="00E6544C"/>
    <w:pPr>
      <w:numPr>
        <w:ilvl w:val="4"/>
      </w:numPr>
      <w:contextualSpacing w:val="0"/>
    </w:pPr>
  </w:style>
  <w:style w:styleId="ListNumber" w:type="paragraph">
    <w:name w:val="List Number"/>
    <w:basedOn w:val="Normal"/>
    <w:uiPriority w:val="4"/>
    <w:qFormat/>
    <w:rsid w:val="00472B64"/>
    <w:pPr>
      <w:numPr>
        <w:numId w:val="30"/>
      </w:numPr>
      <w:spacing w:before="120"/>
    </w:pPr>
    <w:rPr>
      <w:rFonts w:eastAsiaTheme="minorHAnsi"/>
      <w:lang w:eastAsia="en-US" w:val="es"/>
    </w:rPr>
  </w:style>
  <w:style w:styleId="ListNumber2" w:type="paragraph">
    <w:name w:val="List Number 2"/>
    <w:basedOn w:val="ListNumber"/>
    <w:uiPriority w:val="4"/>
    <w:rsid w:val="00E6544C"/>
    <w:pPr>
      <w:numPr>
        <w:ilvl w:val="1"/>
      </w:numPr>
      <w:contextualSpacing/>
    </w:pPr>
  </w:style>
  <w:style w:styleId="ListNumber3" w:type="paragraph">
    <w:name w:val="List Number 3"/>
    <w:basedOn w:val="ListNumber2"/>
    <w:uiPriority w:val="4"/>
    <w:rsid w:val="00E6544C"/>
    <w:pPr>
      <w:numPr>
        <w:ilvl w:val="2"/>
      </w:numPr>
    </w:pPr>
  </w:style>
  <w:style w:styleId="ListNumber4" w:type="paragraph">
    <w:name w:val="List Number 4"/>
    <w:basedOn w:val="ListNumber3"/>
    <w:uiPriority w:val="4"/>
    <w:rsid w:val="00E6544C"/>
    <w:pPr>
      <w:numPr>
        <w:ilvl w:val="3"/>
      </w:numPr>
    </w:pPr>
  </w:style>
  <w:style w:styleId="ListNumber5" w:type="paragraph">
    <w:name w:val="List Number 5"/>
    <w:basedOn w:val="ListNumber4"/>
    <w:uiPriority w:val="4"/>
    <w:rsid w:val="00E6544C"/>
    <w:pPr>
      <w:numPr>
        <w:ilvl w:val="4"/>
      </w:numPr>
    </w:pPr>
  </w:style>
  <w:style w:customStyle="1" w:styleId="TOC1Heading" w:type="paragraph">
    <w:name w:val="−TOC 1 Heading"/>
    <w:basedOn w:val="NoSpacing"/>
    <w:next w:val="Normal"/>
    <w:uiPriority w:val="9"/>
    <w:qFormat/>
    <w:rsid w:val="00707C6B"/>
    <w:pPr>
      <w:keepNext/>
      <w:pageBreakBefore/>
      <w:spacing w:after="120"/>
      <w:outlineLvl w:val="0"/>
    </w:pPr>
    <w:rPr>
      <w:rFonts w:asciiTheme="majorHAnsi" w:eastAsiaTheme="minorHAnsi" w:hAnsiTheme="majorHAnsi"/>
      <w:sz w:val="40"/>
      <w:lang w:eastAsia="en-US" w:val="es"/>
    </w:rPr>
  </w:style>
  <w:style w:customStyle="1" w:styleId="TOC2Heading" w:type="paragraph">
    <w:name w:val="−TOC 2 Heading"/>
    <w:basedOn w:val="TOC1Heading"/>
    <w:next w:val="Normal"/>
    <w:uiPriority w:val="9"/>
    <w:qFormat/>
    <w:rsid w:val="00707C6B"/>
    <w:pPr>
      <w:pageBreakBefore w:val="0"/>
      <w:spacing w:before="360"/>
      <w:outlineLvl w:val="1"/>
    </w:pPr>
    <w:rPr>
      <w:sz w:val="28"/>
      <w:szCs w:val="32"/>
    </w:rPr>
  </w:style>
  <w:style w:customStyle="1" w:styleId="TOC3Heading" w:type="paragraph">
    <w:name w:val="−TOC 3 Heading"/>
    <w:basedOn w:val="TOC2Heading"/>
    <w:next w:val="Normal"/>
    <w:uiPriority w:val="9"/>
    <w:qFormat/>
    <w:rsid w:val="00707C6B"/>
    <w:pPr>
      <w:outlineLvl w:val="2"/>
    </w:pPr>
    <w:rPr>
      <w:sz w:val="24"/>
    </w:rPr>
  </w:style>
  <w:style w:customStyle="1" w:styleId="CurrentList1" w:type="numbering">
    <w:name w:val="Current List1"/>
    <w:uiPriority w:val="99"/>
    <w:rsid w:val="00472B64"/>
    <w:pPr>
      <w:numPr>
        <w:numId w:val="24"/>
      </w:numPr>
    </w:pPr>
  </w:style>
  <w:style w:customStyle="1" w:styleId="CurrentList2" w:type="numbering">
    <w:name w:val="Current List2"/>
    <w:uiPriority w:val="99"/>
    <w:rsid w:val="00472B64"/>
    <w:pPr>
      <w:numPr>
        <w:numId w:val="25"/>
      </w:numPr>
    </w:pPr>
  </w:style>
  <w:style w:customStyle="1" w:styleId="SRKBulletList" w:type="numbering">
    <w:name w:val="SRK Bullet List"/>
    <w:uiPriority w:val="99"/>
    <w:rsid w:val="00472B64"/>
    <w:pPr>
      <w:numPr>
        <w:numId w:val="26"/>
      </w:numPr>
    </w:pPr>
  </w:style>
  <w:style w:customStyle="1" w:styleId="CurrentList3" w:type="numbering">
    <w:name w:val="Current List3"/>
    <w:uiPriority w:val="99"/>
    <w:rsid w:val="00742C58"/>
    <w:pPr>
      <w:numPr>
        <w:numId w:val="28"/>
      </w:numPr>
    </w:pPr>
  </w:style>
  <w:style w:customStyle="1" w:styleId="SRKNumberedList" w:type="numbering">
    <w:name w:val="SRK Numbered List"/>
    <w:uiPriority w:val="99"/>
    <w:rsid w:val="00742C58"/>
    <w:pPr>
      <w:numPr>
        <w:numId w:val="29"/>
      </w:numPr>
    </w:pPr>
  </w:style>
  <w:style w:styleId="Caption" w:type="paragraph">
    <w:name w:val="caption"/>
    <w:basedOn w:val="Normal"/>
    <w:next w:val="Normal"/>
    <w:uiPriority w:val="19"/>
    <w:rsid w:val="00737771"/>
    <w:pPr>
      <w:keepNext/>
      <w:tabs>
        <w:tab w:pos="1440" w:val="left"/>
      </w:tabs>
      <w:spacing w:after="120" w:before="60"/>
    </w:pPr>
    <w:rPr>
      <w:rFonts w:ascii="Arial" w:eastAsiaTheme="minorHAnsi" w:hAnsi="Arial"/>
      <w:iCs/>
      <w:sz w:val="20"/>
      <w:szCs w:val="20"/>
      <w:lang w:eastAsia="en-US" w:val="es"/>
    </w:rPr>
  </w:style>
  <w:style w:customStyle="1" w:styleId="CaptionWide" w:type="paragraph">
    <w:name w:val="Caption Wide"/>
    <w:basedOn w:val="Caption"/>
    <w:next w:val="Normal"/>
    <w:uiPriority w:val="19"/>
    <w:rsid w:val="00737771"/>
    <w:pPr>
      <w:tabs>
        <w:tab w:pos="1440" w:val="clear"/>
        <w:tab w:pos="0" w:val="left"/>
      </w:tabs>
      <w:ind w:left="0"/>
    </w:pPr>
    <w:rPr>
      <w:lang w:val="es"/>
    </w:rPr>
  </w:style>
  <w:style w:customStyle="1" w:styleId="Source" w:type="paragraph">
    <w:name w:val="Source"/>
    <w:basedOn w:val="Normal"/>
    <w:next w:val="Normal"/>
    <w:link w:val="SourceChar"/>
    <w:uiPriority w:val="19"/>
    <w:rsid w:val="00737771"/>
    <w:pPr>
      <w:keepNext/>
      <w:spacing w:before="60"/>
    </w:pPr>
    <w:rPr>
      <w:rFonts w:eastAsiaTheme="minorHAnsi"/>
      <w:noProof/>
      <w:sz w:val="16"/>
      <w:lang w:eastAsia="en-US" w:val="es"/>
    </w:rPr>
  </w:style>
  <w:style w:customStyle="1" w:styleId="SourceChar" w:type="character">
    <w:name w:val="Source Char"/>
    <w:basedOn w:val="DefaultParagraphFont"/>
    <w:link w:val="Source"/>
    <w:uiPriority w:val="19"/>
    <w:rsid w:val="00092671"/>
    <w:rPr>
      <w:rFonts w:eastAsiaTheme="minorHAnsi"/>
      <w:noProof/>
      <w:sz w:val="16"/>
      <w:lang w:eastAsia="en-US" w:val="es"/>
    </w:rPr>
  </w:style>
  <w:style w:customStyle="1" w:styleId="SourceWide" w:type="paragraph">
    <w:name w:val="Source Wide"/>
    <w:basedOn w:val="Source"/>
    <w:next w:val="Normal"/>
    <w:link w:val="SourceWideChar"/>
    <w:uiPriority w:val="19"/>
    <w:rsid w:val="00092671"/>
    <w:pPr>
      <w:ind w:hanging="1440"/>
    </w:pPr>
    <w:rPr>
      <w:lang w:val="es"/>
    </w:rPr>
  </w:style>
  <w:style w:customStyle="1" w:styleId="SourceWideChar" w:type="character">
    <w:name w:val="Source Wide Char"/>
    <w:basedOn w:val="SourceChar"/>
    <w:link w:val="SourceWide"/>
    <w:uiPriority w:val="19"/>
    <w:rsid w:val="00092671"/>
    <w:rPr>
      <w:rFonts w:eastAsiaTheme="minorHAnsi"/>
      <w:noProof/>
      <w:sz w:val="16"/>
      <w:lang w:eastAsia="en-US" w:val="es"/>
    </w:rPr>
  </w:style>
  <w:style w:customStyle="1" w:styleId="TableBulletList" w:type="paragraph">
    <w:name w:val="Table Bullet List"/>
    <w:basedOn w:val="Normal"/>
    <w:uiPriority w:val="17"/>
    <w:qFormat/>
    <w:rsid w:val="00D36674"/>
    <w:pPr>
      <w:numPr>
        <w:numId w:val="33"/>
      </w:numPr>
      <w:spacing w:before="0" w:line="240" w:lineRule="auto"/>
    </w:pPr>
    <w:rPr>
      <w:sz w:val="18"/>
    </w:rPr>
  </w:style>
  <w:style w:customStyle="1" w:styleId="TableBulletList2" w:type="paragraph">
    <w:name w:val="Table Bullet List 2"/>
    <w:basedOn w:val="TableBulletList"/>
    <w:uiPriority w:val="17"/>
    <w:rsid w:val="00737771"/>
    <w:pPr>
      <w:numPr>
        <w:ilvl w:val="1"/>
      </w:numPr>
    </w:pPr>
  </w:style>
  <w:style w:customStyle="1" w:styleId="TableBulletList3" w:type="paragraph">
    <w:name w:val="Table Bullet List 3"/>
    <w:basedOn w:val="TableBulletList2"/>
    <w:uiPriority w:val="17"/>
    <w:rsid w:val="00737771"/>
    <w:pPr>
      <w:numPr>
        <w:ilvl w:val="2"/>
      </w:numPr>
    </w:pPr>
  </w:style>
  <w:style w:customStyle="1" w:styleId="TableFootnote" w:type="paragraph">
    <w:name w:val="Table Footnote"/>
    <w:basedOn w:val="Normal"/>
    <w:uiPriority w:val="21"/>
    <w:rsid w:val="00092671"/>
    <w:pPr>
      <w:numPr>
        <w:numId w:val="46"/>
      </w:numPr>
      <w:spacing w:before="60"/>
      <w:contextualSpacing/>
    </w:pPr>
    <w:rPr>
      <w:rFonts w:eastAsiaTheme="minorHAnsi"/>
      <w:sz w:val="18"/>
      <w:szCs w:val="16"/>
      <w:lang w:eastAsia="en-US" w:val="es"/>
    </w:rPr>
  </w:style>
  <w:style w:customStyle="1" w:styleId="TableFootnoteWide" w:type="paragraph">
    <w:name w:val="Table Footnote Wide"/>
    <w:basedOn w:val="TableFootnote"/>
    <w:uiPriority w:val="21"/>
    <w:rsid w:val="00092671"/>
    <w:pPr>
      <w:numPr>
        <w:numId w:val="41"/>
      </w:numPr>
    </w:pPr>
  </w:style>
  <w:style w:customStyle="1" w:styleId="Notes" w:type="paragraph">
    <w:name w:val="Notes"/>
    <w:basedOn w:val="Normal"/>
    <w:next w:val="Normal"/>
    <w:uiPriority w:val="20"/>
    <w:rsid w:val="00092671"/>
    <w:pPr>
      <w:keepNext/>
      <w:spacing w:before="60"/>
    </w:pPr>
    <w:rPr>
      <w:rFonts w:eastAsiaTheme="minorHAnsi"/>
      <w:sz w:val="18"/>
      <w:szCs w:val="16"/>
      <w:lang w:eastAsia="en-US" w:val="es"/>
    </w:rPr>
  </w:style>
  <w:style w:customStyle="1" w:styleId="NotesWide" w:type="paragraph">
    <w:name w:val="Notes Wide"/>
    <w:basedOn w:val="Notes"/>
    <w:next w:val="Normal"/>
    <w:uiPriority w:val="20"/>
    <w:rsid w:val="00092671"/>
    <w:pPr>
      <w:ind w:hanging="1440"/>
    </w:pPr>
    <w:rPr>
      <w:lang w:val="es"/>
    </w:rPr>
  </w:style>
  <w:style w:customStyle="1" w:styleId="TableNumberList" w:type="paragraph">
    <w:name w:val="Table Number List"/>
    <w:basedOn w:val="ListNumber"/>
    <w:uiPriority w:val="17"/>
    <w:qFormat/>
    <w:rsid w:val="00737771"/>
    <w:pPr>
      <w:numPr>
        <w:numId w:val="38"/>
      </w:numPr>
      <w:spacing w:line="240" w:lineRule="auto"/>
    </w:pPr>
    <w:rPr>
      <w:sz w:val="18"/>
    </w:rPr>
  </w:style>
  <w:style w:customStyle="1" w:styleId="TableNumberList2" w:type="paragraph">
    <w:name w:val="Table Number List 2"/>
    <w:basedOn w:val="TableNumberList"/>
    <w:uiPriority w:val="17"/>
    <w:rsid w:val="00737771"/>
    <w:pPr>
      <w:numPr>
        <w:ilvl w:val="1"/>
      </w:numPr>
    </w:pPr>
  </w:style>
  <w:style w:customStyle="1" w:styleId="TableNumberList3" w:type="paragraph">
    <w:name w:val="Table Number List 3"/>
    <w:basedOn w:val="TableNumberList2"/>
    <w:uiPriority w:val="17"/>
    <w:rsid w:val="00737771"/>
    <w:pPr>
      <w:numPr>
        <w:ilvl w:val="2"/>
      </w:numPr>
    </w:pPr>
  </w:style>
  <w:style w:customStyle="1" w:styleId="SRKTableFootnotes" w:type="numbering">
    <w:name w:val="SRK Table Footnotes"/>
    <w:uiPriority w:val="99"/>
    <w:rsid w:val="00AB521A"/>
    <w:pPr>
      <w:numPr>
        <w:numId w:val="39"/>
      </w:numPr>
    </w:pPr>
  </w:style>
  <w:style w:customStyle="1" w:styleId="CurrentList4" w:type="numbering">
    <w:name w:val="Current List4"/>
    <w:uiPriority w:val="99"/>
    <w:rsid w:val="00092671"/>
    <w:pPr>
      <w:numPr>
        <w:numId w:val="43"/>
      </w:numPr>
    </w:pPr>
  </w:style>
  <w:style w:customStyle="1" w:styleId="CurrentList5" w:type="numbering">
    <w:name w:val="Current List5"/>
    <w:uiPriority w:val="99"/>
    <w:rsid w:val="00AB521A"/>
    <w:pPr>
      <w:numPr>
        <w:numId w:val="45"/>
      </w:numPr>
    </w:pPr>
  </w:style>
  <w:style w:customStyle="1" w:styleId="SRKTableFootnotesWide" w:type="numbering">
    <w:name w:val="SRK Table Footnotes Wide"/>
    <w:uiPriority w:val="99"/>
    <w:rsid w:val="00AB521A"/>
    <w:pPr>
      <w:numPr>
        <w:numId w:val="41"/>
      </w:numPr>
    </w:pPr>
  </w:style>
  <w:style w:customStyle="1" w:styleId="SRKTableNumberedList" w:type="numbering">
    <w:name w:val="SRK Table Numbered List"/>
    <w:uiPriority w:val="99"/>
    <w:rsid w:val="00737771"/>
  </w:style>
  <w:style w:customStyle="1" w:styleId="Appx1Cover" w:type="paragraph">
    <w:name w:val="Appx 1 Cover"/>
    <w:basedOn w:val="SectionCover"/>
    <w:next w:val="Normal"/>
    <w:uiPriority w:val="15"/>
    <w:qFormat/>
    <w:rsid w:val="007B48B9"/>
    <w:pPr>
      <w:framePr w:wrap="around"/>
      <w:numPr>
        <w:numId w:val="54"/>
      </w:numPr>
      <w:tabs>
        <w:tab w:pos="2880" w:val="left"/>
      </w:tabs>
    </w:pPr>
    <w:rPr>
      <w:rFonts w:asciiTheme="majorHAnsi" w:hAnsiTheme="majorHAnsi"/>
    </w:rPr>
  </w:style>
  <w:style w:customStyle="1" w:styleId="Appx2Cover" w:type="paragraph">
    <w:name w:val="Appx 2 Cover"/>
    <w:basedOn w:val="Appx1Cover"/>
    <w:next w:val="Normal"/>
    <w:uiPriority w:val="15"/>
    <w:qFormat/>
    <w:rsid w:val="007B48B9"/>
    <w:pPr>
      <w:framePr w:wrap="around"/>
      <w:numPr>
        <w:ilvl w:val="1"/>
      </w:numPr>
      <w:outlineLvl w:val="1"/>
    </w:pPr>
  </w:style>
  <w:style w:customStyle="1" w:styleId="SectionCover" w:type="paragraph">
    <w:name w:val="Section Cover"/>
    <w:basedOn w:val="NoSpacing"/>
    <w:next w:val="Normal"/>
    <w:uiPriority w:val="14"/>
    <w:qFormat/>
    <w:rsid w:val="007B48B9"/>
    <w:pPr>
      <w:pageBreakBefore/>
      <w:framePr w:hAnchor="page" w:vAnchor="text" w:w="9360" w:wrap="around" w:x="1441" w:y="1"/>
      <w:pBdr>
        <w:top w:color="F37021" w:space="8" w:sz="24" w:themeColor="text2" w:val="single"/>
      </w:pBdr>
      <w:spacing w:after="360" w:before="3000" w:line="264" w:lineRule="auto"/>
      <w:ind w:hanging="2880" w:left="2880"/>
      <w:outlineLvl w:val="0"/>
    </w:pPr>
    <w:rPr>
      <w:rFonts w:ascii="Aptos SemiBold" w:hAnsi="Aptos SemiBold"/>
      <w:sz w:val="40"/>
    </w:rPr>
  </w:style>
  <w:style w:customStyle="1" w:styleId="SRKAppendices" w:type="numbering">
    <w:name w:val="SRK Appendices"/>
    <w:uiPriority w:val="99"/>
    <w:rsid w:val="003333CE"/>
  </w:style>
  <w:style w:styleId="TOC2" w:type="paragraph">
    <w:name w:val="toc 2"/>
    <w:basedOn w:val="Normal"/>
    <w:next w:val="Normal"/>
    <w:autoRedefine/>
    <w:uiPriority w:val="39"/>
    <w:rsid w:val="00707C6B"/>
    <w:pPr>
      <w:tabs>
        <w:tab w:pos="1080" w:val="left"/>
        <w:tab w:leader="dot" w:pos="9360" w:val="right"/>
      </w:tabs>
      <w:spacing w:before="0"/>
      <w:ind w:hanging="1080" w:left="1080" w:right="360"/>
    </w:pPr>
    <w:rPr>
      <w:rFonts w:asciiTheme="majorHAnsi" w:hAnsiTheme="majorHAnsi"/>
    </w:rPr>
  </w:style>
  <w:style w:styleId="TOC1" w:type="paragraph">
    <w:name w:val="toc 1"/>
    <w:basedOn w:val="Normal"/>
    <w:next w:val="BodyText"/>
    <w:autoRedefine/>
    <w:uiPriority w:val="39"/>
    <w:rsid w:val="0088485E"/>
    <w:pPr>
      <w:tabs>
        <w:tab w:pos="1080" w:val="left"/>
        <w:tab w:leader="dot" w:pos="9331" w:val="right"/>
      </w:tabs>
      <w:spacing w:before="120"/>
      <w:ind w:hanging="1080" w:left="1080" w:right="360"/>
    </w:pPr>
    <w:rPr>
      <w:rFonts w:asciiTheme="majorHAnsi" w:hAnsiTheme="majorHAnsi"/>
      <w:sz w:val="26"/>
    </w:rPr>
  </w:style>
  <w:style w:styleId="TOC3" w:type="paragraph">
    <w:name w:val="toc 3"/>
    <w:basedOn w:val="Normal"/>
    <w:next w:val="Normal"/>
    <w:autoRedefine/>
    <w:uiPriority w:val="39"/>
    <w:rsid w:val="00707C6B"/>
    <w:pPr>
      <w:tabs>
        <w:tab w:pos="1080" w:val="left"/>
        <w:tab w:leader="dot" w:pos="9331" w:val="right"/>
      </w:tabs>
      <w:spacing w:before="0"/>
      <w:ind w:hanging="1080" w:left="1080"/>
    </w:pPr>
  </w:style>
  <w:style w:styleId="Hyperlink" w:type="character">
    <w:name w:val="Hyperlink"/>
    <w:basedOn w:val="DefaultParagraphFont"/>
    <w:uiPriority w:val="99"/>
    <w:rsid w:val="003333CE"/>
    <w:rPr>
      <w:color w:themeColor="hyperlink" w:val="F37021"/>
      <w:u w:val="single"/>
    </w:rPr>
  </w:style>
  <w:style w:customStyle="1" w:styleId="Definitions" w:type="paragraph">
    <w:name w:val="Definitions"/>
    <w:basedOn w:val="BodyText"/>
    <w:link w:val="DefinitionsChar"/>
    <w:uiPriority w:val="1"/>
    <w:rsid w:val="00200BE5"/>
    <w:pPr>
      <w:spacing w:before="0"/>
    </w:pPr>
    <w:rPr>
      <w:sz w:val="18"/>
    </w:rPr>
  </w:style>
  <w:style w:customStyle="1" w:styleId="DefinitionsChar" w:type="character">
    <w:name w:val="Definitions Char"/>
    <w:basedOn w:val="BodyTextChar"/>
    <w:link w:val="Definitions"/>
    <w:uiPriority w:val="1"/>
    <w:rsid w:val="00200BE5"/>
    <w:rPr>
      <w:rFonts w:ascii="Arial" w:eastAsiaTheme="minorHAnsi" w:hAnsi="Arial"/>
      <w:sz w:val="18"/>
      <w:lang w:eastAsia="en-US" w:val="es"/>
    </w:rPr>
  </w:style>
  <w:style w:styleId="TOC4" w:type="paragraph">
    <w:name w:val="toc 4"/>
    <w:basedOn w:val="Normal"/>
    <w:next w:val="Normal"/>
    <w:autoRedefine/>
    <w:uiPriority w:val="39"/>
    <w:rsid w:val="00707C6B"/>
    <w:pPr>
      <w:tabs>
        <w:tab w:pos="1080" w:val="left"/>
        <w:tab w:leader="dot" w:pos="9360" w:val="right"/>
      </w:tabs>
      <w:spacing w:before="120"/>
      <w:ind w:hanging="1080" w:left="1080" w:right="360"/>
      <w:contextualSpacing/>
    </w:pPr>
    <w:rPr>
      <w:sz w:val="18"/>
    </w:rPr>
  </w:style>
  <w:style w:customStyle="1" w:styleId="BodyTextNoIndent" w:type="paragraph">
    <w:name w:val="Body Text No Indent"/>
    <w:basedOn w:val="BodyText"/>
    <w:link w:val="BodyTextNoIndentChar"/>
    <w:uiPriority w:val="3"/>
    <w:semiHidden/>
    <w:qFormat/>
    <w:rsid w:val="00D36674"/>
    <w:pPr>
      <w:spacing w:after="200" w:before="0" w:line="259" w:lineRule="auto"/>
    </w:pPr>
    <w:rPr>
      <w:color w:val="auto"/>
    </w:rPr>
  </w:style>
  <w:style w:customStyle="1" w:styleId="BodyTextNoIndentChar" w:type="character">
    <w:name w:val="Body Text No Indent Char"/>
    <w:basedOn w:val="BodyTextChar"/>
    <w:link w:val="BodyTextNoIndent"/>
    <w:uiPriority w:val="3"/>
    <w:semiHidden/>
    <w:rsid w:val="00C70024"/>
    <w:rPr>
      <w:rFonts w:ascii="Arial" w:eastAsiaTheme="minorHAnsi" w:hAnsi="Arial"/>
      <w:color w:val="auto"/>
      <w:sz w:val="20"/>
      <w:lang w:eastAsia="en-US" w:val="es"/>
    </w:rPr>
  </w:style>
  <w:style w:styleId="TableofFigures" w:type="paragraph">
    <w:name w:val="table of figures"/>
    <w:next w:val="BodyTextNoIndent"/>
    <w:uiPriority w:val="99"/>
    <w:semiHidden/>
    <w:rsid w:val="00E551ED"/>
    <w:pPr>
      <w:tabs>
        <w:tab w:pos="1080" w:val="left"/>
        <w:tab w:leader="dot" w:pos="9360" w:val="right"/>
      </w:tabs>
      <w:spacing w:before="0"/>
      <w:ind w:hanging="1080" w:left="1080" w:right="360"/>
      <w:contextualSpacing/>
    </w:pPr>
    <w:rPr>
      <w:rFonts w:eastAsiaTheme="minorHAnsi"/>
      <w:sz w:val="18"/>
      <w:lang w:eastAsia="en-US" w:val="es"/>
    </w:rPr>
  </w:style>
  <w:style w:customStyle="1" w:styleId="TOCHeading2" w:type="paragraph">
    <w:name w:val="TOC Heading 2"/>
    <w:basedOn w:val="TOC3Heading"/>
    <w:next w:val="BodyTextNoIndent"/>
    <w:uiPriority w:val="39"/>
    <w:semiHidden/>
    <w:rsid w:val="0088485E"/>
    <w:pPr>
      <w:keepNext w:val="0"/>
      <w:outlineLvl w:val="1"/>
    </w:pPr>
    <w:rPr>
      <w:rFonts w:ascii="Aptos SemiBold" w:hAnsi="Aptos SemiBold"/>
      <w:sz w:val="28"/>
      <w:lang w:val="es"/>
    </w:rPr>
  </w:style>
  <w:style w:customStyle="1" w:styleId="TOC4Heading" w:type="paragraph">
    <w:name w:val="−TOC 4 Heading"/>
    <w:basedOn w:val="TOC3Heading"/>
    <w:next w:val="Normal"/>
    <w:uiPriority w:val="9"/>
    <w:qFormat/>
    <w:rsid w:val="00707C6B"/>
    <w:pPr>
      <w:outlineLvl w:val="3"/>
    </w:pPr>
    <w:rPr>
      <w:sz w:val="22"/>
    </w:rPr>
  </w:style>
  <w:style w:styleId="UnresolvedMention" w:type="character">
    <w:name w:val="Unresolved Mention"/>
    <w:basedOn w:val="DefaultParagraphFont"/>
    <w:uiPriority w:val="99"/>
    <w:semiHidden/>
    <w:unhideWhenUsed/>
    <w:rsid w:val="00204AEE"/>
    <w:rPr>
      <w:color w:val="605E5C"/>
      <w:shd w:color="auto" w:fill="E1DFDD" w:val="clear"/>
    </w:rPr>
  </w:style>
  <w:style w:styleId="TOC5" w:type="paragraph">
    <w:name w:val="toc 5"/>
    <w:basedOn w:val="Normal"/>
    <w:next w:val="Normal"/>
    <w:autoRedefine/>
    <w:uiPriority w:val="39"/>
    <w:rsid w:val="00707C6B"/>
    <w:pPr>
      <w:spacing w:before="120"/>
      <w:ind w:right="360"/>
    </w:pPr>
  </w:style>
  <w:style w:customStyle="1" w:styleId="Hidden" w:type="paragraph">
    <w:name w:val="Hidden"/>
    <w:next w:val="NoSpacing"/>
    <w:uiPriority w:val="27"/>
    <w:semiHidden/>
    <w:rsid w:val="00BC4D0D"/>
    <w:pPr>
      <w:framePr w:anchorLock="1" w:hAnchor="page" w:vAnchor="page" w:wrap="around" w:xAlign="right" w:yAlign="top"/>
      <w:spacing w:before="0" w:line="240" w:lineRule="auto"/>
      <w:outlineLvl w:val="0"/>
    </w:pPr>
    <w:rPr>
      <w:rFonts w:eastAsiaTheme="minorHAnsi"/>
      <w:color w:themeColor="background1" w:val="FFFFFF"/>
      <w:sz w:val="16"/>
      <w:lang w:eastAsia="en-US" w:val="es"/>
    </w:rPr>
  </w:style>
  <w:style w:styleId="CommentReference" w:type="character">
    <w:name w:val="annotation reference"/>
    <w:basedOn w:val="DefaultParagraphFont"/>
    <w:uiPriority w:val="99"/>
    <w:semiHidden/>
    <w:unhideWhenUsed/>
    <w:rsid w:val="001F05BE"/>
    <w:rPr>
      <w:sz w:val="16"/>
      <w:szCs w:val="16"/>
    </w:rPr>
  </w:style>
  <w:style w:styleId="CommentText" w:type="paragraph">
    <w:name w:val="annotation text"/>
    <w:basedOn w:val="Normal"/>
    <w:link w:val="CommentTextChar"/>
    <w:uiPriority w:val="99"/>
    <w:unhideWhenUsed/>
    <w:rsid w:val="001F05BE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1F05BE"/>
    <w:rPr>
      <w:sz w:val="20"/>
      <w:szCs w:val="20"/>
      <w:lang w:val="es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1F05BE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1F05BE"/>
    <w:rPr>
      <w:b/>
      <w:bCs/>
      <w:sz w:val="20"/>
      <w:szCs w:val="20"/>
      <w:lang w:val="es"/>
    </w:rPr>
  </w:style>
  <w:style w:styleId="FootnoteText" w:type="paragraph">
    <w:name w:val="footnote text"/>
    <w:basedOn w:val="Normal"/>
    <w:uiPriority w:val="9"/>
    <w:unhideWhenUsed/>
    <w:qFormat/>
    <w:rsid w:val="00683F31"/>
    <w:rPr>
      <w:sz w:val="18"/>
    </w:rPr>
  </w:style>
  <w:style w:customStyle="1" w:styleId="FootnoteBlockText" w:type="paragraph">
    <w:name w:val="Footnote Block Text"/>
    <w:basedOn w:val="FootnoteText"/>
    <w:qFormat/>
    <w:pPr>
      <w:spacing w:after="100" w:before="100"/>
      <w:ind w:left="480" w:right="480"/>
    </w:p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Subtitle" w:type="paragraph">
    <w:name w:val="Subtitle"/>
    <w:basedOn w:val="Title"/>
    <w:next w:val="BodyText"/>
    <w:link w:val="SubtitleChar"/>
    <w:uiPriority w:val="11"/>
    <w:qFormat/>
    <w:pPr>
      <w:numPr>
        <w:ilvl w:val="1"/>
      </w:numPr>
    </w:pPr>
    <w:rPr>
      <w:spacing w:val="15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before="180"/>
    </w:pPr>
    <w:rPr>
      <w:rFonts w:ascii="Arial" w:eastAsiaTheme="minorHAnsi" w:hAnsi="Arial"/>
      <w:sz w:val="20"/>
      <w:lang w:eastAsia="en-US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customStyle="1" w:styleId="ImageCaption" w:type="paragraph">
    <w:name w:val="Image Caption"/>
    <w:basedOn w:val="Caption"/>
  </w:style>
  <w:style w:customStyle="1" w:styleId="TableCaption" w:type="paragraph">
    <w:name w:val="Table Caption"/>
    <w:basedOn w:val="Caption"/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Table" w:type="table">
    <w:name w:val="Table"/>
    <w:basedOn w:val="TableNormal"/>
    <w:semiHidden/>
    <w:unhideWhenUsed/>
    <w:qFormat/>
    <w:tblPr/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  <w:rPr>
      <w:sz w:val="18"/>
      <w:szCs w:val="18"/>
    </w:rPr>
  </w:style>
  <w:style w:customStyle="1" w:styleId="VerbatimChar" w:type="character">
    <w:name w:val="Verbatim Char"/>
    <w:basedOn w:val="BodyTextChar"/>
    <w:rPr>
      <w:rFonts w:ascii="Consolas" w:eastAsiaTheme="minorHAnsi" w:hAnsi="Consolas"/>
      <w:sz w:val="22"/>
      <w:lang w:eastAsia="en-US" w:val="es"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</w:style>
  <w:style w:default="1" w:styleId="Normal" w:type="paragraph">
    <w:name w:val="Normal"/>
    <w:aliases w:val="±BodyText"/>
    <w:qFormat/>
    <w:rsid w:val="004A13D9"/>
    <w:pPr>
      <w:spacing w:before="0" w:line="240" w:lineRule="auto"/>
    </w:pPr>
    <w:rPr>
      <w:rFonts w:cs="Times New Roman" w:eastAsia="Times New Roman"/>
      <w:color w:val="auto"/>
      <w:sz w:val="21"/>
      <w:szCs w:val="24"/>
      <w:lang w:val="es"/>
    </w:rPr>
  </w:style>
  <w:style w:styleId="BodyText" w:type="paragraph">
    <w:name w:val="Body Text"/>
    <w:basedOn w:val="Normal"/>
    <w:link w:val="BodyTextChar"/>
    <w:qFormat/>
    <w:rsid w:val="00FF36F5"/>
    <w:pPr>
      <w:spacing w:after="120" w:before="120"/>
    </w:pPr>
    <w:rPr>
      <w:rFonts w:ascii="Arial" w:hAnsi="Arial"/>
      <w:lang w:val="es"/>
    </w:rPr>
  </w:style>
  <w:style w:styleId="ListBullet" w:type="paragraph">
    <w:name w:val="List Bullet"/>
    <w:basedOn w:val="Normal"/>
    <w:uiPriority w:val="1"/>
    <w:qFormat/>
    <w:rsid w:val="004A13D9"/>
    <w:pPr>
      <w:numPr>
        <w:numId w:val="27"/>
      </w:numPr>
      <w:spacing w:before="60"/>
    </w:pPr>
    <w:rPr>
      <w:rFonts w:ascii="Arial" w:eastAsia="Calibri" w:hAnsi="Arial"/>
    </w:rPr>
  </w:style>
  <w:style w:customStyle="1" w:styleId="Head1NonToc" w:type="paragraph">
    <w:name w:val="±Head1NonToc"/>
    <w:basedOn w:val="NoSpacing"/>
    <w:next w:val="Normal"/>
    <w:uiPriority w:val="3"/>
    <w:rsid w:val="006833EB"/>
    <w:pPr>
      <w:keepNext/>
      <w:pageBreakBefore/>
      <w:spacing w:after="60"/>
      <w:outlineLvl w:val="0"/>
    </w:pPr>
    <w:rPr>
      <w:rFonts w:asciiTheme="majorHAnsi" w:hAnsiTheme="majorHAnsi"/>
      <w:b/>
      <w:sz w:val="36"/>
    </w:rPr>
  </w:style>
  <w:style w:customStyle="1" w:styleId="NoNumHead1" w:type="paragraph">
    <w:name w:val="NoNumHead1"/>
    <w:basedOn w:val="Head1NonToc"/>
    <w:next w:val="Normal"/>
    <w:uiPriority w:val="4"/>
    <w:qFormat/>
    <w:rsid w:val="00422D68"/>
    <w:pPr>
      <w:pageBreakBefore w:val="0"/>
      <w:spacing w:before="600"/>
    </w:pPr>
    <w:rPr>
      <w:sz w:val="32"/>
    </w:rPr>
  </w:style>
  <w:style w:customStyle="1" w:styleId="NoNumHead2" w:type="paragraph">
    <w:name w:val="NoNumHead2"/>
    <w:basedOn w:val="NoNumHead1"/>
    <w:next w:val="Normal"/>
    <w:uiPriority w:val="4"/>
    <w:qFormat/>
    <w:rsid w:val="00854719"/>
    <w:pPr>
      <w:spacing w:after="120" w:before="240"/>
    </w:pPr>
    <w:rPr>
      <w:sz w:val="24"/>
    </w:rPr>
  </w:style>
  <w:style w:customStyle="1" w:styleId="NoNumHeadLine2" w:type="paragraph">
    <w:name w:val="NoNumHeadLine2"/>
    <w:basedOn w:val="NoNumHead2"/>
    <w:next w:val="Normal"/>
    <w:uiPriority w:val="4"/>
    <w:qFormat/>
    <w:rsid w:val="00854719"/>
    <w:pPr>
      <w:pBdr>
        <w:top w:color="auto" w:space="1" w:sz="4" w:val="single"/>
      </w:pBdr>
      <w:spacing w:after="120" w:before="240"/>
    </w:pPr>
    <w:rPr>
      <w:sz w:val="24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030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2.xml" Type="http://schemas.openxmlformats.org/officeDocument/2006/relationships/header" /><Relationship Id="rId12" Target="footer1.xml" Type="http://schemas.openxmlformats.org/officeDocument/2006/relationships/footer" /><Relationship Id="rId11" Target="header1.xml" Type="http://schemas.openxmlformats.org/officeDocument/2006/relationships/header" /><Relationship Id="rId14" Target="footer2.xml" Type="http://schemas.openxmlformats.org/officeDocument/2006/relationships/footer" /><Relationship Type="http://schemas.openxmlformats.org/officeDocument/2006/relationships/hyperlink" Id="rId232" Target="https://cspi.ca/wp-content/uploads/2021/04/handbook_chapter02.pdf" TargetMode="External" /><Relationship Type="http://schemas.openxmlformats.org/officeDocument/2006/relationships/hyperlink" Id="rId240" Target="https://doi.org/10.1061/(ASCE)1090-0241(2005)131:11(1429)" TargetMode="External" /><Relationship Type="http://schemas.openxmlformats.org/officeDocument/2006/relationships/hyperlink" Id="rId237" Target="https://doi.org/10.1061/AJGEB6.0001306" TargetMode="External" /><Relationship Type="http://schemas.openxmlformats.org/officeDocument/2006/relationships/hyperlink" Id="rId228" Target="https://rosap.ntl.bts.gov/view/dot/68707" TargetMode="External" /><Relationship Type="http://schemas.openxmlformats.org/officeDocument/2006/relationships/hyperlink" Id="rId226" Target="https://store.transportation.org/Common/DownloadContentFiles?id=2493" TargetMode="External" /><Relationship Type="http://schemas.openxmlformats.org/officeDocument/2006/relationships/hyperlink" Id="rId216" Target="https://www.concrete.org/portals/0/files/pdf/318_2_14.pdf" TargetMode="External" /><Relationship Type="http://schemas.openxmlformats.org/officeDocument/2006/relationships/hyperlink" Id="rId218" Target="https://www.concrete.org/store/productdetail.aspx?Format=PROTECTED_PDF&amp;ItemID=318225&amp;Language=English&amp;Units=US_Units" TargetMode="External" /><Relationship Type="http://schemas.openxmlformats.org/officeDocument/2006/relationships/hyperlink" Id="rId222" Target="https://www.concrete.org/store/productdetail.aspx?Format=PROTECTED_PDF&amp;ItemID=5062U13&amp;Language=English&amp;Units=US_Units" TargetMode="External" /><Relationship Type="http://schemas.openxmlformats.org/officeDocument/2006/relationships/hyperlink" Id="rId224" Target="https://www.concrete.org/store/productdetail.aspx?ItemID=562U25&amp;Language=English&amp;Units=US_Units" TargetMode="External" /><Relationship Type="http://schemas.openxmlformats.org/officeDocument/2006/relationships/hyperlink" Id="rId220" Target="https://www.concrete.org/store/productdetail?ItemID=318U25&amp;Language=English" TargetMode="External" /><Relationship Type="http://schemas.openxmlformats.org/officeDocument/2006/relationships/hyperlink" Id="rId234" Target="https://www.inti.gob.ar/assets/uploads/files/cirsoc/06-reglamentos-2da-generacion/area800/1/06_Area800_07-A-Reglamento-CIRSOC-804-4-2023_APROBADO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32" Target="https://cspi.ca/wp-content/uploads/2021/04/handbook_chapter02.pdf" TargetMode="External" /><Relationship Type="http://schemas.openxmlformats.org/officeDocument/2006/relationships/hyperlink" Id="rId240" Target="https://doi.org/10.1061/(ASCE)1090-0241(2005)131:11(1429)" TargetMode="External" /><Relationship Type="http://schemas.openxmlformats.org/officeDocument/2006/relationships/hyperlink" Id="rId237" Target="https://doi.org/10.1061/AJGEB6.0001306" TargetMode="External" /><Relationship Type="http://schemas.openxmlformats.org/officeDocument/2006/relationships/hyperlink" Id="rId228" Target="https://rosap.ntl.bts.gov/view/dot/68707" TargetMode="External" /><Relationship Type="http://schemas.openxmlformats.org/officeDocument/2006/relationships/hyperlink" Id="rId226" Target="https://store.transportation.org/Common/DownloadContentFiles?id=2493" TargetMode="External" /><Relationship Type="http://schemas.openxmlformats.org/officeDocument/2006/relationships/hyperlink" Id="rId216" Target="https://www.concrete.org/portals/0/files/pdf/318_2_14.pdf" TargetMode="External" /><Relationship Type="http://schemas.openxmlformats.org/officeDocument/2006/relationships/hyperlink" Id="rId218" Target="https://www.concrete.org/store/productdetail.aspx?Format=PROTECTED_PDF&amp;ItemID=318225&amp;Language=English&amp;Units=US_Units" TargetMode="External" /><Relationship Type="http://schemas.openxmlformats.org/officeDocument/2006/relationships/hyperlink" Id="rId222" Target="https://www.concrete.org/store/productdetail.aspx?Format=PROTECTED_PDF&amp;ItemID=5062U13&amp;Language=English&amp;Units=US_Units" TargetMode="External" /><Relationship Type="http://schemas.openxmlformats.org/officeDocument/2006/relationships/hyperlink" Id="rId224" Target="https://www.concrete.org/store/productdetail.aspx?ItemID=562U25&amp;Language=English&amp;Units=US_Units" TargetMode="External" /><Relationship Type="http://schemas.openxmlformats.org/officeDocument/2006/relationships/hyperlink" Id="rId220" Target="https://www.concrete.org/store/productdetail?ItemID=318U25&amp;Language=English" TargetMode="External" /><Relationship Type="http://schemas.openxmlformats.org/officeDocument/2006/relationships/hyperlink" Id="rId234" Target="https://www.inti.gob.ar/assets/uploads/files/cirsoc/06-reglamentos-2da-generacion/area800/1/06_Area800_07-A-Reglamento-CIRSOC-804-4-2023_APROBADO.pdf" TargetMode="Externa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verrik/Documents/docx/Report%20A_BETA_20250312_No%20Emblems_CCL.dotx" TargetMode="External"/></Relationships>
</file>

<file path=word/theme/theme1.xml><?xml version="1.0" encoding="utf-8"?>
<a:theme xmlns:a="http://schemas.openxmlformats.org/drawingml/2006/main" name="Office Theme">
  <a:themeElements>
    <a:clrScheme name="SRK 2024">
      <a:dk1>
        <a:sysClr val="windowText" lastClr="000000"/>
      </a:dk1>
      <a:lt1>
        <a:sysClr val="window" lastClr="FFFFFF"/>
      </a:lt1>
      <a:dk2>
        <a:srgbClr val="F37021"/>
      </a:dk2>
      <a:lt2>
        <a:srgbClr val="E8E8E8"/>
      </a:lt2>
      <a:accent1>
        <a:srgbClr val="156082"/>
      </a:accent1>
      <a:accent2>
        <a:srgbClr val="AEAEAE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F37021"/>
      </a:hlink>
      <a:folHlink>
        <a:srgbClr val="7F7F7F"/>
      </a:folHlink>
    </a:clrScheme>
    <a:fontScheme name="SRK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Report A_BETA_20250312_No Emblems_CCL.dotx</Template>
  <TotalTime>1</TotalTime>
  <Pages>4</Pages>
  <Words>359</Words>
  <Characters>1792</Characters>
  <Application>Microsoft Office Word</Application>
  <DocSecurity>0</DocSecurity>
  <Lines>64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</dc:language>
  <cp:keywords/>
  <dcterms:created xsi:type="dcterms:W3CDTF">2026-08-20T21:20:44Z</dcterms:created>
  <dcterms:modified xsi:type="dcterms:W3CDTF">2026-08-20T21:20:44Z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olorlinks">
    <vt:lpwstr>True</vt:lpwstr>
  </property>
  <property fmtid="{D5CDD505-2E9C-101B-9397-08002B2CF9AE}" pid="5" name="crossref">
    <vt:lpwstr/>
  </property>
  <property fmtid="{D5CDD505-2E9C-101B-9397-08002B2CF9AE}" pid="6" name="engines">
    <vt:lpwstr/>
  </property>
  <property fmtid="{D5CDD505-2E9C-101B-9397-08002B2CF9AE}" pid="7" name="footer-title">
    <vt:lpwstr>Metodología integrada para el análisis de revestimientos circulares</vt:lpwstr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link-citations">
    <vt:lpwstr>True</vt:lpwstr>
  </property>
  <property fmtid="{D5CDD505-2E9C-101B-9397-08002B2CF9AE}" pid="13" name="number-depth">
    <vt:lpwstr>4</vt:lpwstr>
  </property>
  <property fmtid="{D5CDD505-2E9C-101B-9397-08002B2CF9AE}" pid="14" name="toc-title">
    <vt:lpwstr>Contenido</vt:lpwstr>
  </property>
</Properties>
</file>