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5.jpg" ContentType="image/jpeg"/>
  <Override PartName="/word/media/rId52.png" ContentType="image/png"/>
  <Override PartName="/word/media/rId61.png" ContentType="image/png"/>
  <Override PartName="/word/media/rId157.png" ContentType="image/png"/>
  <Override PartName="/word/media/rId153.png" ContentType="image/png"/>
  <Override PartName="/word/media/rId161.png" ContentType="image/png"/>
  <Override PartName="/word/media/rId169.png" ContentType="image/png"/>
  <Override PartName="/word/media/rId165.png" ContentType="image/png"/>
  <Override PartName="/word/media/rId173.png" ContentType="image/png"/>
  <Override PartName="/word/media/rId181.png" ContentType="image/png"/>
  <Override PartName="/word/media/rId177.png" ContentType="image/png"/>
  <Override PartName="/word/media/rId185.png" ContentType="image/png"/>
  <Override PartName="/word/media/rId105.png" ContentType="image/png"/>
  <Override PartName="/word/media/rId110.png" ContentType="image/png"/>
  <Override PartName="/word/media/rId80.png" ContentType="image/png"/>
  <Override PartName="/word/media/rId84.png" ContentType="image/png"/>
  <Override PartName="/word/media/rId124.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Portada</w:t>
      </w:r>
    </w:p>
    <w:bookmarkStart w:id="24" w:name="portada"/>
    <w:p>
      <w:pPr>
        <w:pStyle w:val="Heading1"/>
      </w:pPr>
      <w:r>
        <w:t xml:space="preserve">Portada</w:t>
      </w:r>
    </w:p>
    <w:bookmarkStart w:id="23" w:name="sec-executive"/>
    <w:p>
      <w:pPr>
        <w:pStyle w:val="Heading2"/>
      </w:pPr>
      <w:r>
        <w:t xml:space="preserve">Resumen ejecutivo</w:t>
      </w:r>
    </w:p>
    <w:p>
      <w:pPr>
        <w:pStyle w:val="FirstParagraph"/>
      </w:pPr>
      <w:r>
        <w:t xml:space="preserve">Esta memoria evalúa el liner corrugado existente bajo el peso permanente del</w:t>
      </w:r>
      <w:r>
        <w:t xml:space="preserve"> </w:t>
      </w:r>
      <w:r>
        <w:t xml:space="preserve">relleno compactado y de la capa superior de lodo. También estudia secciones</w:t>
      </w:r>
      <w:r>
        <w:t xml:space="preserve"> </w:t>
      </w:r>
      <w:r>
        <w:t xml:space="preserve">de rehabilitación de hormigón proyectado de</w:t>
      </w:r>
      <w:r>
        <w:t xml:space="preserve"> </w:t>
      </w:r>
      <w:r>
        <w:t xml:space="preserve">100 y</w:t>
      </w:r>
      <w:r>
        <w:t xml:space="preserve"> </w:t>
      </w:r>
      <w:r>
        <w:t xml:space="preserve">150 mm. Para ambos</w:t>
      </w:r>
      <w:r>
        <w:t xml:space="preserve"> </w:t>
      </w:r>
      <w:r>
        <w:t xml:space="preserve">espesores se presentan diagramas de interacción fuerza–momento para</w:t>
      </w:r>
      <w:r>
        <w:t xml:space="preserve"> </w:t>
      </w:r>
      <w:r>
        <w:t xml:space="preserve">Ø8/150, Ø10/150 y Ø12/150 en ambas caras y para el caso asimétrico de</w:t>
      </w:r>
      <w:r>
        <w:t xml:space="preserve"> </w:t>
      </w:r>
      <w:r>
        <w:t xml:space="preserve">chapa exterior más Ø8/150 interior. La armadura y el detalle constructivo se</w:t>
      </w:r>
      <w:r>
        <w:t xml:space="preserve"> </w:t>
      </w:r>
      <w:r>
        <w:t xml:space="preserve">definirán en la etapa de diseño de la rehabilitación.</w:t>
      </w:r>
    </w:p>
    <w:p>
      <w:pPr>
        <w:pStyle w:val="BodyText"/>
      </w:pPr>
      <w:r>
        <w:t xml:space="preserve">El túnel tiene</w:t>
      </w:r>
      <w:r>
        <w:t xml:space="preserve"> </w:t>
      </w:r>
      <w:r>
        <w:t xml:space="preserve">2.6 m de</w:t>
      </w:r>
      <w:r>
        <w:t xml:space="preserve"> </w:t>
      </w:r>
      <w:r>
        <w:t xml:space="preserve">diámetro. Sobre la clave se consideran</w:t>
      </w:r>
      <w:r>
        <w:t xml:space="preserve"> </w:t>
      </w:r>
      <w:r>
        <w:t xml:space="preserve">5.7 m de relleno</w:t>
      </w:r>
      <w:r>
        <w:t xml:space="preserve"> </w:t>
      </w:r>
      <w:r>
        <w:t xml:space="preserve">compactado y, por encima, una capa de lodo de</w:t>
      </w:r>
      <w:r>
        <w:t xml:space="preserve"> </w:t>
      </w:r>
      <w:r>
        <w:t xml:space="preserve">5.7 m; la altura</w:t>
      </w:r>
      <w:r>
        <w:t xml:space="preserve"> </w:t>
      </w:r>
      <w:r>
        <w:t xml:space="preserve">total de materiales es</w:t>
      </w:r>
      <w:r>
        <w:t xml:space="preserve"> </w:t>
      </w:r>
      <w:r>
        <w:t xml:space="preserve">11.4</w:t>
      </w:r>
      <w:r>
        <w:t xml:space="preserve"> </w:t>
      </w:r>
      <w:r>
        <w:t xml:space="preserve">m.</w:t>
      </w:r>
      <w:r>
        <w:t xml:space="preserve"> </w:t>
      </w:r>
      <w:r>
        <w:t xml:space="preserve">El escenario considera un peso unitario efectivo de</w:t>
      </w:r>
      <w:r>
        <w:t xml:space="preserve"> </w:t>
      </w:r>
      <w:r>
        <w:t xml:space="preserve">19.0</w:t>
      </w:r>
      <w:r>
        <w:t xml:space="preserve"> </w:t>
      </w:r>
      <w:r>
        <w:t xml:space="preserve">kN/m³ y un ángulo de fricción efectiva de</w:t>
      </w:r>
      <w:r>
        <w:t xml:space="preserve"> </w:t>
      </w:r>
      <w:r>
        <w:t xml:space="preserve">33°. El</w:t>
      </w:r>
      <w:r>
        <w:t xml:space="preserve"> </w:t>
      </w:r>
      <w:r>
        <w:t xml:space="preserve">coeficiente de presión en reposo se calcula mediante la relación de Jáky para</w:t>
      </w:r>
      <w:r>
        <w:t xml:space="preserve"> </w:t>
      </w:r>
      <w:r>
        <w:t xml:space="preserve">una condición normalmente consolidada. La capa superior tiene un peso unitario de</w:t>
      </w:r>
      <w:r>
        <w:t xml:space="preserve"> </w:t>
      </w:r>
      <w:r>
        <w:t xml:space="preserve">14.7</w:t>
      </w:r>
      <w:r>
        <w:t xml:space="preserve"> </w:t>
      </w:r>
      <w:r>
        <w:t xml:space="preserve">kN/m³. Su peso equivale a una presión uniforme permanente de</w:t>
      </w:r>
      <w:r>
        <w:t xml:space="preserve"> </w:t>
      </w:r>
      <w:r>
        <w:t xml:space="preserve">83.8 kPa</w:t>
      </w:r>
      <w:r>
        <w:t xml:space="preserve"> </w:t>
      </w:r>
      <w:r>
        <w:t xml:space="preserve">sobre el relleno inferior. La</w:t>
      </w:r>
      <w:r>
        <w:t xml:space="preserve"> </w:t>
      </w:r>
      <w:r>
        <w:t xml:space="preserve">presión hidráulica neta es</w:t>
      </w:r>
      <w:r>
        <w:t xml:space="preserve"> </w:t>
      </w:r>
      <w:r>
        <w:t xml:space="preserve">0.0</w:t>
      </w:r>
      <w:r>
        <w:t xml:space="preserve"> </w:t>
      </w:r>
      <w:r>
        <w:t xml:space="preserve">kPa.</w:t>
      </w:r>
      <w:r>
        <w:t xml:space="preserve"> </w:t>
      </w:r>
      <w:r>
        <w:t xml:space="preserve">El coeficiente de presión en reposo relaciona las tensiones efectivas horizontal</w:t>
      </w:r>
      <w:r>
        <w:t xml:space="preserve"> </w:t>
      </w:r>
      <w:r>
        <w:t xml:space="preserve">y vertical; con estas hipótesis vale</w:t>
      </w:r>
      <w:r>
        <w:t xml:space="preserve"> </w:t>
      </w:r>
      <w:r>
        <w:t xml:space="preserve">0.455361. En el eje del túnel se</w:t>
      </w:r>
      <w:r>
        <w:t xml:space="preserve"> </w:t>
      </w:r>
      <w:r>
        <w:t xml:space="preserve">obtienen</w:t>
      </w:r>
      <w:r>
        <w:t xml:space="preserve"> </w:t>
      </w:r>
      <w:r>
        <w:t xml:space="preserve">217.1 kPa</w:t>
      </w:r>
      <w:r>
        <w:t xml:space="preserve"> </w:t>
      </w:r>
      <w:r>
        <w:t xml:space="preserve">en dirección vertical y</w:t>
      </w:r>
      <w:r>
        <w:t xml:space="preserve"> </w:t>
      </w:r>
      <w:r>
        <w:t xml:space="preserve">98.9</w:t>
      </w:r>
      <w:r>
        <w:t xml:space="preserve"> </w:t>
      </w:r>
      <w:r>
        <w:t xml:space="preserve">kPa en dirección horizontal. El ángulo de fricción y la condición de agua se</w:t>
      </w:r>
      <w:r>
        <w:t xml:space="preserve"> </w:t>
      </w:r>
      <w:r>
        <w:t xml:space="preserve">actualizarán cuando se disponga de la caracterización del relleno.</w:t>
      </w:r>
    </w:p>
    <w:p>
      <w:pPr>
        <w:pStyle w:val="BodyText"/>
      </w:pPr>
      <w:r>
        <w:t xml:space="preserve">La demanda se obtiene con un modelo híbrido. Schwartz–Einstein calcula la</w:t>
      </w:r>
      <w:r>
        <w:t xml:space="preserve"> </w:t>
      </w:r>
      <w:r>
        <w:t xml:space="preserve">componente uniforme y la ovalización, incorporando la rigidez propia de cada</w:t>
      </w:r>
      <w:r>
        <w:t xml:space="preserve"> </w:t>
      </w:r>
      <w:r>
        <w:t xml:space="preserve">revestimiento y la del terreno. La variación lineal de las tensiones entre</w:t>
      </w:r>
      <w:r>
        <w:t xml:space="preserve"> </w:t>
      </w:r>
      <w:r>
        <w:t xml:space="preserve">clave y solera se agrega mediante una corrección equilibrada por una reacción</w:t>
      </w:r>
      <w:r>
        <w:t xml:space="preserve"> </w:t>
      </w:r>
      <w:r>
        <w:t xml:space="preserve">radial continua. La integración directa y la representación de Fourier</w:t>
      </w:r>
      <w:r>
        <w:t xml:space="preserve"> </w:t>
      </w:r>
      <w:r>
        <w:t xml:space="preserve">comprueban el equilibrio de las componentes superpuestas. Se calculan los</w:t>
      </w:r>
      <w:r>
        <w:t xml:space="preserve"> </w:t>
      </w:r>
      <w:r>
        <w:t xml:space="preserve">límites de contacto con deslizamiento libre y sin deslizamiento.</w:t>
      </w:r>
    </w:p>
    <w:p>
      <w:pPr>
        <w:pStyle w:val="BodyText"/>
      </w:pPr>
      <w:r>
        <w:t xml:space="preserve">Para la chapa,</w:t>
      </w:r>
      <w:r>
        <w:t xml:space="preserve"> </w:t>
      </w:r>
      <w:r>
        <w:t xml:space="preserve">el límite Slip (S) produce máximos absolutos de</w:t>
      </w:r>
      <w:r>
        <w:t xml:space="preserve"> </w:t>
      </w:r>
      <w:r>
        <w:t xml:space="preserve">306.0 kN/m de fuerza</w:t>
      </w:r>
      <w:r>
        <w:t xml:space="preserve"> </w:t>
      </w:r>
      <w:r>
        <w:t xml:space="preserve">circunferencial,</w:t>
      </w:r>
      <w:r>
        <w:t xml:space="preserve"> </w:t>
      </w:r>
      <w:r>
        <w:t xml:space="preserve">2.0 kN·m/m de</w:t>
      </w:r>
      <w:r>
        <w:t xml:space="preserve"> </w:t>
      </w:r>
      <w:r>
        <w:t xml:space="preserve">momento y</w:t>
      </w:r>
      <w:r>
        <w:t xml:space="preserve"> </w:t>
      </w:r>
      <w:r>
        <w:t xml:space="preserve">3.7 kN/m de corte.</w:t>
      </w:r>
      <w:r>
        <w:t xml:space="preserve"> </w:t>
      </w:r>
      <w:r>
        <w:t xml:space="preserve">Para No Slip (NS), los máximos respectivos son</w:t>
      </w:r>
      <w:r>
        <w:t xml:space="preserve"> </w:t>
      </w:r>
      <w:r>
        <w:t xml:space="preserve">392.3 kN/m,</w:t>
      </w:r>
      <w:r>
        <w:t xml:space="preserve"> </w:t>
      </w:r>
      <w:r>
        <w:t xml:space="preserve">1.8 kN·m/m y</w:t>
      </w:r>
      <w:r>
        <w:t xml:space="preserve"> </w:t>
      </w:r>
      <w:r>
        <w:t xml:space="preserve">3.4 kN/m. El</w:t>
      </w:r>
      <w:r>
        <w:t xml:space="preserve"> </w:t>
      </w:r>
      <w:r>
        <w:t xml:space="preserve">apéndice de comparación presenta, para la chapa y para las dos secciones de</w:t>
      </w:r>
      <w:r>
        <w:t xml:space="preserve"> </w:t>
      </w:r>
      <w:r>
        <w:t xml:space="preserve">hormigón, las diferencias respecto de Schwartz–Einstein uniforme, el anillo</w:t>
      </w:r>
      <w:r>
        <w:t xml:space="preserve"> </w:t>
      </w:r>
      <w:r>
        <w:t xml:space="preserve">con campo</w:t>
      </w:r>
      <w:r>
        <w:t xml:space="preserve"> </w:t>
      </w:r>
      <m:oMath>
        <m:sSub>
          <m:e>
            <m:r>
              <m:t>K</m:t>
            </m:r>
          </m:e>
          <m:sub>
            <m:r>
              <m:t>0</m:t>
            </m:r>
          </m:sub>
        </m:sSub>
      </m:oMath>
      <w:r>
        <w:t xml:space="preserve"> </w:t>
      </w:r>
      <w:r>
        <w:t xml:space="preserve">prescrito y las formulaciones de Núñez. La relación</w:t>
      </w:r>
      <w:r>
        <w:t xml:space="preserve"> </w:t>
      </w:r>
      <w:r>
        <w:t xml:space="preserve">AASHTO/USACE se informa por separado porque sólo entrega el empuje</w:t>
      </w:r>
      <w:r>
        <w:t xml:space="preserve"> </w:t>
      </w:r>
      <w:r>
        <w:t xml:space="preserve">circunferencial de la chapa.</w:t>
      </w:r>
    </w:p>
    <w:p>
      <w:pPr>
        <w:pStyle w:val="BodyText"/>
      </w:pPr>
      <w:r>
        <w:t xml:space="preserve">La evaluación de la chapa adopta un espesor base remanente de</w:t>
      </w:r>
      <w:r>
        <w:t xml:space="preserve"> </w:t>
      </w:r>
      <w:r>
        <w:t xml:space="preserve">3 mm,</w:t>
      </w:r>
      <w:r>
        <w:t xml:space="preserve"> </w:t>
      </w:r>
      <w:r>
        <w:t xml:space="preserve">equivalente a una pérdida de 14 % respecto de los 3.5 mm especificados y de 10 % respecto del espesor base de diseño tabulado. En la comparación de la costura, la demanda</w:t>
      </w:r>
      <w:r>
        <w:t xml:space="preserve"> </w:t>
      </w:r>
      <w:r>
        <w:t xml:space="preserve">calculada es</w:t>
      </w:r>
      <w:r>
        <w:t xml:space="preserve"> </w:t>
      </w:r>
      <w:r>
        <w:t xml:space="preserve">517.3 kN/m y la</w:t>
      </w:r>
      <w:r>
        <w:t xml:space="preserve"> </w:t>
      </w:r>
      <w:r>
        <w:t xml:space="preserve">resistencia publicada de referencia es</w:t>
      </w:r>
      <w:r>
        <w:t xml:space="preserve"> </w:t>
      </w:r>
      <w:r>
        <w:t xml:space="preserve">515.2 kN/m, de modo que la</w:t>
      </w:r>
      <w:r>
        <w:t xml:space="preserve"> </w:t>
      </w:r>
      <w:r>
        <w:t xml:space="preserve">demanda alcanza el</w:t>
      </w:r>
      <w:r>
        <w:t xml:space="preserve"> </w:t>
      </w:r>
      <w:r>
        <w:t xml:space="preserve">100.4 % de esa</w:t>
      </w:r>
      <w:r>
        <w:t xml:space="preserve"> </w:t>
      </w:r>
      <w:r>
        <w:t xml:space="preserve">resistencia y, por lo tanto,</w:t>
      </w:r>
      <w:r>
        <w:t xml:space="preserve"> </w:t>
      </w:r>
      <w:r>
        <w:t xml:space="preserve">no verifica.</w:t>
      </w:r>
      <w:r>
        <w:t xml:space="preserve"> </w:t>
      </w:r>
      <w:r>
        <w:t xml:space="preserve">Esta comprobación AASHTO/USACE es un control escalar separado de</w:t>
      </w:r>
      <w:r>
        <w:t xml:space="preserve"> </w:t>
      </w:r>
      <w:r>
        <w:t xml:space="preserve">las resultantes angulares del modelo híbrido. La evaluación de la unión</w:t>
      </w:r>
      <w:r>
        <w:t xml:space="preserve"> </w:t>
      </w:r>
      <w:r>
        <w:t xml:space="preserve">requiere el espesor remanente y la configuración de costura obtenidos de la</w:t>
      </w:r>
      <w:r>
        <w:t xml:space="preserve"> </w:t>
      </w:r>
      <w:r>
        <w:t xml:space="preserve">inspección.</w:t>
      </w:r>
    </w:p>
    <w:p>
      <w:pPr>
        <w:pStyle w:val="BodyText"/>
      </w:pPr>
      <w:r>
        <w:t xml:space="preserve">Las comprobaciones de pared, pandeo, flexibilidad y tapada de la chapa</w:t>
      </w:r>
      <w:r>
        <w:t xml:space="preserve"> </w:t>
      </w:r>
      <w:r>
        <w:t xml:space="preserve">verifican; la costura de referencia</w:t>
      </w:r>
      <w:r>
        <w:t xml:space="preserve"> </w:t>
      </w:r>
      <w:r>
        <w:t xml:space="preserve">no verifica.</w:t>
      </w:r>
      <w:r>
        <w:t xml:space="preserve"> </w:t>
      </w:r>
      <w:r>
        <w:t xml:space="preserve">En las comprobaciones de tracción y corte, el hormigón proyectado</w:t>
      </w:r>
      <w:r>
        <w:t xml:space="preserve"> </w:t>
      </w:r>
      <w:r>
        <w:t xml:space="preserve">simple de</w:t>
      </w:r>
      <w:r>
        <w:t xml:space="preserve"> </w:t>
      </w:r>
      <w:r>
        <w:t xml:space="preserve">100 mm</w:t>
      </w:r>
      <w:r>
        <w:t xml:space="preserve"> </w:t>
      </w:r>
      <w:r>
        <w:t xml:space="preserve">no verifica y el de</w:t>
      </w:r>
      <w:r>
        <w:t xml:space="preserve"> </w:t>
      </w:r>
      <w:r>
        <w:t xml:space="preserve">150 mm</w:t>
      </w:r>
      <w:r>
        <w:t xml:space="preserve"> </w:t>
      </w:r>
      <w:r>
        <w:t xml:space="preserve">no verifica.</w:t>
      </w:r>
      <w:r>
        <w:t xml:space="preserve"> </w:t>
      </w:r>
      <w:r>
        <w:t xml:space="preserve">En flexocompresión</w:t>
      </w:r>
      <w:r>
        <w:t xml:space="preserve"> </w:t>
      </w:r>
      <m:oMath>
        <m:r>
          <m:t>P</m:t>
        </m:r>
      </m:oMath>
      <w:r>
        <w:t xml:space="preserve">–</w:t>
      </w:r>
      <m:oMath>
        <m:r>
          <m:t>M</m:t>
        </m:r>
      </m:oMath>
      <w:r>
        <w:t xml:space="preserve"> </w:t>
      </w:r>
      <w:r>
        <w:t xml:space="preserve">con armadura, la sección de</w:t>
      </w:r>
      <w:r>
        <w:t xml:space="preserve"> </w:t>
      </w:r>
      <w:r>
        <w:t xml:space="preserve">100 mm verifica para Ø8/150, Ø10/150 y Ø12/150 y no verifica para chapa exterior más Ø8/150 interior;</w:t>
      </w:r>
      <w:r>
        <w:t xml:space="preserve"> </w:t>
      </w:r>
      <w:r>
        <w:t xml:space="preserve">la sección de 150 mm</w:t>
      </w:r>
      <w:r>
        <w:t xml:space="preserve"> </w:t>
      </w:r>
      <w:r>
        <w:t xml:space="preserve">verifica para Ø12/150 y no verifica para Ø8/150, Ø10/150 y chapa exterior más Ø8/150 interior. El corte y el control de desprendimiento radial se</w:t>
      </w:r>
      <w:r>
        <w:t xml:space="preserve"> </w:t>
      </w:r>
      <w:r>
        <w:t xml:space="preserve">dictaminan en columnas separadas. La selección de la alternativa de</w:t>
      </w:r>
      <w:r>
        <w:t xml:space="preserve"> </w:t>
      </w:r>
      <w:r>
        <w:t xml:space="preserve">rehabilitación se basará en la inspección del liner existente y en las</w:t>
      </w:r>
      <w:r>
        <w:t xml:space="preserve"> </w:t>
      </w:r>
      <w:r>
        <w:t xml:space="preserve">verificaciones estructurales correspondientes.</w:t>
      </w:r>
    </w:p>
    <w:bookmarkEnd w:id="23"/>
    <w:bookmarkEnd w:id="24"/>
    <w:bookmarkStart w:id="30" w:name="sec-introduction"/>
    <w:p>
      <w:pPr>
        <w:pStyle w:val="Heading1"/>
      </w:pPr>
      <w:r>
        <w:t xml:space="preserve">Introducción</w:t>
      </w:r>
    </w:p>
    <w:p>
      <w:pPr>
        <w:pStyle w:val="FirstParagraph"/>
      </w:pPr>
      <w:r>
        <w:t xml:space="preserve">Esta memoria evalúa la respuesta transversal del revestimiento circular del</w:t>
      </w:r>
      <w:r>
        <w:t xml:space="preserve"> </w:t>
      </w:r>
      <w:r>
        <w:t xml:space="preserve">túnel espesador San Francisco bajo el peso del relleno existente. El análisis</w:t>
      </w:r>
      <w:r>
        <w:t xml:space="preserve"> </w:t>
      </w:r>
      <w:r>
        <w:t xml:space="preserve">comprende la chapa de acero corrugada, una capa de hormigón proyectado simple y</w:t>
      </w:r>
      <w:r>
        <w:t xml:space="preserve"> </w:t>
      </w:r>
      <w:r>
        <w:t xml:space="preserve">una capa de hormigón proyectado armado. Para cada revestimiento se calculan la</w:t>
      </w:r>
      <w:r>
        <w:t xml:space="preserve"> </w:t>
      </w:r>
      <w:r>
        <w:t xml:space="preserve">fuerza circunferencial, el momento flector y la fuerza de corte por metro de</w:t>
      </w:r>
      <w:r>
        <w:t xml:space="preserve"> </w:t>
      </w:r>
      <w:r>
        <w:t xml:space="preserve">túnel; las comprobaciones resistentes emplean las propiedades de la sección</w:t>
      </w:r>
      <w:r>
        <w:t xml:space="preserve"> </w:t>
      </w:r>
      <w:r>
        <w:t xml:space="preserve">correspondiente.</w:t>
      </w:r>
    </w:p>
    <w:p>
      <w:pPr>
        <w:pStyle w:val="BodyText"/>
      </w:pPr>
      <w:r>
        <w:t xml:space="preserve">El alcance comprende la definición de las acciones permanentes, la interacción</w:t>
      </w:r>
      <w:r>
        <w:t xml:space="preserve"> </w:t>
      </w:r>
      <w:r>
        <w:t xml:space="preserve">elástica suelo–revestimiento, las resultantes</w:t>
      </w:r>
      <w:r>
        <w:t xml:space="preserve"> </w:t>
      </w:r>
      <m:oMath>
        <m:r>
          <m:t>N</m:t>
        </m:r>
      </m:oMath>
      <w:r>
        <w:t xml:space="preserve">–</w:t>
      </w:r>
      <m:oMath>
        <m:r>
          <m:t>M</m:t>
        </m:r>
      </m:oMath>
      <w:r>
        <w:t xml:space="preserve">–</w:t>
      </w:r>
      <m:oMath>
        <m:r>
          <m:t>Q</m:t>
        </m:r>
      </m:oMath>
      <w:r>
        <w:t xml:space="preserve">, la comprobación</w:t>
      </w:r>
      <w:r>
        <w:t xml:space="preserve"> </w:t>
      </w:r>
      <w:r>
        <w:t xml:space="preserve">de referencia del liner corrugado, la evaluación local del hormigón simple y</w:t>
      </w:r>
      <w:r>
        <w:t xml:space="preserve"> </w:t>
      </w:r>
      <w:r>
        <w:t xml:space="preserve">los dominios</w:t>
      </w:r>
      <w:r>
        <w:t xml:space="preserve"> </w:t>
      </w:r>
      <m:oMath>
        <m:r>
          <m:t>P</m:t>
        </m:r>
      </m:oMath>
      <w:r>
        <w:t xml:space="preserve">–</w:t>
      </w:r>
      <m:oMath>
        <m:r>
          <m:t>M</m:t>
        </m:r>
      </m:oMath>
      <w:r>
        <w:t xml:space="preserve"> </w:t>
      </w:r>
      <w:r>
        <w:t xml:space="preserve">de las mallas Ø8/150, Ø10/150 y Ø12/150 para espesores</w:t>
      </w:r>
      <w:r>
        <w:t xml:space="preserve"> </w:t>
      </w:r>
      <w:r>
        <w:t xml:space="preserve">de 100 y 150 mm, junto con el caso asimétrico de</w:t>
      </w:r>
      <w:r>
        <w:t xml:space="preserve"> </w:t>
      </w:r>
      <w:r>
        <w:t xml:space="preserve">chapa exterior y Ø8/150 interior.</w:t>
      </w:r>
      <w:r>
        <w:t xml:space="preserve"> </w:t>
      </w:r>
      <w:r>
        <w:t xml:space="preserve">Quedan fuera del alcance la selección de una armadura definitiva, el detalle</w:t>
      </w:r>
      <w:r>
        <w:t xml:space="preserve"> </w:t>
      </w:r>
      <w:r>
        <w:t xml:space="preserve">constructivo, la acreditación de la edición contractual de las normas y la</w:t>
      </w:r>
      <w:r>
        <w:t xml:space="preserve"> </w:t>
      </w:r>
      <w:r>
        <w:t xml:space="preserve">asignación de propiedades a la chapa y a sus uniones sin respaldo de la</w:t>
      </w:r>
      <w:r>
        <w:t xml:space="preserve"> </w:t>
      </w:r>
      <w:r>
        <w:t xml:space="preserve">inspección. Esas actividades corresponden a la etapa de diseño e inspección</w:t>
      </w:r>
      <w:r>
        <w:t xml:space="preserve"> </w:t>
      </w:r>
      <w:r>
        <w:t xml:space="preserve">posterior.</w:t>
      </w:r>
    </w:p>
    <w:p>
      <w:pPr>
        <w:pStyle w:val="BodyText"/>
      </w:pPr>
      <w:r>
        <w:t xml:space="preserve">El perfil longitudinal de la</w:t>
      </w:r>
      <w:r>
        <w:t xml:space="preserve"> </w:t>
      </w:r>
      <w:hyperlink w:anchor="fig-cover-section">
        <w:r>
          <w:rPr>
            <w:rStyle w:val="Hyperlink"/>
          </w:rPr>
          <w:t xml:space="preserve">figura 2.1</w:t>
        </w:r>
      </w:hyperlink>
      <w:r>
        <w:t xml:space="preserve"> </w:t>
      </w:r>
      <w:r>
        <w:t xml:space="preserve">muestra la variación de las</w:t>
      </w:r>
      <w:r>
        <w:t xml:space="preserve"> </w:t>
      </w:r>
      <w:r>
        <w:t xml:space="preserve">alturas sobre la clave. En el extremo izquierdo de la figura se superponen</w:t>
      </w:r>
      <w:r>
        <w:t xml:space="preserve"> </w:t>
      </w:r>
      <w:r>
        <w:t xml:space="preserve">3350</w:t>
      </w:r>
      <w:r>
        <w:t xml:space="preserve"> </w:t>
      </w:r>
      <w:r>
        <w:t xml:space="preserve">mm de lodo y</w:t>
      </w:r>
      <w:r>
        <w:t xml:space="preserve"> </w:t>
      </w:r>
      <w:r>
        <w:t xml:space="preserve">2350</w:t>
      </w:r>
      <w:r>
        <w:t xml:space="preserve"> </w:t>
      </w:r>
      <w:r>
        <w:t xml:space="preserve">mm de relleno, con una altura total de</w:t>
      </w:r>
      <w:r>
        <w:t xml:space="preserve"> </w:t>
      </w:r>
      <w:r>
        <w:t xml:space="preserve">5700</w:t>
      </w:r>
      <w:r>
        <w:t xml:space="preserve"> </w:t>
      </w:r>
      <w:r>
        <w:t xml:space="preserve">mm. Hacia el extremo derecho, las alturas respectivas son</w:t>
      </w:r>
      <w:r>
        <w:t xml:space="preserve"> </w:t>
      </w:r>
      <w:r>
        <w:t xml:space="preserve">6650</w:t>
      </w:r>
      <w:r>
        <w:t xml:space="preserve"> </w:t>
      </w:r>
      <w:r>
        <w:t xml:space="preserve">y</w:t>
      </w:r>
      <w:r>
        <w:t xml:space="preserve"> </w:t>
      </w:r>
      <w:r>
        <w:t xml:space="preserve">4400</w:t>
      </w:r>
      <w:r>
        <w:t xml:space="preserve"> </w:t>
      </w:r>
      <w:r>
        <w:t xml:space="preserve">mm, con un total de</w:t>
      </w:r>
      <w:r>
        <w:t xml:space="preserve"> </w:t>
      </w:r>
      <w:r>
        <w:t xml:space="preserve">11050</w:t>
      </w:r>
      <w:r>
        <w:t xml:space="preserve"> </w:t>
      </w:r>
      <w:r>
        <w:t xml:space="preserve">mm.</w:t>
      </w:r>
    </w:p>
    <w:tbl>
      <w:tblPr>
        <w:tblStyle w:val="Table"/>
        <w:tblLayout w:type="autofit"/>
        <w:tblLook w:firstRow="0" w:lastRow="0" w:firstColumn="0" w:lastColumn="0" w:noHBand="0" w:noVBand="0" w:val="0000"/>
      </w:tblPr>
      <w:tblGrid>
        <w:gridCol w:w="7920"/>
      </w:tblGrid>
      <w:tr>
        <w:tc>
          <w:tcPr/>
          <w:bookmarkStart w:id="28" w:name="fig-cover-section"/>
          <w:p>
            <w:pPr>
              <w:pStyle w:val="Compact"/>
              <w:jc w:val="center"/>
            </w:pPr>
            <w:r>
              <w:drawing>
                <wp:inline>
                  <wp:extent cx="5791200" cy="2606040"/>
                  <wp:effectExtent b="0" l="0" r="0" t="0"/>
                  <wp:docPr descr="" title="" id="26" name="Picture"/>
                  <a:graphic>
                    <a:graphicData uri="http://schemas.openxmlformats.org/drawingml/2006/picture">
                      <pic:pic>
                        <pic:nvPicPr>
                          <pic:cNvPr descr="_fig/section.jpeg" id="27" name="Picture"/>
                          <pic:cNvPicPr>
                            <a:picLocks noChangeArrowheads="1" noChangeAspect="1"/>
                          </pic:cNvPicPr>
                        </pic:nvPicPr>
                        <pic:blipFill>
                          <a:blip r:embed="rId25"/>
                          <a:stretch>
                            <a:fillRect/>
                          </a:stretch>
                        </pic:blipFill>
                        <pic:spPr bwMode="auto">
                          <a:xfrm>
                            <a:off x="0" y="0"/>
                            <a:ext cx="5791200" cy="2606040"/>
                          </a:xfrm>
                          <a:prstGeom prst="rect">
                            <a:avLst/>
                          </a:prstGeom>
                          <a:noFill/>
                          <a:ln w="9525">
                            <a:noFill/>
                            <a:headEnd/>
                            <a:tailEnd/>
                          </a:ln>
                        </pic:spPr>
                      </pic:pic>
                    </a:graphicData>
                  </a:graphic>
                </wp:inline>
              </w:drawing>
            </w:r>
          </w:p>
          <w:p>
            <w:pPr>
              <w:jc w:val="left"/>
              <w:pStyle w:val="ImageCaption"/>
            </w:pPr>
            <w:r>
              <w:t xml:space="preserve">Figura 2.1: Perfil longitudinal del túnel y de las capas suprayacentes. Las cotas resaltadas distinguen la capa superior de lodo y el relleno inferior empleados para interpretar las alturas sobre la clave.</w:t>
            </w:r>
          </w:p>
          <w:bookmarkEnd w:id="28"/>
        </w:tc>
      </w:tr>
    </w:tbl>
    <w:p>
      <w:pPr>
        <w:pStyle w:val="BodyText"/>
      </w:pPr>
      <w:r>
        <w:t xml:space="preserve">El escenario analizado adopta</w:t>
      </w:r>
      <w:r>
        <w:t xml:space="preserve"> </w:t>
      </w:r>
      <w:r>
        <w:t xml:space="preserve">5.7 m de lodo</w:t>
      </w:r>
      <w:r>
        <w:t xml:space="preserve"> </w:t>
      </w:r>
      <w:r>
        <w:t xml:space="preserve">y</w:t>
      </w:r>
      <w:r>
        <w:t xml:space="preserve"> </w:t>
      </w:r>
      <w:r>
        <w:t xml:space="preserve">5.7 m de relleno</w:t>
      </w:r>
      <w:r>
        <w:t xml:space="preserve"> </w:t>
      </w:r>
      <w:r>
        <w:t xml:space="preserve">sobre la clave. Esta idealización produce una presión vertical permanente en</w:t>
      </w:r>
      <w:r>
        <w:t xml:space="preserve"> </w:t>
      </w:r>
      <w:r>
        <w:t xml:space="preserve">la clave de</w:t>
      </w:r>
      <w:r>
        <w:t xml:space="preserve"> </w:t>
      </w:r>
      <w:r>
        <w:t xml:space="preserve">192.1 kPa;</w:t>
      </w:r>
      <w:r>
        <w:t xml:space="preserve"> </w:t>
      </w:r>
      <w:r>
        <w:t xml:space="preserve">con los mismos pesos unitarios, los dos extremos representados producen</w:t>
      </w:r>
      <w:r>
        <w:t xml:space="preserve"> </w:t>
      </w:r>
      <w:r>
        <w:t xml:space="preserve">93.9 y</w:t>
      </w:r>
      <w:r>
        <w:t xml:space="preserve"> </w:t>
      </w:r>
      <w:r>
        <w:t xml:space="preserve">181.4 kPa,</w:t>
      </w:r>
      <w:r>
        <w:t xml:space="preserve"> </w:t>
      </w:r>
      <w:r>
        <w:t xml:space="preserve">respectivamente. Por lo tanto, la acción adoptada envuelve la presión vertical</w:t>
      </w:r>
      <w:r>
        <w:t xml:space="preserve"> </w:t>
      </w:r>
      <w:r>
        <w:t xml:space="preserve">obtenida de las dos configuraciones del perfil. La</w:t>
      </w:r>
      <w:r>
        <w:t xml:space="preserve"> </w:t>
      </w:r>
      <w:hyperlink w:anchor="tbl-model-inputs">
        <w:r>
          <w:rPr>
            <w:rStyle w:val="Hyperlink"/>
          </w:rPr>
          <w:t xml:space="preserve">tabla 2.1</w:t>
        </w:r>
      </w:hyperlink>
      <w:r>
        <w:t xml:space="preserve"> </w:t>
      </w:r>
      <w:r>
        <w:t xml:space="preserve">resume</w:t>
      </w:r>
      <w:r>
        <w:t xml:space="preserve"> </w:t>
      </w:r>
      <w:r>
        <w:t xml:space="preserve">este escenario. La altura del relleno inferior se mide desde la clave y la</w:t>
      </w:r>
      <w:r>
        <w:t xml:space="preserve"> </w:t>
      </w:r>
      <w:r>
        <w:t xml:space="preserve">tensión del terreno se evalúa a la cota del centro del túnel. La presión</w:t>
      </w:r>
      <w:r>
        <w:t xml:space="preserve"> </w:t>
      </w:r>
      <w:r>
        <w:t xml:space="preserve">hidráulica neta se incorpora como una acción separada. La tensión horizontal</w:t>
      </w:r>
      <w:r>
        <w:t xml:space="preserve"> </w:t>
      </w:r>
      <w:r>
        <w:t xml:space="preserve">se obtiene mediante el coeficiente de presión en reposo</w:t>
      </w:r>
      <w:r>
        <w:t xml:space="preserve"> </w:t>
      </w:r>
      <m:oMath>
        <m:sSub>
          <m:e>
            <m:r>
              <m:t>K</m:t>
            </m:r>
          </m:e>
          <m:sub>
            <m:r>
              <m:t>0</m:t>
            </m:r>
          </m:sub>
        </m:sSub>
      </m:oMath>
      <w:r>
        <w:t xml:space="preserve">, definido como</w:t>
      </w:r>
      <w:r>
        <w:t xml:space="preserve"> </w:t>
      </w:r>
      <w:r>
        <w:t xml:space="preserve">la razón entre las tensiones efectivas horizontal y vertical.</w:t>
      </w:r>
    </w:p>
    <w:tbl>
      <w:tblPr>
        <w:tblStyle w:val="Table"/>
        <w:tblLayout w:type="autofit"/>
        <w:tblLook w:firstRow="0" w:lastRow="0" w:firstColumn="0" w:lastColumn="0" w:noHBand="0" w:noVBand="0" w:val="0000"/>
      </w:tblPr>
      <w:tblGrid>
        <w:gridCol w:w="7920"/>
      </w:tblGrid>
      <w:tr>
        <w:tc>
          <w:tcPr/>
          <w:bookmarkStart w:id="29" w:name="tbl-model-inputs"/>
          <w:p>
            <w:pPr>
              <w:jc w:val="left"/>
              <w:pStyle w:val="ImageCaption"/>
            </w:pPr>
            <w:r>
              <w:t xml:space="preserve">Tabla 2.1: Hipótesis geotécnicas y estado de tensiones empleado en el cálculo. La altura se mide desde la clave y las tensiones efectivas se evalúan en el centro del túnel. Las propiedades de cada revestimiento se presentan en los capítulos de verificación.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Altura del relleno inferior sobre la clave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Distancia de la clave al 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Peso unitario efectivo del relleno inferior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Altura de la capa superior de lodo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Peso unitario de la capa superior de lodo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Presión permanente de la capa superior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83.8469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Ángulo de fricción efectiva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p>
                      <m:e/>
                      <m:sup>
                        <m:r>
                          <m:t>∘</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Coeficiente de presión en reposo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0.455361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vertical efectiva en el 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217.132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horizontal efectiva en el 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98.8734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Presión hidráulica neta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Módulo de deformación del relleno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Coeficiente de Poisson del relleno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29"/>
          <w:p/>
        </w:tc>
      </w:tr>
    </w:tbl>
    <w:p>
      <w:pPr>
        <w:pStyle w:val="BodyText"/>
      </w:pPr>
      <w:r>
        <w:t xml:space="preserve">El informe geotécnico del sector identifica tres unidades y, conforme a la</w:t>
      </w:r>
      <w:r>
        <w:t xml:space="preserve"> </w:t>
      </w:r>
      <w:r>
        <w:t xml:space="preserve">posición del túnel, el terreno circundante corresponde a la segunda: el</w:t>
      </w:r>
      <w:r>
        <w:t xml:space="preserve"> </w:t>
      </w:r>
      <w:r>
        <w:t xml:space="preserve">depósito aluvial-coluvial, compuesto por gravas arenosas con finos de baja</w:t>
      </w:r>
      <w:r>
        <w:t xml:space="preserve"> </w:t>
      </w:r>
      <w:r>
        <w:t xml:space="preserve">plasticidad, clasificadas entre SC y GP-GC. Para esta unidad, la Tabla 3-13</w:t>
      </w:r>
      <w:r>
        <w:t xml:space="preserve"> </w:t>
      </w:r>
      <w:r>
        <w:t xml:space="preserve">adopta un peso unitario de</w:t>
      </w:r>
      <w:r>
        <w:t xml:space="preserve"> </w:t>
      </w:r>
      <m:oMath>
        <m:r>
          <m:t>19</m:t>
        </m:r>
        <m:r>
          <m:t> </m:t>
        </m:r>
        <m:r>
          <m:rPr>
            <m:sty m:val="p"/>
          </m:rPr>
          <m:t>k</m:t>
        </m:r>
        <m:r>
          <m:rPr>
            <m:sty m:val="p"/>
          </m:rPr>
          <m:t>N</m:t>
        </m:r>
        <m:r>
          <m:rPr>
            <m:sty m:val="p"/>
          </m:rPr>
          <m:t>/</m:t>
        </m:r>
        <m:sSup>
          <m:e>
            <m:r>
              <m:rPr>
                <m:sty m:val="p"/>
              </m:rPr>
              <m:t>m</m:t>
            </m:r>
          </m:e>
          <m:sup>
            <m:r>
              <m:rPr>
                <m:sty m:val="p"/>
              </m:rPr>
              <m:t>3</m:t>
            </m:r>
          </m:sup>
        </m:sSup>
      </m:oMath>
      <w:r>
        <w:t xml:space="preserve">, un ángulo de fricción</w:t>
      </w:r>
      <w:r>
        <w:t xml:space="preserve"> </w:t>
      </w:r>
      <w:r>
        <w:t xml:space="preserve">efectiva</w:t>
      </w:r>
      <w:r>
        <w:t xml:space="preserve"> </w:t>
      </w:r>
      <m:oMath>
        <m:sSup>
          <m:e>
            <m:r>
              <m:t>ϕ</m:t>
            </m:r>
          </m:e>
          <m:sup>
            <m:r>
              <m:rPr>
                <m:sty m:val="p"/>
              </m:rPr>
              <m:t>′</m:t>
            </m:r>
          </m:sup>
        </m:sSup>
        <m:r>
          <m:rPr>
            <m:sty m:val="p"/>
          </m:rPr>
          <m:t>=</m:t>
        </m:r>
        <m:sSup>
          <m:e>
            <m:r>
              <m:t>33</m:t>
            </m:r>
          </m:e>
          <m:sup>
            <m:r>
              <m:rPr>
                <m:sty m:val="p"/>
              </m:rPr>
              <m:t>∘</m:t>
            </m:r>
          </m:sup>
        </m:sSup>
      </m:oMath>
      <w:r>
        <w:t xml:space="preserve">, cohesión efectiva nula, coeficiente de Poisson</w:t>
      </w:r>
      <w:r>
        <w:t xml:space="preserve"> </w:t>
      </w:r>
      <m:oMath>
        <m:r>
          <m:t>ν</m:t>
        </m:r>
        <m:r>
          <m:rPr>
            <m:sty m:val="p"/>
          </m:rPr>
          <m:t>=</m:t>
        </m:r>
        <m:r>
          <m:t>0</m:t>
        </m:r>
        <m:r>
          <m:rPr>
            <m:sty m:val="p"/>
          </m:rPr>
          <m:t>,</m:t>
        </m:r>
        <m:r>
          <m:t>25</m:t>
        </m:r>
      </m:oMath>
      <w:r>
        <w:t xml:space="preserve"> </w:t>
      </w:r>
      <w:r>
        <w:t xml:space="preserve">y módulo secante de referencia</w:t>
      </w:r>
      <w:r>
        <w:t xml:space="preserve"> </w:t>
      </w:r>
      <m:oMath>
        <m:sSubSup>
          <m:e>
            <m:r>
              <m:t>E</m:t>
            </m:r>
          </m:e>
          <m:sub>
            <m:r>
              <m:t>s</m:t>
            </m:r>
          </m:sub>
          <m:sup>
            <m:r>
              <m:t>r</m:t>
            </m:r>
            <m:r>
              <m:t>e</m:t>
            </m:r>
            <m:r>
              <m:t>f</m:t>
            </m:r>
          </m:sup>
        </m:sSubSup>
        <m:r>
          <m:rPr>
            <m:sty m:val="p"/>
          </m:rPr>
          <m:t>=</m:t>
        </m:r>
        <m:r>
          <m:t>140</m:t>
        </m:r>
        <m:r>
          <m:t> </m:t>
        </m:r>
        <m:r>
          <m:rPr>
            <m:sty m:val="p"/>
          </m:rPr>
          <m:t>M</m:t>
        </m:r>
        <m:r>
          <m:rPr>
            <m:sty m:val="p"/>
          </m:rPr>
          <m:t>P</m:t>
        </m:r>
        <m:r>
          <m:rPr>
            <m:sty m:val="p"/>
          </m:rPr>
          <m:t>a</m:t>
        </m:r>
      </m:oMath>
      <w:r>
        <w:t xml:space="preserve">; las campañas de exploración no detectaron nivel</w:t>
      </w:r>
      <w:r>
        <w:t xml:space="preserve"> </w:t>
      </w:r>
      <w:r>
        <w:t xml:space="preserve">freático</w:t>
      </w:r>
      <w:r>
        <w:t xml:space="preserve"> </w:t>
      </w:r>
      <w:r>
        <w:t xml:space="preserve">(</w:t>
      </w:r>
      <w:hyperlink w:anchor="ref-SRKArgentina2026EISF">
        <w:r>
          <w:rPr>
            <w:rStyle w:val="Hyperlink"/>
          </w:rPr>
          <w:t xml:space="preserve">SRK Consulting (Argentina) S.A. 2026</w:t>
        </w:r>
      </w:hyperlink>
      <w:r>
        <w:t xml:space="preserve">)</w:t>
      </w:r>
      <w:r>
        <w:t xml:space="preserve">.</w:t>
      </w:r>
    </w:p>
    <w:p>
      <w:pPr>
        <w:pStyle w:val="BodyText"/>
      </w:pPr>
      <w:r>
        <w:t xml:space="preserve">El escenario analizado adopta de esta caracterización el peso unitario y el</w:t>
      </w:r>
      <w:r>
        <w:t xml:space="preserve"> </w:t>
      </w:r>
      <w:r>
        <w:t xml:space="preserve">ángulo de fricción efectiva. Utiliza</w:t>
      </w:r>
      <w:r>
        <w:t xml:space="preserve"> </w:t>
      </w:r>
      <m:oMath>
        <m:sSup>
          <m:e>
            <m:r>
              <m:t>ϕ</m:t>
            </m:r>
          </m:e>
          <m:sup>
            <m:r>
              <m:rPr>
                <m:sty m:val="p"/>
              </m:rPr>
              <m:t>′</m:t>
            </m:r>
          </m:sup>
        </m:sSup>
        <m:r>
          <m:rPr>
            <m:sty m:val="p"/>
          </m:rPr>
          <m:t>=</m:t>
        </m:r>
        <m:sSup>
          <m:e>
            <m:r>
              <m:t>33</m:t>
            </m:r>
          </m:e>
          <m:sup>
            <m:r>
              <m:rPr>
                <m:sty m:val="p"/>
              </m:rPr>
              <m:t>∘</m:t>
            </m:r>
          </m:sup>
        </m:sSup>
      </m:oMath>
      <w:r>
        <w:t xml:space="preserve"> </w:t>
      </w:r>
      <w:r>
        <w:t xml:space="preserve">y la relación de Jáky para una condición normalmente consolidada. La</w:t>
      </w:r>
      <w:r>
        <w:t xml:space="preserve"> </w:t>
      </w:r>
      <w:r>
        <w:t xml:space="preserve">presión hidráulica neta adoptada es</w:t>
      </w:r>
      <w:r>
        <w:t xml:space="preserve"> </w:t>
      </w:r>
      <w:r>
        <w:t xml:space="preserve">0.0</w:t>
      </w:r>
      <w:r>
        <w:t xml:space="preserve"> </w:t>
      </w:r>
      <w:r>
        <w:t xml:space="preserve">kPa. La relación utilizada para</w:t>
      </w:r>
      <w:r>
        <w:t xml:space="preserve"> </w:t>
      </w:r>
      <m:oMath>
        <m:sSub>
          <m:e>
            <m:r>
              <m:t>K</m:t>
            </m:r>
          </m:e>
          <m:sub>
            <m:r>
              <m:t>0</m:t>
            </m:r>
          </m:sub>
        </m:sSub>
      </m:oMath>
      <w:r>
        <w:t xml:space="preserve"> </w:t>
      </w:r>
      <w:r>
        <w:t xml:space="preserve">produce</w:t>
      </w:r>
      <w:r>
        <w:t xml:space="preserve"> </w:t>
      </w:r>
      <m:oMath>
        <m:sSub>
          <m:e>
            <m:r>
              <m:t>K</m:t>
            </m:r>
          </m:e>
          <m:sub>
            <m:r>
              <m:t>0</m:t>
            </m:r>
          </m:sub>
        </m:sSub>
        <m:r>
          <m:rPr>
            <m:sty m:val="p"/>
          </m:rPr>
          <m:t>=</m:t>
        </m:r>
        <m:r>
          <m:t>0.455361</m:t>
        </m:r>
      </m:oMath>
      <w:r>
        <w:t xml:space="preserve"> </w:t>
      </w:r>
      <w:r>
        <w:t xml:space="preserve">(</w:t>
      </w:r>
      <w:hyperlink w:anchor="ref-Michalowski2005">
        <w:r>
          <w:rPr>
            <w:rStyle w:val="Hyperlink"/>
          </w:rPr>
          <w:t xml:space="preserve">Michalowski 2005</w:t>
        </w:r>
      </w:hyperlink>
      <w:r>
        <w:t xml:space="preserve">;</w:t>
      </w:r>
      <w:r>
        <w:t xml:space="preserve"> </w:t>
      </w:r>
      <w:hyperlink w:anchor="ref-ChristopherEtAl2006">
        <w:r>
          <w:rPr>
            <w:rStyle w:val="Hyperlink"/>
          </w:rPr>
          <w:t xml:space="preserve">Christopher et al. 2006</w:t>
        </w:r>
      </w:hyperlink>
      <w:r>
        <w:t xml:space="preserve">)</w:t>
      </w:r>
      <w:r>
        <w:t xml:space="preserve">. Para la interacción</w:t>
      </w:r>
      <w:r>
        <w:t xml:space="preserve"> </w:t>
      </w:r>
      <w:r>
        <w:t xml:space="preserve">suelo–revestimiento se adopta un módulo elástico constante de</w:t>
      </w:r>
      <w:r>
        <w:t xml:space="preserve"> </w:t>
      </w:r>
      <w:r>
        <w:t xml:space="preserve">30</w:t>
      </w:r>
      <w:r>
        <w:t xml:space="preserve"> </w:t>
      </w:r>
      <w:r>
        <w:t xml:space="preserve">MPa. Este valor es una hipótesis específica del análisis y no una conversión</w:t>
      </w:r>
      <w:r>
        <w:t xml:space="preserve"> </w:t>
      </w:r>
      <w:r>
        <w:t xml:space="preserve">del módulo secante de referencia de 140 MPa, cuya aplicación depende del nivel</w:t>
      </w:r>
      <w:r>
        <w:t xml:space="preserve"> </w:t>
      </w:r>
      <w:r>
        <w:t xml:space="preserve">de tensiones y del modelo constitutivo. El módulo adoptado deberá confirmarse</w:t>
      </w:r>
      <w:r>
        <w:t xml:space="preserve"> </w:t>
      </w:r>
      <w:r>
        <w:t xml:space="preserve">con la caracterización geotécnica de diseño; la</w:t>
      </w:r>
      <w:r>
        <w:t xml:space="preserve"> </w:t>
      </w:r>
      <w:hyperlink w:anchor="sec-calculation-sensitivity">
        <w:r>
          <w:rPr>
            <w:rStyle w:val="Hyperlink"/>
          </w:rPr>
          <w:t xml:space="preserve">Capítulo 6</w:t>
        </w:r>
      </w:hyperlink>
      <w:r>
        <w:t xml:space="preserve"> </w:t>
      </w:r>
      <w:r>
        <w:t xml:space="preserve">cuantifica el efecto de esta hipótesis sobre las</w:t>
      </w:r>
      <w:r>
        <w:t xml:space="preserve"> </w:t>
      </w:r>
      <w:r>
        <w:t xml:space="preserve">verificaciones de los revestimientos.</w:t>
      </w:r>
    </w:p>
    <w:p>
      <w:pPr>
        <w:pStyle w:val="BodyText"/>
      </w:pPr>
      <w:r>
        <w:t xml:space="preserve">La interacción entre el relleno y cada revestimiento se representa mediante la</w:t>
      </w:r>
      <w:r>
        <w:t xml:space="preserve"> </w:t>
      </w:r>
      <w:r>
        <w:t xml:space="preserve">solución de carga externa de Schwartz–Einstein. Se calculan dos límites de</w:t>
      </w:r>
      <w:r>
        <w:t xml:space="preserve"> </w:t>
      </w:r>
      <w:r>
        <w:t xml:space="preserve">interfaz: deslizamiento libre y ausencia de deslizamiento. Ambos parten de la</w:t>
      </w:r>
      <w:r>
        <w:t xml:space="preserve"> </w:t>
      </w:r>
      <w:r>
        <w:t xml:space="preserve">misma tapada y del mismo estado geotécnico, pero utilizan el radio y las</w:t>
      </w:r>
      <w:r>
        <w:t xml:space="preserve"> </w:t>
      </w:r>
      <w:r>
        <w:t xml:space="preserve">rigideces propias de la chapa o de cada alternativa de hormigón. La comparación</w:t>
      </w:r>
      <w:r>
        <w:t xml:space="preserve"> </w:t>
      </w:r>
      <w:r>
        <w:t xml:space="preserve">muestra la sensibilidad de las resultantes a la rigidez relativa y al contacto.</w:t>
      </w:r>
    </w:p>
    <w:p>
      <w:pPr>
        <w:pStyle w:val="BodyText"/>
      </w:pPr>
      <w:r>
        <w:t xml:space="preserve">La chapa se comprueba con una comparación de referencia basada en las</w:t>
      </w:r>
      <w:r>
        <w:t xml:space="preserve"> </w:t>
      </w:r>
      <w:r>
        <w:t xml:space="preserve">expresiones documentadas por USACE, los parámetros AASHTO reproducidos por</w:t>
      </w:r>
      <w:r>
        <w:t xml:space="preserve"> </w:t>
      </w:r>
      <w:r>
        <w:t xml:space="preserve">Anderson et al. y las propiedades publicadas por CSPI</w:t>
      </w:r>
      <w:r>
        <w:t xml:space="preserve"> </w:t>
      </w:r>
      <w:r>
        <w:t xml:space="preserve">(</w:t>
      </w:r>
      <w:hyperlink w:anchor="ref-USACE2020">
        <w:r>
          <w:rPr>
            <w:rStyle w:val="Hyperlink"/>
          </w:rPr>
          <w:t xml:space="preserve">U.S. Army Corps of Engineers 2020</w:t>
        </w:r>
      </w:hyperlink>
      <w:r>
        <w:t xml:space="preserve">;</w:t>
      </w:r>
      <w:r>
        <w:t xml:space="preserve"> </w:t>
      </w:r>
      <w:hyperlink w:anchor="ref-AndersonEtAl2023">
        <w:r>
          <w:rPr>
            <w:rStyle w:val="Hyperlink"/>
          </w:rPr>
          <w:t xml:space="preserve">Anderson et al. 2023</w:t>
        </w:r>
      </w:hyperlink>
      <w:r>
        <w:t xml:space="preserve">;</w:t>
      </w:r>
      <w:r>
        <w:t xml:space="preserve"> </w:t>
      </w:r>
      <w:hyperlink w:anchor="ref-CSPIHandbookChapter2">
        <w:r>
          <w:rPr>
            <w:rStyle w:val="Hyperlink"/>
          </w:rPr>
          <w:t xml:space="preserve">Corrugated Steel Pipe Institute, s. f.-a</w:t>
        </w:r>
      </w:hyperlink>
      <w:r>
        <w:t xml:space="preserve">,</w:t>
      </w:r>
      <w:r>
        <w:t xml:space="preserve"> </w:t>
      </w:r>
      <w:hyperlink w:anchor="ref-CSPIHandbookChapter6">
        <w:r>
          <w:rPr>
            <w:rStyle w:val="Hyperlink"/>
          </w:rPr>
          <w:t xml:space="preserve">s. f.-b</w:t>
        </w:r>
      </w:hyperlink>
      <w:r>
        <w:t xml:space="preserve">)</w:t>
      </w:r>
      <w:r>
        <w:t xml:space="preserve">. Las acciones resistentes del revestimiento enterrado se</w:t>
      </w:r>
      <w:r>
        <w:t xml:space="preserve"> </w:t>
      </w:r>
      <w:r>
        <w:t xml:space="preserve">mayoran con los factores</w:t>
      </w:r>
      <w:r>
        <w:t xml:space="preserve"> </w:t>
      </w:r>
      <m:oMath>
        <m:r>
          <m:t>E</m:t>
        </m:r>
        <m:r>
          <m:t>V</m:t>
        </m:r>
        <m:r>
          <m:rPr>
            <m:sty m:val="p"/>
          </m:rPr>
          <m:t>/</m:t>
        </m:r>
        <m:r>
          <m:t>E</m:t>
        </m:r>
        <m:r>
          <m:t>H</m:t>
        </m:r>
      </m:oMath>
      <w:r>
        <w:t xml:space="preserve"> </w:t>
      </w:r>
      <w:r>
        <w:t xml:space="preserve">de AASHTO/CIRSOC y el hormigón se evalúa con</w:t>
      </w:r>
      <w:r>
        <w:t xml:space="preserve"> </w:t>
      </w:r>
      <w:r>
        <w:t xml:space="preserve">ACI 318-25</w:t>
      </w:r>
      <w:r>
        <w:t xml:space="preserve"> </w:t>
      </w:r>
      <w:r>
        <w:t xml:space="preserve">(</w:t>
      </w:r>
      <w:hyperlink w:anchor="ref-ACI31825">
        <w:r>
          <w:rPr>
            <w:rStyle w:val="Hyperlink"/>
          </w:rPr>
          <w:t xml:space="preserve">ACI Committee 318 2025</w:t>
        </w:r>
      </w:hyperlink>
      <w:r>
        <w:t xml:space="preserve">)</w:t>
      </w:r>
      <w:r>
        <w:t xml:space="preserve">. La memoria compara</w:t>
      </w:r>
      <w:r>
        <w:t xml:space="preserve"> </w:t>
      </w:r>
      <w:r>
        <w:t xml:space="preserve">3 mallas físicas en dominios</w:t>
      </w:r>
      <w:r>
        <w:t xml:space="preserve"> </w:t>
      </w:r>
      <w:r>
        <w:t xml:space="preserve">fuerza–momento para los dos espesores estudiados, sin adoptar una armadura</w:t>
      </w:r>
      <w:r>
        <w:t xml:space="preserve"> </w:t>
      </w:r>
      <w:r>
        <w:t xml:space="preserve">final. La especificación de</w:t>
      </w:r>
      <w:r>
        <w:t xml:space="preserve"> </w:t>
      </w:r>
      <w:r>
        <w:t xml:space="preserve">inspección establece las mediciones de espesor, geometría y uniones necesarias</w:t>
      </w:r>
      <w:r>
        <w:t xml:space="preserve"> </w:t>
      </w:r>
      <w:r>
        <w:t xml:space="preserve">para actualizar las propiedades del revestimiento existente.</w:t>
      </w:r>
    </w:p>
    <w:bookmarkEnd w:id="30"/>
    <w:bookmarkStart w:id="51" w:name="sec-calculation-model"/>
    <w:p>
      <w:pPr>
        <w:pStyle w:val="Heading1"/>
      </w:pPr>
      <w:r>
        <w:t xml:space="preserve">Modelo de cálculo</w:t>
      </w:r>
    </w:p>
    <w:p>
      <w:pPr>
        <w:pStyle w:val="FirstParagraph"/>
      </w:pPr>
      <w:r>
        <w:t xml:space="preserve">Este capítulo establece la base común para calcular la respuesta transversal</w:t>
      </w:r>
      <w:r>
        <w:t xml:space="preserve"> </w:t>
      </w:r>
      <w:r>
        <w:t xml:space="preserve">del túnel. Define las acciones permanentes, las convenciones de signo y las</w:t>
      </w:r>
      <w:r>
        <w:t xml:space="preserve"> </w:t>
      </w:r>
      <w:r>
        <w:t xml:space="preserve">rigideces de cada revestimiento; combina la interacción suelo–estructura de</w:t>
      </w:r>
      <w:r>
        <w:t xml:space="preserve"> </w:t>
      </w:r>
      <w:r>
        <w:t xml:space="preserve">Schwartz–Einstein con el gradiente geostático equilibrado; y controla las</w:t>
      </w:r>
      <w:r>
        <w:t xml:space="preserve"> </w:t>
      </w:r>
      <w:r>
        <w:t xml:space="preserve">resultantes mediante integración Runge–Kutta y reconstrucción de Fourier. Su</w:t>
      </w:r>
      <w:r>
        <w:t xml:space="preserve"> </w:t>
      </w:r>
      <w:r>
        <w:t xml:space="preserve">objetivo es obtener distribuciones coherentes de fuerza circunferencial,</w:t>
      </w:r>
      <w:r>
        <w:t xml:space="preserve"> </w:t>
      </w:r>
      <w:r>
        <w:t xml:space="preserve">momento y corte para la chapa y para cada espesor de shotcrete, considerando</w:t>
      </w:r>
      <w:r>
        <w:t xml:space="preserve"> </w:t>
      </w:r>
      <w:r>
        <w:t xml:space="preserve">los límites de interfaz con deslizamiento libre y sin deslizamiento.</w:t>
      </w:r>
    </w:p>
    <w:p>
      <w:pPr>
        <w:pStyle w:val="BodyText"/>
      </w:pPr>
      <w:r>
        <w:t xml:space="preserve">El terreno se representa mediante un estado efectivo biaxial uniforme en la</w:t>
      </w:r>
      <w:r>
        <w:t xml:space="preserve"> </w:t>
      </w:r>
      <w:r>
        <w:t xml:space="preserve">cota del centro del túnel. La demanda estructural de cada revestimiento se</w:t>
      </w:r>
      <w:r>
        <w:t xml:space="preserve"> </w:t>
      </w:r>
      <w:r>
        <w:t xml:space="preserve">obtiene con la solución de carga externa de Schwartz–Einstein, que relaciona</w:t>
      </w:r>
      <w:r>
        <w:t xml:space="preserve"> </w:t>
      </w:r>
      <w:r>
        <w:t xml:space="preserve">ese estado de campo libre con la rigidez propia del terreno y del anillo. Se</w:t>
      </w:r>
      <w:r>
        <w:t xml:space="preserve"> </w:t>
      </w:r>
      <w:r>
        <w:t xml:space="preserve">calculan los límites de interfaz con deslizamiento libre y sin deslizamiento.</w:t>
      </w:r>
      <w:r>
        <w:t xml:space="preserve"> </w:t>
      </w:r>
      <w:r>
        <w:t xml:space="preserve">La chapa, el hormigón proyectado simple y la familia de secciones armadas</w:t>
      </w:r>
      <w:r>
        <w:t xml:space="preserve"> </w:t>
      </w:r>
      <w:r>
        <w:t xml:space="preserve">comparten el estado geotécnico, pero cada una recalcula las razones de rigidez</w:t>
      </w:r>
      <w:r>
        <w:t xml:space="preserve"> </w:t>
      </w:r>
      <w:r>
        <w:t xml:space="preserve">y sus propias resultantes.</w:t>
      </w:r>
    </w:p>
    <w:p>
      <w:pPr>
        <w:pStyle w:val="BodyText"/>
      </w:pPr>
      <w:r>
        <w:t xml:space="preserve">Sobre la componente uniforme de Schwartz–Einstein se superpone la variación</w:t>
      </w:r>
      <w:r>
        <w:t xml:space="preserve"> </w:t>
      </w:r>
      <w:r>
        <w:t xml:space="preserve">lineal de las tensiones geostáticas entre clave y solera. La proyección de ese</w:t>
      </w:r>
      <w:r>
        <w:t xml:space="preserve"> </w:t>
      </w:r>
      <w:r>
        <w:t xml:space="preserve">gradiente sobre el contorno circular agrega los armónicos</w:t>
      </w:r>
      <w:r>
        <w:t xml:space="preserve"> </w:t>
      </w:r>
      <m:oMath>
        <m:r>
          <m:t>n</m:t>
        </m:r>
        <m:r>
          <m:rPr>
            <m:sty m:val="p"/>
          </m:rPr>
          <m:t>=</m:t>
        </m:r>
        <m:r>
          <m:t>1</m:t>
        </m:r>
      </m:oMath>
      <w:r>
        <w:t xml:space="preserve"> </w:t>
      </w:r>
      <w:r>
        <w:t xml:space="preserve">y</w:t>
      </w:r>
      <w:r>
        <w:t xml:space="preserve"> </w:t>
      </w:r>
      <m:oMath>
        <m:r>
          <m:t>n</m:t>
        </m:r>
        <m:r>
          <m:rPr>
            <m:sty m:val="p"/>
          </m:rPr>
          <m:t>=</m:t>
        </m:r>
        <m:r>
          <m:t>3</m:t>
        </m:r>
      </m:oMath>
      <w:r>
        <w:t xml:space="preserve">; una</w:t>
      </w:r>
      <w:r>
        <w:t xml:space="preserve"> </w:t>
      </w:r>
      <w:r>
        <w:t xml:space="preserve">reacción radial distribuida satisface el equilibrio global. La demanda de cada</w:t>
      </w:r>
      <w:r>
        <w:t xml:space="preserve"> </w:t>
      </w:r>
      <w:r>
        <w:t xml:space="preserve">revestimiento es la suma de la respuesta interactiva uniforme y de esta</w:t>
      </w:r>
      <w:r>
        <w:t xml:space="preserve"> </w:t>
      </w:r>
      <w:r>
        <w:t xml:space="preserve">corrección geostática equilibrada.</w:t>
      </w:r>
    </w:p>
    <w:p>
      <w:pPr>
        <w:pStyle w:val="BodyText"/>
      </w:pPr>
      <w:r>
        <w:t xml:space="preserve">La integración Runge–Kutta de cuarto orden resuelve las acciones perimetrales</w:t>
      </w:r>
      <w:r>
        <w:t xml:space="preserve"> </w:t>
      </w:r>
      <w:r>
        <w:t xml:space="preserve">prescritas como comprobación independiente del equilibrio. La solución cerrada</w:t>
      </w:r>
      <w:r>
        <w:t xml:space="preserve"> </w:t>
      </w:r>
      <w:r>
        <w:t xml:space="preserve">y la representación de Fourier reproducen los mismos campos: el estado</w:t>
      </w:r>
      <w:r>
        <w:t xml:space="preserve"> </w:t>
      </w:r>
      <w:r>
        <w:t xml:space="preserve">biaxial uniforme contiene los modos</w:t>
      </w:r>
      <w:r>
        <w:t xml:space="preserve"> </w:t>
      </w:r>
      <m:oMath>
        <m:r>
          <m:t>n</m:t>
        </m:r>
        <m:r>
          <m:rPr>
            <m:sty m:val="p"/>
          </m:rPr>
          <m:t>=</m:t>
        </m:r>
        <m:r>
          <m:t>0</m:t>
        </m:r>
        <m:r>
          <m:rPr>
            <m:sty m:val="p"/>
          </m:rPr>
          <m:t>,</m:t>
        </m:r>
        <m:r>
          <m:t>2</m:t>
        </m:r>
      </m:oMath>
      <w:r>
        <w:t xml:space="preserve"> </w:t>
      </w:r>
      <w:r>
        <w:t xml:space="preserve">y el gradiente lineal agrega los</w:t>
      </w:r>
      <w:r>
        <w:t xml:space="preserve"> </w:t>
      </w:r>
      <w:r>
        <w:t xml:space="preserve">modos</w:t>
      </w:r>
      <w:r>
        <w:t xml:space="preserve"> </w:t>
      </w:r>
      <m:oMath>
        <m:r>
          <m:t>n</m:t>
        </m:r>
        <m:r>
          <m:rPr>
            <m:sty m:val="p"/>
          </m:rPr>
          <m:t>=</m:t>
        </m:r>
        <m:r>
          <m:t>1</m:t>
        </m:r>
        <m:r>
          <m:rPr>
            <m:sty m:val="p"/>
          </m:rPr>
          <m:t>,</m:t>
        </m:r>
        <m:r>
          <m:t>3</m:t>
        </m:r>
      </m:oMath>
      <w:r>
        <w:t xml:space="preserve">. Cada término de Fourier es una componente armónica; los puntos</w:t>
      </w:r>
      <w:r>
        <w:t xml:space="preserve"> </w:t>
      </w:r>
      <w:r>
        <w:t xml:space="preserve">de la integración Runge–Kutta son pasos de discretización angular.</w:t>
      </w:r>
    </w:p>
    <w:p>
      <w:pPr>
        <w:pStyle w:val="BodyText"/>
      </w:pPr>
      <w:r>
        <w:t xml:space="preserve">La coordenada angular</w:t>
      </w:r>
      <w:r>
        <w:t xml:space="preserve"> </w:t>
      </w:r>
      <m:oMath>
        <m:r>
          <m:t>θ</m:t>
        </m:r>
      </m:oMath>
      <w:r>
        <w:t xml:space="preserve"> </w:t>
      </w:r>
      <w:r>
        <w:t xml:space="preserve">se mide desde la clave en sentido horario. El</w:t>
      </w:r>
      <w:r>
        <w:t xml:space="preserve"> </w:t>
      </w:r>
      <w:r>
        <w:t xml:space="preserve">vector radial</w:t>
      </w:r>
      <w:r>
        <w:t xml:space="preserve"> </w:t>
      </w:r>
      <m:oMath>
        <m:sSub>
          <m:e>
            <m:r>
              <m:rPr>
                <m:sty m:val="b"/>
              </m:rPr>
              <m:t>e</m:t>
            </m:r>
          </m:e>
          <m:sub>
            <m:r>
              <m:t>r</m:t>
            </m:r>
          </m:sub>
        </m:sSub>
      </m:oMath>
      <w:r>
        <w:t xml:space="preserve"> </w:t>
      </w:r>
      <w:r>
        <w:t xml:space="preserve">es positivo hacia el exterior del revestimiento y</w:t>
      </w:r>
      <w:r>
        <w:t xml:space="preserve"> </w:t>
      </w:r>
      <w:r>
        <w:t xml:space="preserve">el vector tangencial</w:t>
      </w:r>
      <w:r>
        <w:t xml:space="preserve"> </w:t>
      </w:r>
      <m:oMath>
        <m:sSub>
          <m:e>
            <m:r>
              <m:rPr>
                <m:sty m:val="b"/>
              </m:rPr>
              <m:t>e</m:t>
            </m:r>
          </m:e>
          <m:sub>
            <m:r>
              <m:t>t</m:t>
            </m:r>
          </m:sub>
        </m:sSub>
      </m:oMath>
      <w:r>
        <w:t xml:space="preserve"> </w:t>
      </w:r>
      <w:r>
        <w:t xml:space="preserve">sigue el sentido creciente de</w:t>
      </w:r>
      <w:r>
        <w:t xml:space="preserve"> </w:t>
      </w:r>
      <m:oMath>
        <m:r>
          <m:t>θ</m:t>
        </m:r>
      </m:oMath>
      <w:r>
        <w:t xml:space="preserve">.</w:t>
      </w:r>
      <w:r>
        <w:t xml:space="preserve"> </w:t>
      </w:r>
      <w:r>
        <w:t xml:space="preserve">Así,</w:t>
      </w:r>
      <w:r>
        <w:t xml:space="preserve"> </w:t>
      </w:r>
      <m:oMath>
        <m:sSub>
          <m:e>
            <m:r>
              <m:t>P</m:t>
            </m:r>
          </m:e>
          <m:sub>
            <m:r>
              <m:t>r</m:t>
            </m:r>
          </m:sub>
        </m:sSub>
        <m:r>
          <m:rPr>
            <m:sty m:val="p"/>
          </m:rPr>
          <m:t>&gt;</m:t>
        </m:r>
        <m:r>
          <m:t>0</m:t>
        </m:r>
      </m:oMath>
      <w:r>
        <w:t xml:space="preserve"> </w:t>
      </w:r>
      <w:r>
        <w:t xml:space="preserve">actúa hacia el exterior y</w:t>
      </w:r>
      <w:r>
        <w:t xml:space="preserve"> </w:t>
      </w:r>
      <m:oMath>
        <m:sSub>
          <m:e>
            <m:r>
              <m:t>P</m:t>
            </m:r>
          </m:e>
          <m:sub>
            <m:r>
              <m:t>t</m:t>
            </m:r>
          </m:sub>
        </m:sSub>
        <m:r>
          <m:rPr>
            <m:sty m:val="p"/>
          </m:rPr>
          <m:t>&gt;</m:t>
        </m:r>
        <m:r>
          <m:t>0</m:t>
        </m:r>
      </m:oMath>
      <w:r>
        <w:t xml:space="preserve"> </w:t>
      </w:r>
      <w:r>
        <w:t xml:space="preserve">actúa en la dirección de</w:t>
      </w:r>
      <w:r>
        <w:t xml:space="preserve"> </w:t>
      </w:r>
      <m:oMath>
        <m:sSub>
          <m:e>
            <m:r>
              <m:rPr>
                <m:sty m:val="b"/>
              </m:rPr>
              <m:t>e</m:t>
            </m:r>
          </m:e>
          <m:sub>
            <m:r>
              <m:t>t</m:t>
            </m:r>
          </m:sub>
        </m:sSub>
      </m:oMath>
      <w:r>
        <w:t xml:space="preserve">.</w:t>
      </w:r>
    </w:p>
    <w:p>
      <w:pPr>
        <w:pStyle w:val="BodyText"/>
      </w:pPr>
      <w:r>
        <w:t xml:space="preserve">La fuerza circunferencial</w:t>
      </w:r>
      <w:r>
        <w:t xml:space="preserve"> </w:t>
      </w:r>
      <m:oMath>
        <m:sSub>
          <m:e>
            <m:r>
              <m:t>N</m:t>
            </m:r>
          </m:e>
          <m:sub>
            <m:r>
              <m:t>θ</m:t>
            </m:r>
          </m:sub>
        </m:sSub>
      </m:oMath>
      <w:r>
        <w:t xml:space="preserve"> </w:t>
      </w:r>
      <w:r>
        <w:t xml:space="preserve">es positiva a tracción. La coordenada</w:t>
      </w:r>
      <w:r>
        <w:t xml:space="preserve"> </w:t>
      </w:r>
      <w:r>
        <w:t xml:space="preserve">seccional</w:t>
      </w:r>
      <w:r>
        <w:t xml:space="preserve"> </w:t>
      </w:r>
      <m:oMath>
        <m:r>
          <m:t>ξ</m:t>
        </m:r>
      </m:oMath>
      <w:r>
        <w:t xml:space="preserve"> </w:t>
      </w:r>
      <w:r>
        <w:t xml:space="preserve">se mide desde el baricentro de la pared y es positiva hacia la</w:t>
      </w:r>
      <w:r>
        <w:t xml:space="preserve"> </w:t>
      </w:r>
      <w:r>
        <w:t xml:space="preserve">cara interior; por esta convención,</w:t>
      </w:r>
      <w:r>
        <w:t xml:space="preserve"> </w:t>
      </w:r>
      <m:oMath>
        <m:sSub>
          <m:e>
            <m:r>
              <m:t>M</m:t>
            </m:r>
          </m:e>
          <m:sub>
            <m:r>
              <m:t>θ</m:t>
            </m:r>
          </m:sub>
        </m:sSub>
        <m:r>
          <m:rPr>
            <m:sty m:val="p"/>
          </m:rPr>
          <m:t>&gt;</m:t>
        </m:r>
        <m:r>
          <m:t>0</m:t>
        </m:r>
      </m:oMath>
      <w:r>
        <w:t xml:space="preserve"> </w:t>
      </w:r>
      <w:r>
        <w:t xml:space="preserve">produce tracción en esa cara.</w:t>
      </w:r>
      <w:r>
        <w:t xml:space="preserve"> </w:t>
      </w:r>
      <w:r>
        <w:t xml:space="preserve">En la cara positiva de un elemento diferencial,</w:t>
      </w:r>
      <w:r>
        <w:t xml:space="preserve"> </w:t>
      </w:r>
      <m:oMath>
        <m:sSub>
          <m:e>
            <m:r>
              <m:t>Q</m:t>
            </m:r>
          </m:e>
          <m:sub>
            <m:r>
              <m:t>θ</m:t>
            </m:r>
          </m:sub>
        </m:sSub>
        <m:r>
          <m:rPr>
            <m:sty m:val="p"/>
          </m:rPr>
          <m:t>&gt;</m:t>
        </m:r>
        <m:r>
          <m:t>0</m:t>
        </m:r>
      </m:oMath>
      <w:r>
        <w:t xml:space="preserve"> </w:t>
      </w:r>
      <w:r>
        <w:t xml:space="preserve">actúa hacia el</w:t>
      </w:r>
      <w:r>
        <w:t xml:space="preserve"> </w:t>
      </w:r>
      <w:r>
        <w:t xml:space="preserve">centro de la sección circular.</w:t>
      </w:r>
      <w:r>
        <w:t xml:space="preserve"> </w:t>
      </w:r>
      <m:oMath>
        <m:sSub>
          <m:e>
            <m:r>
              <m:t>P</m:t>
            </m:r>
          </m:e>
          <m:sub>
            <m:r>
              <m:t>r</m:t>
            </m:r>
          </m:sub>
        </m:sSub>
      </m:oMath>
      <w:r>
        <w:t xml:space="preserve"> </w:t>
      </w:r>
      <w:r>
        <w:t xml:space="preserve">y</w:t>
      </w:r>
      <w:r>
        <w:t xml:space="preserve"> </w:t>
      </w:r>
      <m:oMath>
        <m:sSub>
          <m:e>
            <m:r>
              <m:t>P</m:t>
            </m:r>
          </m:e>
          <m:sub>
            <m:r>
              <m:t>t</m:t>
            </m:r>
          </m:sub>
        </m:sSub>
      </m:oMath>
      <w:r>
        <w:t xml:space="preserve"> </w:t>
      </w:r>
      <w:r>
        <w:t xml:space="preserve">se expresan en kPa,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w:t>
      </w:r>
      <w:r>
        <w:t xml:space="preserve">en kN/m, y</w:t>
      </w:r>
      <w:r>
        <w:t xml:space="preserve"> </w:t>
      </w:r>
      <m:oMath>
        <m:sSub>
          <m:e>
            <m:r>
              <m:t>M</m:t>
            </m:r>
          </m:e>
          <m:sub>
            <m:r>
              <m:t>θ</m:t>
            </m:r>
          </m:sub>
        </m:sSub>
      </m:oMath>
      <w:r>
        <w:t xml:space="preserve"> </w:t>
      </w:r>
      <w:r>
        <w:t xml:space="preserve">en kN·m/m.</w:t>
      </w:r>
    </w:p>
    <w:p>
      <w:pPr>
        <w:pStyle w:val="BodyText"/>
      </w:pPr>
      <w:r>
        <w:t xml:space="preserve">Para una posición angular fija,</w:t>
      </w:r>
      <w:r>
        <w:t xml:space="preserve"> </w:t>
      </w:r>
      <m:oMath>
        <m:sSub>
          <m:e>
            <m:r>
              <m:t>A</m:t>
            </m:r>
          </m:e>
          <m:sub>
            <m:r>
              <m:t>b</m:t>
            </m:r>
          </m:sub>
        </m:sSub>
      </m:oMath>
      <w:r>
        <w:t xml:space="preserve"> </w:t>
      </w:r>
      <w:r>
        <w:t xml:space="preserve">es el dominio material de una franja de</w:t>
      </w:r>
      <w:r>
        <w:t xml:space="preserve"> </w:t>
      </w:r>
      <w:r>
        <w:t xml:space="preserve">ancho axial proyectado</w:t>
      </w:r>
      <w:r>
        <w:t xml:space="preserve"> </w:t>
      </w:r>
      <m:oMath>
        <m:r>
          <m:t>b</m:t>
        </m:r>
      </m:oMath>
      <w:r>
        <w:t xml:space="preserve"> </w:t>
      </w:r>
      <w:r>
        <w:t xml:space="preserve">en un corte normal a la dirección circunferencial.</w:t>
      </w:r>
      <w:r>
        <w:t xml:space="preserve"> </w:t>
      </w:r>
      <w:r>
        <w:t xml:space="preserve">La coordenada</w:t>
      </w:r>
      <w:r>
        <w:t xml:space="preserve"> </w:t>
      </w:r>
      <m:oMath>
        <m:sSub>
          <m:e>
            <m:r>
              <m:t>x</m:t>
            </m:r>
          </m:e>
          <m:sub>
            <m:r>
              <m:t>L</m:t>
            </m:r>
          </m:sub>
        </m:sSub>
      </m:oMath>
      <w:r>
        <w:t xml:space="preserve"> </w:t>
      </w:r>
      <w:r>
        <w:t xml:space="preserve">sigue el eje del túnel y</w:t>
      </w:r>
      <w:r>
        <w:t xml:space="preserve"> </w:t>
      </w:r>
      <m:oMath>
        <m:r>
          <m:t>d</m:t>
        </m:r>
        <m:r>
          <m:t>A</m:t>
        </m:r>
        <m:r>
          <m:rPr>
            <m:sty m:val="p"/>
          </m:rPr>
          <m:t>=</m:t>
        </m:r>
        <m:r>
          <m:t>d</m:t>
        </m:r>
        <m:sSub>
          <m:e>
            <m:r>
              <m:t>x</m:t>
            </m:r>
          </m:e>
          <m:sub>
            <m:r>
              <m:t>L</m:t>
            </m:r>
          </m:sub>
        </m:sSub>
        <m:r>
          <m:t> </m:t>
        </m:r>
        <m:r>
          <m:t>d</m:t>
        </m:r>
        <m:r>
          <m:t>ξ</m:t>
        </m:r>
      </m:oMath>
      <w:r>
        <w:t xml:space="preserve">. Las resultantes</w:t>
      </w:r>
      <w:r>
        <w:t xml:space="preserve"> </w:t>
      </w:r>
      <w:r>
        <w:t xml:space="preserve">por unidad de ancho se definen como</w:t>
      </w:r>
    </w:p>
    <w:p>
      <w:pPr>
        <w:pStyle w:val="BodyText"/>
      </w:pPr>
      <w:bookmarkStart w:id="31" w:name="eq-calculation-resultant-definitions"/>
      <m:oMathPara>
        <m:oMathParaPr>
          <m:jc m:val="center"/>
        </m:oMathParaPr>
        <m:oMath>
          <m:eqArr>
            <m:e>
              <m:sSub>
                <m:e>
                  <m:r>
                    <m:t>N</m:t>
                  </m:r>
                </m:e>
                <m:sub>
                  <m:r>
                    <m:t>θ</m:t>
                  </m:r>
                </m:sub>
              </m:sSub>
              <m:r>
                <m:rPr>
                  <m:sty m:val="p"/>
                </m:rPr>
                <m:t>(</m:t>
              </m:r>
              <m:r>
                <m:t>θ</m:t>
              </m:r>
              <m:r>
                <m:rPr>
                  <m:sty m:val="p"/>
                </m:rPr>
                <m:t>)</m:t>
              </m:r>
              <m:r>
                <m:t>&amp;</m:t>
              </m:r>
              <m:r>
                <m:rPr>
                  <m:sty m:val="p"/>
                </m:rPr>
                <m:t>=</m:t>
              </m:r>
              <m:f>
                <m:fPr>
                  <m:type m:val="bar"/>
                </m:fPr>
                <m:num>
                  <m:r>
                    <m:t>1</m:t>
                  </m:r>
                </m:num>
                <m:den>
                  <m:r>
                    <m:t>b</m:t>
                  </m:r>
                </m:den>
              </m:f>
              <m:nary>
                <m:naryPr>
                  <m:chr m:val="∬"/>
                  <m:limLoc m:val="subSup"/>
                  <m:subHide m:val="off"/>
                  <m:supHide m:val="on"/>
                </m:naryPr>
                <m:sub>
                  <m:sSub>
                    <m:e>
                      <m:r>
                        <m:t>A</m:t>
                      </m:r>
                    </m:e>
                    <m:sub>
                      <m:r>
                        <m:t>b</m:t>
                      </m:r>
                    </m:sub>
                  </m:sSub>
                </m:sub>
                <m:sup>
                  <m:r>
                    <m:t>​</m:t>
                  </m:r>
                </m:sup>
                <m:e>
                  <m:sSub>
                    <m:e>
                      <m:r>
                        <m:t>σ</m:t>
                      </m:r>
                    </m:e>
                    <m:sub>
                      <m:r>
                        <m:t>θ</m:t>
                      </m:r>
                    </m:sub>
                  </m:sSub>
                </m:e>
              </m:nary>
              <m:r>
                <m:rPr>
                  <m:sty m:val="p"/>
                </m:rPr>
                <m:t>(</m:t>
              </m:r>
              <m:r>
                <m:t>θ</m:t>
              </m:r>
              <m:r>
                <m:rPr>
                  <m:sty m:val="p"/>
                </m:rPr>
                <m:t>,</m:t>
              </m:r>
              <m:sSub>
                <m:e>
                  <m:r>
                    <m:t>x</m:t>
                  </m:r>
                </m:e>
                <m:sub>
                  <m:r>
                    <m:t>L</m:t>
                  </m:r>
                </m:sub>
              </m:sSub>
              <m:r>
                <m:rPr>
                  <m:sty m:val="p"/>
                </m:rPr>
                <m:t>,</m:t>
              </m:r>
              <m:r>
                <m:t>ξ</m:t>
              </m:r>
              <m:r>
                <m:rPr>
                  <m:sty m:val="p"/>
                </m:rPr>
                <m:t>)</m:t>
              </m:r>
              <m:r>
                <m:t> </m:t>
              </m:r>
              <m:r>
                <m:t>d</m:t>
              </m:r>
              <m:r>
                <m:t>A</m:t>
              </m:r>
              <m:r>
                <m:rPr>
                  <m:sty m:val="p"/>
                </m:rPr>
                <m:t>,</m:t>
              </m:r>
            </m:e>
            <m:e>
              <m:sSub>
                <m:e>
                  <m:r>
                    <m:t>M</m:t>
                  </m:r>
                </m:e>
                <m:sub>
                  <m:r>
                    <m:t>θ</m:t>
                  </m:r>
                </m:sub>
              </m:sSub>
              <m:r>
                <m:rPr>
                  <m:sty m:val="p"/>
                </m:rPr>
                <m:t>(</m:t>
              </m:r>
              <m:r>
                <m:t>θ</m:t>
              </m:r>
              <m:r>
                <m:rPr>
                  <m:sty m:val="p"/>
                </m:rPr>
                <m:t>)</m:t>
              </m:r>
              <m:r>
                <m:t>&amp;</m:t>
              </m:r>
              <m:r>
                <m:rPr>
                  <m:sty m:val="p"/>
                </m:rPr>
                <m:t>=</m:t>
              </m:r>
              <m:f>
                <m:fPr>
                  <m:type m:val="bar"/>
                </m:fPr>
                <m:num>
                  <m:r>
                    <m:t>1</m:t>
                  </m:r>
                </m:num>
                <m:den>
                  <m:r>
                    <m:t>b</m:t>
                  </m:r>
                </m:den>
              </m:f>
              <m:nary>
                <m:naryPr>
                  <m:chr m:val="∬"/>
                  <m:limLoc m:val="subSup"/>
                  <m:subHide m:val="off"/>
                  <m:supHide m:val="on"/>
                </m:naryPr>
                <m:sub>
                  <m:sSub>
                    <m:e>
                      <m:r>
                        <m:t>A</m:t>
                      </m:r>
                    </m:e>
                    <m:sub>
                      <m:r>
                        <m:t>b</m:t>
                      </m:r>
                    </m:sub>
                  </m:sSub>
                </m:sub>
                <m:sup>
                  <m:r>
                    <m:t>​</m:t>
                  </m:r>
                </m:sup>
                <m:e>
                  <m:sSub>
                    <m:e>
                      <m:r>
                        <m:t>σ</m:t>
                      </m:r>
                    </m:e>
                    <m:sub>
                      <m:r>
                        <m:t>θ</m:t>
                      </m:r>
                    </m:sub>
                  </m:sSub>
                </m:e>
              </m:nary>
              <m:r>
                <m:rPr>
                  <m:sty m:val="p"/>
                </m:rPr>
                <m:t>(</m:t>
              </m:r>
              <m:r>
                <m:t>θ</m:t>
              </m:r>
              <m:r>
                <m:rPr>
                  <m:sty m:val="p"/>
                </m:rPr>
                <m:t>,</m:t>
              </m:r>
              <m:sSub>
                <m:e>
                  <m:r>
                    <m:t>x</m:t>
                  </m:r>
                </m:e>
                <m:sub>
                  <m:r>
                    <m:t>L</m:t>
                  </m:r>
                </m:sub>
              </m:sSub>
              <m:r>
                <m:rPr>
                  <m:sty m:val="p"/>
                </m:rPr>
                <m:t>,</m:t>
              </m:r>
              <m:r>
                <m:t>ξ</m:t>
              </m:r>
              <m:r>
                <m:rPr>
                  <m:sty m:val="p"/>
                </m:rPr>
                <m:t>)</m:t>
              </m:r>
              <m:r>
                <m:t> </m:t>
              </m:r>
              <m:r>
                <m:t>ξ</m:t>
              </m:r>
              <m:r>
                <m:t> </m:t>
              </m:r>
              <m:r>
                <m:t>d</m:t>
              </m:r>
              <m:r>
                <m:t>A</m:t>
              </m:r>
              <m:r>
                <m:rPr>
                  <m:sty m:val="p"/>
                </m:rPr>
                <m:t>,</m:t>
              </m:r>
            </m:e>
            <m:e>
              <m:sSub>
                <m:e>
                  <m:r>
                    <m:t>Q</m:t>
                  </m:r>
                </m:e>
                <m:sub>
                  <m:r>
                    <m:t>θ</m:t>
                  </m:r>
                </m:sub>
              </m:sSub>
              <m:r>
                <m:rPr>
                  <m:sty m:val="p"/>
                </m:rPr>
                <m:t>(</m:t>
              </m:r>
              <m:r>
                <m:t>θ</m:t>
              </m:r>
              <m:r>
                <m:rPr>
                  <m:sty m:val="p"/>
                </m:rPr>
                <m:t>)</m:t>
              </m:r>
              <m:r>
                <m:t>&amp;</m:t>
              </m:r>
              <m:r>
                <m:rPr>
                  <m:sty m:val="p"/>
                </m:rPr>
                <m:t>=</m:t>
              </m:r>
              <m:f>
                <m:fPr>
                  <m:type m:val="bar"/>
                </m:fPr>
                <m:num>
                  <m:r>
                    <m:t>1</m:t>
                  </m:r>
                </m:num>
                <m:den>
                  <m:r>
                    <m:t>b</m:t>
                  </m:r>
                </m:den>
              </m:f>
              <m:nary>
                <m:naryPr>
                  <m:chr m:val="∬"/>
                  <m:limLoc m:val="subSup"/>
                  <m:subHide m:val="off"/>
                  <m:supHide m:val="on"/>
                </m:naryPr>
                <m:sub>
                  <m:sSub>
                    <m:e>
                      <m:r>
                        <m:t>A</m:t>
                      </m:r>
                    </m:e>
                    <m:sub>
                      <m:r>
                        <m:t>b</m:t>
                      </m:r>
                    </m:sub>
                  </m:sSub>
                </m:sub>
                <m:sup>
                  <m:r>
                    <m:t>​</m:t>
                  </m:r>
                </m:sup>
                <m:e>
                  <m:sSub>
                    <m:e>
                      <m:r>
                        <m:t>τ</m:t>
                      </m:r>
                    </m:e>
                    <m:sub>
                      <m:r>
                        <m:t>θ</m:t>
                      </m:r>
                      <m:r>
                        <m:t>ξ</m:t>
                      </m:r>
                    </m:sub>
                  </m:sSub>
                </m:e>
              </m:nary>
              <m:r>
                <m:rPr>
                  <m:sty m:val="p"/>
                </m:rPr>
                <m:t>(</m:t>
              </m:r>
              <m:r>
                <m:t>θ</m:t>
              </m:r>
              <m:r>
                <m:rPr>
                  <m:sty m:val="p"/>
                </m:rPr>
                <m:t>,</m:t>
              </m:r>
              <m:sSub>
                <m:e>
                  <m:r>
                    <m:t>x</m:t>
                  </m:r>
                </m:e>
                <m:sub>
                  <m:r>
                    <m:t>L</m:t>
                  </m:r>
                </m:sub>
              </m:sSub>
              <m:r>
                <m:rPr>
                  <m:sty m:val="p"/>
                </m:rPr>
                <m:t>,</m:t>
              </m:r>
              <m:r>
                <m:t>ξ</m:t>
              </m:r>
              <m:r>
                <m:rPr>
                  <m:sty m:val="p"/>
                </m:rPr>
                <m:t>)</m:t>
              </m:r>
              <m:r>
                <m:t> </m:t>
              </m:r>
              <m:r>
                <m:t>d</m:t>
              </m:r>
              <m:r>
                <m:t>A</m:t>
              </m:r>
              <m:r>
                <m:rPr>
                  <m:sty m:val="p"/>
                </m:rPr>
                <m:t>.</m:t>
              </m:r>
            </m:e>
          </m:eqArr>
          <m:r>
            <m:t>  </m:t>
          </m:r>
          <m:r>
            <m:rPr>
              <m:sty m:val="p"/>
            </m:rPr>
            <m:t>(</m:t>
          </m:r>
          <m:r>
            <m:t>3.1</m:t>
          </m:r>
          <m:r>
            <m:rPr>
              <m:sty m:val="p"/>
            </m:rPr>
            <m:t>)</m:t>
          </m:r>
        </m:oMath>
      </m:oMathPara>
      <w:bookmarkEnd w:id="31"/>
    </w:p>
    <w:p>
      <w:pPr>
        <w:pStyle w:val="FirstParagraph"/>
      </w:pPr>
      <w:r>
        <w:t xml:space="preserve">El origen de</w:t>
      </w:r>
      <w:r>
        <w:t xml:space="preserve"> </w:t>
      </w:r>
      <m:oMath>
        <m:r>
          <m:t>ξ</m:t>
        </m:r>
      </m:oMath>
      <w:r>
        <w:t xml:space="preserve"> </w:t>
      </w:r>
      <w:r>
        <w:t xml:space="preserve">satisface</w:t>
      </w:r>
      <w:r>
        <w:t xml:space="preserve"> </w:t>
      </w:r>
      <m:oMath>
        <m:nary>
          <m:naryPr>
            <m:chr m:val="∬"/>
            <m:limLoc m:val="subSup"/>
            <m:subHide m:val="off"/>
            <m:supHide m:val="on"/>
          </m:naryPr>
          <m:sub>
            <m:sSub>
              <m:e>
                <m:r>
                  <m:t>A</m:t>
                </m:r>
              </m:e>
              <m:sub>
                <m:r>
                  <m:t>b</m:t>
                </m:r>
              </m:sub>
            </m:sSub>
          </m:sub>
          <m:sup>
            <m:r>
              <m:t>​</m:t>
            </m:r>
          </m:sup>
          <m:e>
            <m:r>
              <m:t>ξ</m:t>
            </m:r>
          </m:e>
        </m:nary>
        <m:r>
          <m:t> </m:t>
        </m:r>
        <m:r>
          <m:t>d</m:t>
        </m:r>
        <m:r>
          <m:t>A</m:t>
        </m:r>
        <m:r>
          <m:rPr>
            <m:sty m:val="p"/>
          </m:rPr>
          <m:t>=</m:t>
        </m:r>
        <m:r>
          <m:t>0</m:t>
        </m:r>
      </m:oMath>
      <w:r>
        <w:t xml:space="preserve">. Cada integral se evalúa</w:t>
      </w:r>
      <w:r>
        <w:t xml:space="preserve"> </w:t>
      </w:r>
      <w:r>
        <w:t xml:space="preserve">sobre la sección resistente en una posición angular determinada; la variación</w:t>
      </w:r>
      <w:r>
        <w:t xml:space="preserve"> </w:t>
      </w:r>
      <w:r>
        <w:t xml:space="preserve">alrededor del túnel se obtiene repitiendo la evaluación para todo</w:t>
      </w:r>
      <w:r>
        <w:t xml:space="preserve"> </w:t>
      </w:r>
      <m:oMath>
        <m:r>
          <m:t>θ</m:t>
        </m:r>
      </m:oMath>
      <w:r>
        <w:t xml:space="preserve">.</w:t>
      </w:r>
    </w:p>
    <w:p>
      <w:pPr>
        <w:pStyle w:val="BodyText"/>
      </w:pPr>
      <w:r>
        <w:t xml:space="preserve">El estado de cálculo se define mediante las tensiones efectivas en la cota del</w:t>
      </w:r>
      <w:r>
        <w:t xml:space="preserve"> </w:t>
      </w:r>
      <w:r>
        <w:t xml:space="preserve">centro del túnel, antes de introducir el revestimiento.</w:t>
      </w:r>
      <w:r>
        <w:t xml:space="preserve"> </w:t>
      </w:r>
      <m:oMath>
        <m:sSub>
          <m:e>
            <m:r>
              <m:t>H</m:t>
            </m:r>
          </m:e>
          <m:sub>
            <m:r>
              <m:t>0</m:t>
            </m:r>
          </m:sub>
        </m:sSub>
      </m:oMath>
      <w:r>
        <w:t xml:space="preserve"> </w:t>
      </w:r>
      <w:r>
        <w:t xml:space="preserve">es la altura del</w:t>
      </w:r>
      <w:r>
        <w:t xml:space="preserve"> </w:t>
      </w:r>
      <w:r>
        <w:t xml:space="preserve">relleno compactado comprendido entre la clave y la base de la capa superior de</w:t>
      </w:r>
      <w:r>
        <w:t xml:space="preserve"> </w:t>
      </w:r>
      <w:r>
        <w:t xml:space="preserve">lodo;</w:t>
      </w:r>
      <w:r>
        <w:t xml:space="preserve"> </w:t>
      </w:r>
      <m:oMath>
        <m:sSub>
          <m:e>
            <m:r>
              <m:t>H</m:t>
            </m:r>
          </m:e>
          <m:sub>
            <m:r>
              <m:t>1</m:t>
            </m:r>
          </m:sub>
        </m:sSub>
      </m:oMath>
      <w:r>
        <w:t xml:space="preserve"> </w:t>
      </w:r>
      <w:r>
        <w:t xml:space="preserve">y</w:t>
      </w:r>
      <w:r>
        <w:t xml:space="preserve"> </w:t>
      </w:r>
      <m:oMath>
        <m:sSub>
          <m:e>
            <m:r>
              <m:t>γ</m:t>
            </m:r>
          </m:e>
          <m:sub>
            <m:r>
              <m:t>1</m:t>
            </m:r>
          </m:sub>
        </m:sSub>
      </m:oMath>
      <w:r>
        <w:t xml:space="preserve"> </w:t>
      </w:r>
      <w:r>
        <w:t xml:space="preserve">son la altura y el peso unitario de esa capa superior.</w:t>
      </w:r>
      <w:r>
        <w:t xml:space="preserve"> </w:t>
      </w:r>
      <w:r>
        <w:t xml:space="preserve">Su peso produce la presión permanente uniforme</w:t>
      </w:r>
    </w:p>
    <w:p>
      <w:pPr>
        <w:pStyle w:val="BodyText"/>
      </w:pPr>
      <w:bookmarkStart w:id="32" w:name="eq-calculation-upper-layer-pressure"/>
      <m:oMathPara>
        <m:oMathParaPr>
          <m:jc m:val="center"/>
        </m:oMathParaPr>
        <m:oMath>
          <m:sSub>
            <m:e>
              <m:r>
                <m:t>q</m:t>
              </m:r>
            </m:e>
            <m:sub>
              <m:r>
                <m:t>D</m:t>
              </m:r>
            </m:sub>
          </m:sSub>
          <m:r>
            <m:rPr>
              <m:sty m:val="p"/>
            </m:rPr>
            <m:t>=</m:t>
          </m:r>
          <m:sSub>
            <m:e>
              <m:r>
                <m:t>γ</m:t>
              </m:r>
            </m:e>
            <m:sub>
              <m:r>
                <m:t>1</m:t>
              </m:r>
            </m:sub>
          </m:sSub>
          <m:sSub>
            <m:e>
              <m:r>
                <m:t>H</m:t>
              </m:r>
            </m:e>
            <m:sub>
              <m:r>
                <m:t>1</m:t>
              </m:r>
            </m:sub>
          </m:sSub>
          <m:r>
            <m:rPr>
              <m:sty m:val="p"/>
            </m:rPr>
            <m:t>.</m:t>
          </m:r>
          <m:r>
            <m:t>  </m:t>
          </m:r>
          <m:r>
            <m:rPr>
              <m:sty m:val="p"/>
            </m:rPr>
            <m:t>(</m:t>
          </m:r>
          <m:r>
            <m:t>3.2</m:t>
          </m:r>
          <m:r>
            <m:rPr>
              <m:sty m:val="p"/>
            </m:rPr>
            <m:t>)</m:t>
          </m:r>
        </m:oMath>
      </m:oMathPara>
      <w:bookmarkEnd w:id="32"/>
    </w:p>
    <w:p>
      <w:pPr>
        <w:pStyle w:val="FirstParagraph"/>
      </w:pPr>
      <w:r>
        <w:t xml:space="preserve">Si</w:t>
      </w:r>
      <w:r>
        <w:t xml:space="preserve"> </w:t>
      </w:r>
      <m:oMath>
        <m:r>
          <m:t>R</m:t>
        </m:r>
      </m:oMath>
      <w:r>
        <w:t xml:space="preserve"> </w:t>
      </w:r>
      <w:r>
        <w:t xml:space="preserve">es la distancia desde la clave hasta el centro de la sección, la</w:t>
      </w:r>
      <w:r>
        <w:t xml:space="preserve"> </w:t>
      </w:r>
      <w:r>
        <w:t xml:space="preserve">profundidad de referencia dentro del relleno inferior es</w:t>
      </w:r>
    </w:p>
    <w:p>
      <w:pPr>
        <w:pStyle w:val="BodyText"/>
      </w:pPr>
      <w:bookmarkStart w:id="33" w:name="eq-calculation-reference-depth"/>
      <m:oMathPara>
        <m:oMathParaPr>
          <m:jc m:val="center"/>
        </m:oMathParaPr>
        <m:oMath>
          <m:sSub>
            <m:e>
              <m:r>
                <m:t>z</m:t>
              </m:r>
            </m:e>
            <m:sub>
              <m:r>
                <m:t>r</m:t>
              </m:r>
              <m:r>
                <m:t>e</m:t>
              </m:r>
              <m:r>
                <m:t>f</m:t>
              </m:r>
            </m:sub>
          </m:sSub>
          <m:r>
            <m:rPr>
              <m:sty m:val="p"/>
            </m:rPr>
            <m:t>=</m:t>
          </m:r>
          <m:sSub>
            <m:e>
              <m:r>
                <m:t>H</m:t>
              </m:r>
            </m:e>
            <m:sub>
              <m:r>
                <m:t>0</m:t>
              </m:r>
            </m:sub>
          </m:sSub>
          <m:r>
            <m:rPr>
              <m:sty m:val="p"/>
            </m:rPr>
            <m:t>+</m:t>
          </m:r>
          <m:r>
            <m:t>R</m:t>
          </m:r>
          <m:r>
            <m:rPr>
              <m:sty m:val="p"/>
            </m:rPr>
            <m:t>.</m:t>
          </m:r>
          <m:r>
            <m:t>  </m:t>
          </m:r>
          <m:r>
            <m:rPr>
              <m:sty m:val="p"/>
            </m:rPr>
            <m:t>(</m:t>
          </m:r>
          <m:r>
            <m:t>3.3</m:t>
          </m:r>
          <m:r>
            <m:rPr>
              <m:sty m:val="p"/>
            </m:rPr>
            <m:t>)</m:t>
          </m:r>
        </m:oMath>
      </m:oMathPara>
      <w:bookmarkEnd w:id="33"/>
    </w:p>
    <w:p>
      <w:pPr>
        <w:pStyle w:val="FirstParagraph"/>
      </w:pPr>
      <w:r>
        <w:t xml:space="preserve">La tensión vertical efectiva se calcula</w:t>
      </w:r>
      <w:r>
        <w:t xml:space="preserve"> </w:t>
      </w:r>
      <w:r>
        <w:t xml:space="preserve">como</w:t>
      </w:r>
    </w:p>
    <w:p>
      <w:pPr>
        <w:pStyle w:val="BodyText"/>
      </w:pPr>
      <w:bookmarkStart w:id="34" w:name="eq-calculation-vertical-effective-stress"/>
      <m:oMathPara>
        <m:oMathParaPr>
          <m:jc m:val="center"/>
        </m:oMathParaPr>
        <m:oMath>
          <m:sSubSup>
            <m:e>
              <m:r>
                <m:t>σ</m:t>
              </m:r>
            </m:e>
            <m:sub>
              <m:r>
                <m:t>v</m:t>
              </m:r>
            </m:sub>
            <m:sup>
              <m:r>
                <m:rPr>
                  <m:sty m:val="p"/>
                </m:rPr>
                <m:t>′</m:t>
              </m:r>
            </m:sup>
          </m:sSubSup>
          <m:r>
            <m:rPr>
              <m:sty m:val="p"/>
            </m:rPr>
            <m:t>(</m:t>
          </m:r>
          <m:sSub>
            <m:e>
              <m:r>
                <m:t>z</m:t>
              </m:r>
            </m:e>
            <m:sub>
              <m:r>
                <m:t>r</m:t>
              </m:r>
              <m:r>
                <m:t>e</m:t>
              </m:r>
              <m:r>
                <m:t>f</m:t>
              </m:r>
            </m:sub>
          </m:sSub>
          <m:r>
            <m:rPr>
              <m:sty m:val="p"/>
            </m:rPr>
            <m:t>)</m:t>
          </m:r>
          <m:r>
            <m:rPr>
              <m:sty m:val="p"/>
            </m:rPr>
            <m:t>=</m:t>
          </m:r>
          <m:sSub>
            <m:e>
              <m:r>
                <m:t>q</m:t>
              </m:r>
            </m:e>
            <m:sub>
              <m:r>
                <m:t>D</m:t>
              </m:r>
            </m:sub>
          </m:sSub>
          <m:r>
            <m:rPr>
              <m:sty m:val="p"/>
            </m:rPr>
            <m:t>+</m:t>
          </m:r>
          <m:sSubSup>
            <m:e>
              <m:r>
                <m:t>γ</m:t>
              </m:r>
            </m:e>
            <m:sub>
              <m:r>
                <m:t>0</m:t>
              </m:r>
            </m:sub>
            <m:sup>
              <m:r>
                <m:rPr>
                  <m:sty m:val="p"/>
                </m:rPr>
                <m:t>′</m:t>
              </m:r>
            </m:sup>
          </m:sSubSup>
          <m:sSub>
            <m:e>
              <m:r>
                <m:t>z</m:t>
              </m:r>
            </m:e>
            <m:sub>
              <m:r>
                <m:t>r</m:t>
              </m:r>
              <m:r>
                <m:t>e</m:t>
              </m:r>
              <m:r>
                <m:t>f</m:t>
              </m:r>
            </m:sub>
          </m:sSub>
          <m:r>
            <m:rPr>
              <m:sty m:val="p"/>
            </m:rPr>
            <m:t>,</m:t>
          </m:r>
          <m:r>
            <m:t>  </m:t>
          </m:r>
          <m:r>
            <m:rPr>
              <m:sty m:val="p"/>
            </m:rPr>
            <m:t>(</m:t>
          </m:r>
          <m:r>
            <m:t>3.4</m:t>
          </m:r>
          <m:r>
            <m:rPr>
              <m:sty m:val="p"/>
            </m:rPr>
            <m:t>)</m:t>
          </m:r>
        </m:oMath>
      </m:oMathPara>
      <w:bookmarkEnd w:id="34"/>
    </w:p>
    <w:p>
      <w:pPr>
        <w:pStyle w:val="FirstParagraph"/>
      </w:pPr>
      <w:r>
        <w:t xml:space="preserve">La capa de lodo y el relleno inferior son acciones permanentes; no se introduce</w:t>
      </w:r>
      <w:r>
        <w:t xml:space="preserve"> </w:t>
      </w:r>
      <w:r>
        <w:t xml:space="preserve">una carga viva. La</w:t>
      </w:r>
      <w:r>
        <w:t xml:space="preserve"> </w:t>
      </w:r>
      <w:r>
        <w:t xml:space="preserve">presión hidráulica neta adoptada es</w:t>
      </w:r>
      <w:r>
        <w:t xml:space="preserve"> </w:t>
      </w:r>
      <w:r>
        <w:t xml:space="preserve">0.0</w:t>
      </w:r>
      <w:r>
        <w:t xml:space="preserve"> </w:t>
      </w:r>
      <w:r>
        <w:t xml:space="preserve">kPa y la tensión horizontal residual de compactación se adopta igual a cero;</w:t>
      </w:r>
      <w:r>
        <w:t xml:space="preserve"> </w:t>
      </w:r>
      <w:r>
        <w:t xml:space="preserve">ambas magnitudes se actualizarán cuando la investigación del relleno y la</w:t>
      </w:r>
      <w:r>
        <w:t xml:space="preserve"> </w:t>
      </w:r>
      <w:r>
        <w:t xml:space="preserve">condición de agua las cuantifique.</w:t>
      </w:r>
    </w:p>
    <w:p>
      <w:pPr>
        <w:pStyle w:val="BodyText"/>
      </w:pPr>
      <w:r>
        <w:t xml:space="preserve">El coeficiente de presión en reposo relaciona las tensiones efectivas horizontal</w:t>
      </w:r>
      <w:r>
        <w:t xml:space="preserve"> </w:t>
      </w:r>
      <w:r>
        <w:t xml:space="preserve">y vertical:</w:t>
      </w:r>
    </w:p>
    <w:p>
      <w:pPr>
        <w:pStyle w:val="BodyText"/>
      </w:pPr>
      <w:bookmarkStart w:id="35" w:name="eq-calculation-k0"/>
      <m:oMathPara>
        <m:oMathParaPr>
          <m:jc m:val="center"/>
        </m:oMathParaPr>
        <m:oMath>
          <m:sSub>
            <m:e>
              <m:r>
                <m:t>K</m:t>
              </m:r>
            </m:e>
            <m:sub>
              <m:r>
                <m:t>0</m:t>
              </m:r>
            </m:sub>
          </m:sSub>
          <m:r>
            <m:rPr>
              <m:sty m:val="p"/>
            </m:rPr>
            <m:t>=</m:t>
          </m:r>
          <m:f>
            <m:fPr>
              <m:type m:val="bar"/>
            </m:fPr>
            <m:num>
              <m:sSubSup>
                <m:e>
                  <m:r>
                    <m:t>σ</m:t>
                  </m:r>
                </m:e>
                <m:sub>
                  <m:r>
                    <m:t>h</m:t>
                  </m:r>
                </m:sub>
                <m:sup>
                  <m:r>
                    <m:rPr>
                      <m:sty m:val="p"/>
                    </m:rPr>
                    <m:t>′</m:t>
                  </m:r>
                </m:sup>
              </m:sSubSup>
            </m:num>
            <m:den>
              <m:sSubSup>
                <m:e>
                  <m:r>
                    <m:t>σ</m:t>
                  </m:r>
                </m:e>
                <m:sub>
                  <m:r>
                    <m:t>v</m:t>
                  </m:r>
                </m:sub>
                <m:sup>
                  <m:r>
                    <m:rPr>
                      <m:sty m:val="p"/>
                    </m:rPr>
                    <m:t>′</m:t>
                  </m:r>
                </m:sup>
              </m:sSubSup>
            </m:den>
          </m:f>
          <m:r>
            <m:rPr>
              <m:sty m:val="p"/>
            </m:rPr>
            <m:t>,</m:t>
          </m:r>
          <m:r>
            <m:t>  </m:t>
          </m:r>
          <m:sSubSup>
            <m:e>
              <m:r>
                <m:t>σ</m:t>
              </m:r>
            </m:e>
            <m:sub>
              <m:r>
                <m:t>h</m:t>
              </m:r>
            </m:sub>
            <m:sup>
              <m:r>
                <m:rPr>
                  <m:sty m:val="p"/>
                </m:rPr>
                <m:t>′</m:t>
              </m:r>
            </m:sup>
          </m:sSubSup>
          <m:r>
            <m:rPr>
              <m:sty m:val="p"/>
            </m:rPr>
            <m:t>=</m:t>
          </m:r>
          <m:sSub>
            <m:e>
              <m:r>
                <m:t>K</m:t>
              </m:r>
            </m:e>
            <m:sub>
              <m:r>
                <m:t>0</m:t>
              </m:r>
            </m:sub>
          </m:sSub>
          <m:sSubSup>
            <m:e>
              <m:r>
                <m:t>σ</m:t>
              </m:r>
            </m:e>
            <m:sub>
              <m:r>
                <m:t>v</m:t>
              </m:r>
            </m:sub>
            <m:sup>
              <m:r>
                <m:rPr>
                  <m:sty m:val="p"/>
                </m:rPr>
                <m:t>′</m:t>
              </m:r>
            </m:sup>
          </m:sSubSup>
          <m:r>
            <m:rPr>
              <m:sty m:val="p"/>
            </m:rPr>
            <m:t>.</m:t>
          </m:r>
          <m:r>
            <m:t>  </m:t>
          </m:r>
          <m:r>
            <m:rPr>
              <m:sty m:val="p"/>
            </m:rPr>
            <m:t>(</m:t>
          </m:r>
          <m:r>
            <m:t>3.5</m:t>
          </m:r>
          <m:r>
            <m:rPr>
              <m:sty m:val="p"/>
            </m:rPr>
            <m:t>)</m:t>
          </m:r>
        </m:oMath>
      </m:oMathPara>
      <w:bookmarkEnd w:id="35"/>
    </w:p>
    <w:p>
      <w:pPr>
        <w:pStyle w:val="FirstParagraph"/>
      </w:pPr>
      <w:r>
        <w:t xml:space="preserve">La rama empleada corresponde a la relación de Jáky para una condición</w:t>
      </w:r>
      <w:r>
        <w:t xml:space="preserve"> </w:t>
      </w:r>
      <w:r>
        <w:t xml:space="preserve">normalmente consolidada</w:t>
      </w:r>
      <w:r>
        <w:t xml:space="preserve"> </w:t>
      </w:r>
      <w:r>
        <w:t xml:space="preserve">(</w:t>
      </w:r>
      <w:hyperlink w:anchor="ref-Michalowski2005">
        <w:r>
          <w:rPr>
            <w:rStyle w:val="Hyperlink"/>
          </w:rPr>
          <w:t xml:space="preserve">Michalowski 2005</w:t>
        </w:r>
      </w:hyperlink>
      <w:r>
        <w:t xml:space="preserve">;</w:t>
      </w:r>
      <w:r>
        <w:t xml:space="preserve"> </w:t>
      </w:r>
      <w:hyperlink w:anchor="ref-ChristopherEtAl2006">
        <w:r>
          <w:rPr>
            <w:rStyle w:val="Hyperlink"/>
          </w:rPr>
          <w:t xml:space="preserve">Christopher et al. 2006</w:t>
        </w:r>
      </w:hyperlink>
      <w:r>
        <w:t xml:space="preserve">)</w:t>
      </w:r>
      <w:r>
        <w:t xml:space="preserve">:</w:t>
      </w:r>
    </w:p>
    <w:p>
      <w:pPr>
        <w:pStyle w:val="BodyText"/>
      </w:pPr>
      <w:bookmarkStart w:id="36" w:name="eq-calculation-k0-application"/>
      <m:oMathPara>
        <m:oMathParaPr>
          <m:jc m:val="center"/>
        </m:oMathParaPr>
        <m:oMath>
          <m:sSub>
            <m:e>
              <m:r>
                <m:t>K</m:t>
              </m:r>
            </m:e>
            <m:sub>
              <m:r>
                <m:t>0</m:t>
              </m:r>
            </m:sub>
          </m:sSub>
          <m:r>
            <m:rPr>
              <m:sty m:val="p"/>
            </m:rPr>
            <m:t>=</m:t>
          </m:r>
          <m:r>
            <m:t>1</m:t>
          </m:r>
          <m:r>
            <m:rPr>
              <m:sty m:val="p"/>
            </m:rPr>
            <m:t>−</m:t>
          </m:r>
          <m:r>
            <m:rPr>
              <m:sty m:val="p"/>
            </m:rPr>
            <m:t>sin</m:t>
          </m:r>
          <m:sSup>
            <m:e>
              <m:r>
                <m:t>ϕ</m:t>
              </m:r>
            </m:e>
            <m:sup>
              <m:r>
                <m:rPr>
                  <m:sty m:val="p"/>
                </m:rPr>
                <m:t>′</m:t>
              </m:r>
            </m:sup>
          </m:sSup>
          <m:r>
            <m:rPr>
              <m:sty m:val="p"/>
            </m:rPr>
            <m:t>.</m:t>
          </m:r>
          <m:r>
            <m:t>  </m:t>
          </m:r>
          <m:r>
            <m:rPr>
              <m:sty m:val="p"/>
            </m:rPr>
            <m:t>(</m:t>
          </m:r>
          <m:r>
            <m:t>3.6</m:t>
          </m:r>
          <m:r>
            <m:rPr>
              <m:sty m:val="p"/>
            </m:rPr>
            <m:t>)</m:t>
          </m:r>
        </m:oMath>
      </m:oMathPara>
      <w:bookmarkEnd w:id="36"/>
    </w:p>
    <w:p>
      <w:pPr>
        <w:pStyle w:val="FirstParagraph"/>
      </w:pPr>
      <w:r>
        <w:t xml:space="preserve">Con</w:t>
      </w:r>
      <w:r>
        <w:t xml:space="preserve"> </w:t>
      </w:r>
      <m:oMath>
        <m:sSup>
          <m:e>
            <m:r>
              <m:t>ϕ</m:t>
            </m:r>
          </m:e>
          <m:sup>
            <m:r>
              <m:rPr>
                <m:sty m:val="p"/>
              </m:rPr>
              <m:t>′</m:t>
            </m:r>
          </m:sup>
        </m:sSup>
        <m:r>
          <m:rPr>
            <m:sty m:val="p"/>
          </m:rPr>
          <m:t>=</m:t>
        </m:r>
        <m:sSup>
          <m:e>
            <m:r>
              <m:t>33</m:t>
            </m:r>
          </m:e>
          <m:sup>
            <m:r>
              <m:rPr>
                <m:sty m:val="p"/>
              </m:rPr>
              <m:t>∘</m:t>
            </m:r>
          </m:sup>
        </m:sSup>
      </m:oMath>
      <w:r>
        <w:t xml:space="preserve">,</w:t>
      </w:r>
      <w:r>
        <w:t xml:space="preserve"> </w:t>
      </w:r>
      <w:r>
        <w:t xml:space="preserve">se obtiene</w:t>
      </w:r>
      <w:r>
        <w:t xml:space="preserve"> </w:t>
      </w:r>
      <m:oMath>
        <m:sSub>
          <m:e>
            <m:r>
              <m:t>K</m:t>
            </m:r>
          </m:e>
          <m:sub>
            <m:r>
              <m:t>0</m:t>
            </m:r>
          </m:sub>
        </m:sSub>
        <m:r>
          <m:rPr>
            <m:sty m:val="p"/>
          </m:rPr>
          <m:t>=</m:t>
        </m:r>
        <m:r>
          <m:t>0.455361</m:t>
        </m:r>
      </m:oMath>
      <w:r>
        <w:t xml:space="preserve">.</w:t>
      </w:r>
      <w:r>
        <w:t xml:space="preserve"> </w:t>
      </w:r>
      <w:r>
        <w:t xml:space="preserve">Las expresiones aplicables a otras trayectorias tensionales y las acciones</w:t>
      </w:r>
      <w:r>
        <w:t xml:space="preserve"> </w:t>
      </w:r>
      <w:r>
        <w:t xml:space="preserve">de compactación se presentan en</w:t>
      </w:r>
      <w:r>
        <w:t xml:space="preserve"> </w:t>
      </w:r>
      <w:hyperlink w:anchor="sec-calculation-appendix-k0">
        <w:r>
          <w:rPr>
            <w:rStyle w:val="Hyperlink"/>
          </w:rPr>
          <w:t xml:space="preserve">Apéndice A</w:t>
        </w:r>
      </w:hyperlink>
      <w:r>
        <w:t xml:space="preserve">.</w:t>
      </w:r>
    </w:p>
    <w:p>
      <w:pPr>
        <w:pStyle w:val="BodyText"/>
      </w:pPr>
      <w:r>
        <w:t xml:space="preserve">En la cota de referencia se define el estado de campo libre utilizado por</w:t>
      </w:r>
      <w:r>
        <w:t xml:space="preserve"> </w:t>
      </w:r>
      <w:r>
        <w:t xml:space="preserve">Schwartz–Einstein:</w:t>
      </w:r>
    </w:p>
    <w:p>
      <w:pPr>
        <w:pStyle w:val="BodyText"/>
      </w:pPr>
      <w:bookmarkStart w:id="37" w:name="eq-calculation-se-action-state"/>
      <m:oMathPara>
        <m:oMathParaPr>
          <m:jc m:val="center"/>
        </m:oMathParaPr>
        <m:oMath>
          <m:sSub>
            <m:e>
              <m:r>
                <m:t>P</m:t>
              </m:r>
            </m:e>
            <m:sub>
              <m:r>
                <m:t>S</m:t>
              </m:r>
              <m:r>
                <m:t>E</m:t>
              </m:r>
            </m:sub>
          </m:sSub>
          <m:r>
            <m:rPr>
              <m:sty m:val="p"/>
            </m:rPr>
            <m:t>=</m:t>
          </m:r>
          <m:sSubSup>
            <m:e>
              <m:r>
                <m:t>σ</m:t>
              </m:r>
            </m:e>
            <m:sub>
              <m:r>
                <m:t>v</m:t>
              </m:r>
              <m:r>
                <m:rPr>
                  <m:sty m:val="p"/>
                </m:rPr>
                <m:t>,</m:t>
              </m:r>
              <m:r>
                <m:t>A</m:t>
              </m:r>
            </m:sub>
            <m:sup>
              <m:r>
                <m:rPr>
                  <m:sty m:val="p"/>
                </m:rPr>
                <m:t>′</m:t>
              </m:r>
            </m:sup>
          </m:sSubSup>
          <m:r>
            <m:rPr>
              <m:sty m:val="p"/>
            </m:rPr>
            <m:t>,</m:t>
          </m:r>
          <m:r>
            <m:t>  </m:t>
          </m:r>
          <m:sSub>
            <m:e>
              <m:r>
                <m:t>K</m:t>
              </m:r>
            </m:e>
            <m:sub>
              <m:r>
                <m:t>S</m:t>
              </m:r>
              <m:r>
                <m:t>E</m:t>
              </m:r>
            </m:sub>
          </m:sSub>
          <m:r>
            <m:rPr>
              <m:sty m:val="p"/>
            </m:rPr>
            <m:t>=</m:t>
          </m:r>
          <m:f>
            <m:fPr>
              <m:type m:val="bar"/>
            </m:fPr>
            <m:num>
              <m:sSubSup>
                <m:e>
                  <m:r>
                    <m:t>σ</m:t>
                  </m:r>
                </m:e>
                <m:sub>
                  <m:r>
                    <m:t>h</m:t>
                  </m:r>
                  <m:r>
                    <m:rPr>
                      <m:sty m:val="p"/>
                    </m:rPr>
                    <m:t>,</m:t>
                  </m:r>
                  <m:r>
                    <m:t>A</m:t>
                  </m:r>
                </m:sub>
                <m:sup>
                  <m:r>
                    <m:rPr>
                      <m:sty m:val="p"/>
                    </m:rPr>
                    <m:t>′</m:t>
                  </m:r>
                </m:sup>
              </m:sSubSup>
            </m:num>
            <m:den>
              <m:sSubSup>
                <m:e>
                  <m:r>
                    <m:t>σ</m:t>
                  </m:r>
                </m:e>
                <m:sub>
                  <m:r>
                    <m:t>v</m:t>
                  </m:r>
                  <m:r>
                    <m:rPr>
                      <m:sty m:val="p"/>
                    </m:rPr>
                    <m:t>,</m:t>
                  </m:r>
                  <m:r>
                    <m:t>A</m:t>
                  </m:r>
                </m:sub>
                <m:sup>
                  <m:r>
                    <m:rPr>
                      <m:sty m:val="p"/>
                    </m:rPr>
                    <m:t>′</m:t>
                  </m:r>
                </m:sup>
              </m:sSubSup>
            </m:den>
          </m:f>
          <m:r>
            <m:rPr>
              <m:sty m:val="p"/>
            </m:rPr>
            <m:t>.</m:t>
          </m:r>
          <m:r>
            <m:t>  </m:t>
          </m:r>
          <m:r>
            <m:rPr>
              <m:sty m:val="p"/>
            </m:rPr>
            <m:t>(</m:t>
          </m:r>
          <m:r>
            <m:t>3.7</m:t>
          </m:r>
          <m:r>
            <m:rPr>
              <m:sty m:val="p"/>
            </m:rPr>
            <m:t>)</m:t>
          </m:r>
        </m:oMath>
      </m:oMathPara>
      <w:bookmarkEnd w:id="37"/>
    </w:p>
    <w:p>
      <w:pPr>
        <w:pStyle w:val="FirstParagraph"/>
      </w:pPr>
      <w:r>
        <w:t xml:space="preserve">La solución de carga externa transforma este estado en resultantes del anillo</w:t>
      </w:r>
      <w:r>
        <w:t xml:space="preserve"> </w:t>
      </w:r>
      <w:r>
        <w:t xml:space="preserve">mediante las razones de rigidez</w:t>
      </w:r>
      <w:r>
        <w:t xml:space="preserve"> </w:t>
      </w:r>
      <m:oMath>
        <m:sSup>
          <m:e>
            <m:r>
              <m:t>C</m:t>
            </m:r>
          </m:e>
          <m:sup>
            <m:r>
              <m:rPr>
                <m:sty m:val="p"/>
              </m:rPr>
              <m:t>*</m:t>
            </m:r>
          </m:sup>
        </m:sSup>
      </m:oMath>
      <w:r>
        <w:t xml:space="preserve"> </w:t>
      </w:r>
      <w:r>
        <w:t xml:space="preserve">y</w:t>
      </w:r>
      <w:r>
        <w:t xml:space="preserve"> </w:t>
      </w:r>
      <m:oMath>
        <m:sSup>
          <m:e>
            <m:r>
              <m:t>F</m:t>
            </m:r>
          </m:e>
          <m:sup>
            <m:r>
              <m:rPr>
                <m:sty m:val="p"/>
              </m:rPr>
              <m:t>*</m:t>
            </m:r>
          </m:sup>
        </m:sSup>
      </m:oMath>
      <w:r>
        <w:t xml:space="preserve"> </w:t>
      </w:r>
      <w:r>
        <w:t xml:space="preserve">de cada revestimiento y las</w:t>
      </w:r>
      <w:r>
        <w:t xml:space="preserve"> </w:t>
      </w:r>
      <w:r>
        <w:t xml:space="preserve">condiciones de interfaz con deslizamiento libre y sin deslizamiento. La presión</w:t>
      </w:r>
      <w:r>
        <w:t xml:space="preserve"> </w:t>
      </w:r>
      <w:r>
        <w:t xml:space="preserve">hidráulica neta uniforme se superpone a la componente media de fuerza</w:t>
      </w:r>
      <w:r>
        <w:t xml:space="preserve"> </w:t>
      </w:r>
      <w:r>
        <w:t xml:space="preserve">circunferencial. Las expresiones completas se presentan en la metodología</w:t>
      </w:r>
      <w:r>
        <w:t xml:space="preserve"> </w:t>
      </w:r>
      <w:r>
        <w:t xml:space="preserve">ampliada.</w:t>
      </w:r>
    </w:p>
    <w:p>
      <w:pPr>
        <w:pStyle w:val="BodyText"/>
      </w:pPr>
      <w:r>
        <w:t xml:space="preserve">Para verificar independientemente el equilibrio, el mismo estado biaxial se</w:t>
      </w:r>
      <w:r>
        <w:t xml:space="preserve"> </w:t>
      </w:r>
      <w:r>
        <w:t xml:space="preserve">proyecta como una carga prescrita sobre un plano tangente a la pared. Esa</w:t>
      </w:r>
      <w:r>
        <w:t xml:space="preserve"> </w:t>
      </w:r>
      <w:r>
        <w:t xml:space="preserve">proyección produce una presión normal</w:t>
      </w:r>
      <w:r>
        <w:t xml:space="preserve"> </w:t>
      </w:r>
      <m:oMath>
        <m:sSubSup>
          <m:e>
            <m:r>
              <m:t>p</m:t>
            </m:r>
          </m:e>
          <m:sub>
            <m:r>
              <m:t>n</m:t>
            </m:r>
          </m:sub>
          <m:sup>
            <m:r>
              <m:rPr>
                <m:sty m:val="p"/>
              </m:rPr>
              <m:t>′</m:t>
            </m:r>
          </m:sup>
        </m:sSubSup>
      </m:oMath>
      <w:r>
        <w:t xml:space="preserve"> </w:t>
      </w:r>
      <w:r>
        <w:t xml:space="preserve">y una componente paralela</w:t>
      </w:r>
      <w:r>
        <w:t xml:space="preserve"> </w:t>
      </w:r>
      <m:oMath>
        <m:sSubSup>
          <m:e>
            <m:r>
              <m:t>p</m:t>
            </m:r>
          </m:e>
          <m:sub>
            <m:r>
              <m:t>t</m:t>
            </m:r>
          </m:sub>
          <m:sup>
            <m:r>
              <m:rPr>
                <m:sty m:val="p"/>
              </m:rPr>
              <m:t>*</m:t>
            </m:r>
          </m:sup>
        </m:sSubSup>
      </m:oMath>
      <w:r>
        <w:t xml:space="preserve">:</w:t>
      </w:r>
    </w:p>
    <w:p>
      <w:pPr>
        <w:pStyle w:val="BodyText"/>
      </w:pPr>
      <w:bookmarkStart w:id="38" w:name="eq-calculation-stress-projection"/>
      <m:oMathPara>
        <m:oMathParaPr>
          <m:jc m:val="center"/>
        </m:oMathParaPr>
        <m:oMath>
          <m:eqArr>
            <m:e>
              <m:sSubSup>
                <m:e>
                  <m:r>
                    <m:t>p</m:t>
                  </m:r>
                </m:e>
                <m:sub>
                  <m:r>
                    <m:t>n</m:t>
                  </m:r>
                </m:sub>
                <m:sup>
                  <m:r>
                    <m:rPr>
                      <m:sty m:val="p"/>
                    </m:rPr>
                    <m:t>′</m:t>
                  </m:r>
                </m:sup>
              </m:sSubSup>
              <m:r>
                <m:rPr>
                  <m:sty m:val="p"/>
                </m:rPr>
                <m:t>(</m:t>
              </m:r>
              <m:r>
                <m:t>θ</m:t>
              </m:r>
              <m:r>
                <m:rPr>
                  <m:sty m:val="p"/>
                </m:rPr>
                <m:t>)</m:t>
              </m:r>
              <m:r>
                <m:t>&amp;</m:t>
              </m:r>
              <m:r>
                <m:rPr>
                  <m:sty m:val="p"/>
                </m:rPr>
                <m:t>=</m:t>
              </m:r>
              <m:sSubSup>
                <m:e>
                  <m:r>
                    <m:t>σ</m:t>
                  </m:r>
                </m:e>
                <m:sub>
                  <m:r>
                    <m:t>v</m:t>
                  </m:r>
                  <m:r>
                    <m:rPr>
                      <m:sty m:val="p"/>
                    </m:rPr>
                    <m:t>,</m:t>
                  </m:r>
                  <m:r>
                    <m:t>A</m:t>
                  </m:r>
                </m:sub>
                <m:sup>
                  <m:r>
                    <m:rPr>
                      <m:sty m:val="p"/>
                    </m:rPr>
                    <m:t>′</m:t>
                  </m:r>
                </m:sup>
              </m:sSubSup>
              <m:sSup>
                <m:e>
                  <m:r>
                    <m:rPr>
                      <m:sty m:val="p"/>
                    </m:rPr>
                    <m:t>cos</m:t>
                  </m:r>
                </m:e>
                <m:sup>
                  <m:r>
                    <m:t>2</m:t>
                  </m:r>
                </m:sup>
              </m:sSup>
              <m:r>
                <m:t>θ</m:t>
              </m:r>
              <m:r>
                <m:rPr>
                  <m:sty m:val="p"/>
                </m:rPr>
                <m:t>+</m:t>
              </m:r>
              <m:sSubSup>
                <m:e>
                  <m:r>
                    <m:t>σ</m:t>
                  </m:r>
                </m:e>
                <m:sub>
                  <m:r>
                    <m:t>h</m:t>
                  </m:r>
                  <m:r>
                    <m:rPr>
                      <m:sty m:val="p"/>
                    </m:rPr>
                    <m:t>,</m:t>
                  </m:r>
                  <m:r>
                    <m:t>A</m:t>
                  </m:r>
                </m:sub>
                <m:sup>
                  <m:r>
                    <m:rPr>
                      <m:sty m:val="p"/>
                    </m:rPr>
                    <m:t>′</m:t>
                  </m:r>
                </m:sup>
              </m:sSubSup>
              <m:sSup>
                <m:e>
                  <m:r>
                    <m:rPr>
                      <m:sty m:val="p"/>
                    </m:rPr>
                    <m:t>sin</m:t>
                  </m:r>
                </m:e>
                <m:sup>
                  <m:r>
                    <m:t>2</m:t>
                  </m:r>
                </m:sup>
              </m:sSup>
              <m:r>
                <m:t>θ</m:t>
              </m:r>
              <m:r>
                <m:rPr>
                  <m:sty m:val="p"/>
                </m:rPr>
                <m:t>,</m:t>
              </m:r>
            </m:e>
            <m:e>
              <m:sSubSup>
                <m:e>
                  <m:r>
                    <m:t>p</m:t>
                  </m:r>
                </m:e>
                <m:sub>
                  <m:r>
                    <m:t>t</m:t>
                  </m:r>
                </m:sub>
                <m:sup>
                  <m:r>
                    <m:rPr>
                      <m:sty m:val="p"/>
                    </m:rPr>
                    <m:t>*</m:t>
                  </m:r>
                </m:sup>
              </m:sSubSup>
              <m:r>
                <m:rPr>
                  <m:sty m:val="p"/>
                </m:rPr>
                <m:t>(</m:t>
              </m:r>
              <m:r>
                <m:t>θ</m:t>
              </m:r>
              <m:r>
                <m:rPr>
                  <m:sty m:val="p"/>
                </m:rPr>
                <m:t>)</m:t>
              </m:r>
              <m:r>
                <m:t>&amp;</m:t>
              </m:r>
              <m:r>
                <m:rPr>
                  <m:sty m:val="p"/>
                </m:rPr>
                <m:t>=</m:t>
              </m:r>
              <m:r>
                <m:rPr>
                  <m:sty m:val="p"/>
                </m:rPr>
                <m:t>(</m:t>
              </m:r>
              <m:sSubSup>
                <m:e>
                  <m:r>
                    <m:t>σ</m:t>
                  </m:r>
                </m:e>
                <m:sub>
                  <m:r>
                    <m:t>v</m:t>
                  </m:r>
                  <m:r>
                    <m:rPr>
                      <m:sty m:val="p"/>
                    </m:rPr>
                    <m:t>,</m:t>
                  </m:r>
                  <m:r>
                    <m:t>A</m:t>
                  </m:r>
                </m:sub>
                <m:sup>
                  <m:r>
                    <m:rPr>
                      <m:sty m:val="p"/>
                    </m:rPr>
                    <m:t>′</m:t>
                  </m:r>
                </m:sup>
              </m:sSubSup>
              <m:r>
                <m:rPr>
                  <m:sty m:val="p"/>
                </m:rPr>
                <m:t>−</m:t>
              </m:r>
              <m:sSubSup>
                <m:e>
                  <m:r>
                    <m:t>σ</m:t>
                  </m:r>
                </m:e>
                <m:sub>
                  <m:r>
                    <m:t>h</m:t>
                  </m:r>
                  <m:r>
                    <m:rPr>
                      <m:sty m:val="p"/>
                    </m:rPr>
                    <m:t>,</m:t>
                  </m:r>
                  <m:r>
                    <m:t>A</m:t>
                  </m:r>
                </m:sub>
                <m:sup>
                  <m:r>
                    <m:rPr>
                      <m:sty m:val="p"/>
                    </m:rPr>
                    <m:t>′</m:t>
                  </m:r>
                </m:sup>
              </m:sSubSup>
              <m:r>
                <m:rPr>
                  <m:sty m:val="p"/>
                </m:rPr>
                <m:t>)</m:t>
              </m:r>
              <m:r>
                <m:rPr>
                  <m:sty m:val="p"/>
                </m:rPr>
                <m:t>sin</m:t>
              </m:r>
              <m:r>
                <m:t>θ</m:t>
              </m:r>
              <m:r>
                <m:rPr>
                  <m:sty m:val="p"/>
                </m:rPr>
                <m:t>cos</m:t>
              </m:r>
              <m:r>
                <m:t>θ</m:t>
              </m:r>
              <m:r>
                <m:rPr>
                  <m:sty m:val="p"/>
                </m:rPr>
                <m:t>,</m:t>
              </m:r>
            </m:e>
            <m:e>
              <m:sSub>
                <m:e>
                  <m:r>
                    <m:t>p</m:t>
                  </m:r>
                </m:e>
                <m:sub>
                  <m:r>
                    <m:t>n</m:t>
                  </m:r>
                </m:sub>
              </m:sSub>
              <m:r>
                <m:rPr>
                  <m:sty m:val="p"/>
                </m:rPr>
                <m:t>(</m:t>
              </m:r>
              <m:r>
                <m:t>θ</m:t>
              </m:r>
              <m:r>
                <m:rPr>
                  <m:sty m:val="p"/>
                </m:rPr>
                <m:t>)</m:t>
              </m:r>
              <m:r>
                <m:t>&amp;</m:t>
              </m:r>
              <m:r>
                <m:rPr>
                  <m:sty m:val="p"/>
                </m:rPr>
                <m:t>=</m:t>
              </m:r>
              <m:sSubSup>
                <m:e>
                  <m:r>
                    <m:t>p</m:t>
                  </m:r>
                </m:e>
                <m:sub>
                  <m:r>
                    <m:t>n</m:t>
                  </m:r>
                </m:sub>
                <m:sup>
                  <m:r>
                    <m:rPr>
                      <m:sty m:val="p"/>
                    </m:rPr>
                    <m:t>′</m:t>
                  </m:r>
                </m:sup>
              </m:sSubSup>
              <m:r>
                <m:rPr>
                  <m:sty m:val="p"/>
                </m:rPr>
                <m:t>(</m:t>
              </m:r>
              <m:r>
                <m:t>θ</m:t>
              </m:r>
              <m:r>
                <m:rPr>
                  <m:sty m:val="p"/>
                </m:rPr>
                <m:t>)</m:t>
              </m:r>
              <m:r>
                <m:rPr>
                  <m:sty m:val="p"/>
                </m:rPr>
                <m:t>+</m:t>
              </m:r>
              <m:r>
                <m:rPr>
                  <m:sty m:val="p"/>
                </m:rPr>
                <m:t>Δ</m:t>
              </m:r>
              <m:sSub>
                <m:e>
                  <m:r>
                    <m:t>u</m:t>
                  </m:r>
                </m:e>
                <m:sub>
                  <m:r>
                    <m:t>A</m:t>
                  </m:r>
                </m:sub>
              </m:sSub>
              <m:r>
                <m:rPr>
                  <m:sty m:val="p"/>
                </m:rPr>
                <m:t>.</m:t>
              </m:r>
            </m:e>
          </m:eqArr>
          <m:r>
            <m:t>  </m:t>
          </m:r>
          <m:r>
            <m:rPr>
              <m:sty m:val="p"/>
            </m:rPr>
            <m:t>(</m:t>
          </m:r>
          <m:r>
            <m:t>3.8</m:t>
          </m:r>
          <m:r>
            <m:rPr>
              <m:sty m:val="p"/>
            </m:rPr>
            <m:t>)</m:t>
          </m:r>
        </m:oMath>
      </m:oMathPara>
      <w:bookmarkEnd w:id="38"/>
    </w:p>
    <w:p>
      <w:pPr>
        <w:pStyle w:val="FirstParagraph"/>
      </w:pPr>
      <w:r>
        <w:t xml:space="preserve">Las acciones estructurales se escriben como</w:t>
      </w:r>
    </w:p>
    <w:p>
      <w:pPr>
        <w:pStyle w:val="BodyText"/>
      </w:pPr>
      <w:bookmarkStart w:id="39" w:name="eq-calculation-tangential-multiplier"/>
      <m:oMathPara>
        <m:oMathParaPr>
          <m:jc m:val="center"/>
        </m:oMathParaPr>
        <m:oMath>
          <m:sSub>
            <m:e>
              <m:r>
                <m:t>P</m:t>
              </m:r>
            </m:e>
            <m:sub>
              <m:r>
                <m:t>r</m:t>
              </m:r>
            </m:sub>
          </m:sSub>
          <m:r>
            <m:rPr>
              <m:sty m:val="p"/>
            </m:rPr>
            <m:t>(</m:t>
          </m:r>
          <m:r>
            <m:t>θ</m:t>
          </m:r>
          <m:r>
            <m:rPr>
              <m:sty m:val="p"/>
            </m:rPr>
            <m:t>)</m:t>
          </m:r>
          <m:r>
            <m:rPr>
              <m:sty m:val="p"/>
            </m:rPr>
            <m:t>=</m:t>
          </m:r>
          <m:r>
            <m:rPr>
              <m:sty m:val="p"/>
            </m:rPr>
            <m:t>−</m:t>
          </m:r>
          <m:sSub>
            <m:e>
              <m:r>
                <m:t>p</m:t>
              </m:r>
            </m:e>
            <m:sub>
              <m:r>
                <m:t>n</m:t>
              </m:r>
            </m:sub>
          </m:sSub>
          <m:r>
            <m:rPr>
              <m:sty m:val="p"/>
            </m:rPr>
            <m:t>(</m:t>
          </m:r>
          <m:r>
            <m:t>θ</m:t>
          </m:r>
          <m:r>
            <m:rPr>
              <m:sty m:val="p"/>
            </m:rPr>
            <m:t>)</m:t>
          </m:r>
          <m:r>
            <m:rPr>
              <m:sty m:val="p"/>
            </m:rPr>
            <m:t>,</m:t>
          </m:r>
          <m:r>
            <m:t>  </m:t>
          </m:r>
          <m:sSub>
            <m:e>
              <m:r>
                <m:t>P</m:t>
              </m:r>
            </m:e>
            <m:sub>
              <m:r>
                <m:t>t</m:t>
              </m:r>
            </m:sub>
          </m:sSub>
          <m:r>
            <m:rPr>
              <m:sty m:val="p"/>
            </m:rPr>
            <m:t>(</m:t>
          </m:r>
          <m:r>
            <m:t>θ</m:t>
          </m:r>
          <m:r>
            <m:rPr>
              <m:sty m:val="p"/>
            </m:rPr>
            <m:t>)</m:t>
          </m:r>
          <m:r>
            <m:rPr>
              <m:sty m:val="p"/>
            </m:rPr>
            <m:t>=</m:t>
          </m:r>
          <m:sSub>
            <m:e>
              <m:r>
                <m:t>λ</m:t>
              </m:r>
            </m:e>
            <m:sub>
              <m:r>
                <m:t>t</m:t>
              </m:r>
            </m:sub>
          </m:sSub>
          <m:sSubSup>
            <m:e>
              <m:r>
                <m:t>p</m:t>
              </m:r>
            </m:e>
            <m:sub>
              <m:r>
                <m:t>t</m:t>
              </m:r>
            </m:sub>
            <m:sup>
              <m:r>
                <m:rPr>
                  <m:sty m:val="p"/>
                </m:rPr>
                <m:t>*</m:t>
              </m:r>
            </m:sup>
          </m:sSubSup>
          <m:r>
            <m:rPr>
              <m:sty m:val="p"/>
            </m:rPr>
            <m:t>(</m:t>
          </m:r>
          <m:r>
            <m:t>θ</m:t>
          </m:r>
          <m:r>
            <m:rPr>
              <m:sty m:val="p"/>
            </m:rPr>
            <m:t>)</m:t>
          </m:r>
          <m:r>
            <m:rPr>
              <m:sty m:val="p"/>
            </m:rPr>
            <m:t>,</m:t>
          </m:r>
          <m:r>
            <m:t>  </m:t>
          </m:r>
          <m:r>
            <m:t>0</m:t>
          </m:r>
          <m:r>
            <m:rPr>
              <m:sty m:val="p"/>
            </m:rPr>
            <m:t>≤</m:t>
          </m:r>
          <m:sSub>
            <m:e>
              <m:r>
                <m:t>λ</m:t>
              </m:r>
            </m:e>
            <m:sub>
              <m:r>
                <m:t>t</m:t>
              </m:r>
            </m:sub>
          </m:sSub>
          <m:r>
            <m:rPr>
              <m:sty m:val="p"/>
            </m:rPr>
            <m:t>≤</m:t>
          </m:r>
          <m:r>
            <m:t>1</m:t>
          </m:r>
          <m:r>
            <m:rPr>
              <m:sty m:val="p"/>
            </m:rPr>
            <m:t>.</m:t>
          </m:r>
          <m:r>
            <m:t>  </m:t>
          </m:r>
          <m:r>
            <m:rPr>
              <m:sty m:val="p"/>
            </m:rPr>
            <m:t>(</m:t>
          </m:r>
          <m:r>
            <m:t>3.9</m:t>
          </m:r>
          <m:r>
            <m:rPr>
              <m:sty m:val="p"/>
            </m:rPr>
            <m:t>)</m:t>
          </m:r>
        </m:oMath>
      </m:oMathPara>
      <w:bookmarkEnd w:id="39"/>
    </w:p>
    <w:p>
      <w:pPr>
        <w:pStyle w:val="FirstParagraph"/>
      </w:pPr>
      <w:r>
        <w:t xml:space="preserve">En esta comprobación de carga prescrita,</w:t>
      </w:r>
      <w:r>
        <w:t xml:space="preserve"> </w:t>
      </w:r>
      <m:oMath>
        <m:sSub>
          <m:e>
            <m:r>
              <m:t>λ</m:t>
            </m:r>
          </m:e>
          <m:sub>
            <m:r>
              <m:t>t</m:t>
            </m:r>
          </m:sub>
        </m:sSub>
        <m:r>
          <m:rPr>
            <m:sty m:val="p"/>
          </m:rPr>
          <m:t>=</m:t>
        </m:r>
        <m:r>
          <m:t>1</m:t>
        </m:r>
      </m:oMath>
      <w:r>
        <w:t xml:space="preserve"> </w:t>
      </w:r>
      <w:r>
        <w:t xml:space="preserve">representa el vector</w:t>
      </w:r>
      <w:r>
        <w:t xml:space="preserve"> </w:t>
      </w:r>
      <w:r>
        <w:t xml:space="preserve">proyectado completo y</w:t>
      </w:r>
      <w:r>
        <w:t xml:space="preserve"> </w:t>
      </w:r>
      <m:oMath>
        <m:sSub>
          <m:e>
            <m:r>
              <m:t>λ</m:t>
            </m:r>
          </m:e>
          <m:sub>
            <m:r>
              <m:t>t</m:t>
            </m:r>
          </m:sub>
        </m:sSub>
        <m:r>
          <m:rPr>
            <m:sty m:val="p"/>
          </m:rPr>
          <m:t>=</m:t>
        </m:r>
        <m:r>
          <m:t>0</m:t>
        </m:r>
      </m:oMath>
      <w:r>
        <w:t xml:space="preserve"> </w:t>
      </w:r>
      <w:r>
        <w:t xml:space="preserve">representa su componente normal. La solución</w:t>
      </w:r>
      <w:r>
        <w:t xml:space="preserve"> </w:t>
      </w:r>
      <w:r>
        <w:t xml:space="preserve">Schwartz–Einstein caracteriza el contacto mediante sus propios coeficientes</w:t>
      </w:r>
      <w:r>
        <w:t xml:space="preserve"> </w:t>
      </w:r>
      <w:r>
        <w:t xml:space="preserve">para deslizamiento libre y ausencia de deslizamiento.</w:t>
      </w:r>
    </w:p>
    <w:p>
      <w:pPr>
        <w:pStyle w:val="BodyText"/>
      </w:pPr>
      <w:r>
        <w:t xml:space="preserve">Definiendo</w:t>
      </w:r>
    </w:p>
    <w:p>
      <w:pPr>
        <w:pStyle w:val="BodyText"/>
      </w:pPr>
      <m:oMathPara>
        <m:oMathParaPr>
          <m:jc m:val="center"/>
        </m:oMathParaPr>
        <m:oMath>
          <m:sSub>
            <m:e>
              <m:r>
                <m:t>p</m:t>
              </m:r>
            </m:e>
            <m:sub>
              <m:r>
                <m:t>m</m:t>
              </m:r>
            </m:sub>
          </m:sSub>
          <m:r>
            <m:rPr>
              <m:sty m:val="p"/>
            </m:rPr>
            <m:t>=</m:t>
          </m:r>
          <m:r>
            <m:rPr>
              <m:sty m:val="p"/>
            </m:rPr>
            <m:t>Δ</m:t>
          </m:r>
          <m:sSub>
            <m:e>
              <m:r>
                <m:t>u</m:t>
              </m:r>
            </m:e>
            <m:sub>
              <m:r>
                <m:t>A</m:t>
              </m:r>
            </m:sub>
          </m:sSub>
          <m:r>
            <m:rPr>
              <m:sty m:val="p"/>
            </m:rPr>
            <m:t>+</m:t>
          </m:r>
          <m:f>
            <m:fPr>
              <m:type m:val="bar"/>
            </m:fPr>
            <m:num>
              <m:sSubSup>
                <m:e>
                  <m:r>
                    <m:t>σ</m:t>
                  </m:r>
                </m:e>
                <m:sub>
                  <m:r>
                    <m:t>v</m:t>
                  </m:r>
                  <m:r>
                    <m:rPr>
                      <m:sty m:val="p"/>
                    </m:rPr>
                    <m:t>,</m:t>
                  </m:r>
                  <m:r>
                    <m:t>A</m:t>
                  </m:r>
                </m:sub>
                <m:sup>
                  <m:r>
                    <m:rPr>
                      <m:sty m:val="p"/>
                    </m:rPr>
                    <m:t>′</m:t>
                  </m:r>
                </m:sup>
              </m:sSubSup>
              <m:r>
                <m:rPr>
                  <m:sty m:val="p"/>
                </m:rPr>
                <m:t>+</m:t>
              </m:r>
              <m:sSubSup>
                <m:e>
                  <m:r>
                    <m:t>σ</m:t>
                  </m:r>
                </m:e>
                <m:sub>
                  <m:r>
                    <m:t>h</m:t>
                  </m:r>
                  <m:r>
                    <m:rPr>
                      <m:sty m:val="p"/>
                    </m:rPr>
                    <m:t>,</m:t>
                  </m:r>
                  <m:r>
                    <m:t>A</m:t>
                  </m:r>
                </m:sub>
                <m:sup>
                  <m:r>
                    <m:rPr>
                      <m:sty m:val="p"/>
                    </m:rPr>
                    <m:t>′</m:t>
                  </m:r>
                </m:sup>
              </m:sSubSup>
            </m:num>
            <m:den>
              <m:r>
                <m:t>2</m:t>
              </m:r>
            </m:den>
          </m:f>
          <m:r>
            <m:rPr>
              <m:sty m:val="p"/>
            </m:rPr>
            <m:t>,</m:t>
          </m:r>
          <m:r>
            <m:t>  </m:t>
          </m:r>
          <m:r>
            <m:rPr>
              <m:sty m:val="p"/>
            </m:rPr>
            <m:t>Δ</m:t>
          </m:r>
          <m:r>
            <m:t>σ</m:t>
          </m:r>
          <m:r>
            <m:rPr>
              <m:sty m:val="p"/>
            </m:rPr>
            <m:t>=</m:t>
          </m:r>
          <m:sSubSup>
            <m:e>
              <m:r>
                <m:t>σ</m:t>
              </m:r>
            </m:e>
            <m:sub>
              <m:r>
                <m:t>v</m:t>
              </m:r>
              <m:r>
                <m:rPr>
                  <m:sty m:val="p"/>
                </m:rPr>
                <m:t>,</m:t>
              </m:r>
              <m:r>
                <m:t>A</m:t>
              </m:r>
            </m:sub>
            <m:sup>
              <m:r>
                <m:rPr>
                  <m:sty m:val="p"/>
                </m:rPr>
                <m:t>′</m:t>
              </m:r>
            </m:sup>
          </m:sSubSup>
          <m:r>
            <m:rPr>
              <m:sty m:val="p"/>
            </m:rPr>
            <m:t>−</m:t>
          </m:r>
          <m:sSubSup>
            <m:e>
              <m:r>
                <m:t>σ</m:t>
              </m:r>
            </m:e>
            <m:sub>
              <m:r>
                <m:t>h</m:t>
              </m:r>
              <m:r>
                <m:rPr>
                  <m:sty m:val="p"/>
                </m:rPr>
                <m:t>,</m:t>
              </m:r>
              <m:r>
                <m:t>A</m:t>
              </m:r>
            </m:sub>
            <m:sup>
              <m:r>
                <m:rPr>
                  <m:sty m:val="p"/>
                </m:rPr>
                <m:t>′</m:t>
              </m:r>
            </m:sup>
          </m:sSubSup>
          <m:r>
            <m:rPr>
              <m:sty m:val="p"/>
            </m:rPr>
            <m:t>,</m:t>
          </m:r>
        </m:oMath>
      </m:oMathPara>
    </w:p>
    <w:p>
      <w:pPr>
        <w:pStyle w:val="FirstParagraph"/>
      </w:pPr>
      <w:r>
        <w:t xml:space="preserve">las acciones quedan</w:t>
      </w:r>
    </w:p>
    <w:p>
      <w:pPr>
        <w:pStyle w:val="BodyText"/>
      </w:pPr>
      <w:bookmarkStart w:id="40" w:name="eq-calculation-biaxial-load"/>
      <m:oMathPara>
        <m:oMathParaPr>
          <m:jc m:val="center"/>
        </m:oMathParaPr>
        <m:oMath>
          <m:sSub>
            <m:e>
              <m:r>
                <m:t>P</m:t>
              </m:r>
            </m:e>
            <m:sub>
              <m:r>
                <m:t>r</m:t>
              </m:r>
            </m:sub>
          </m:sSub>
          <m:r>
            <m:rPr>
              <m:sty m:val="p"/>
            </m:rPr>
            <m:t>(</m:t>
          </m:r>
          <m:r>
            <m:t>θ</m:t>
          </m:r>
          <m:r>
            <m:rPr>
              <m:sty m:val="p"/>
            </m:rPr>
            <m:t>)</m:t>
          </m:r>
          <m:r>
            <m:rPr>
              <m:sty m:val="p"/>
            </m:rPr>
            <m:t>=</m:t>
          </m:r>
          <m:r>
            <m:rPr>
              <m:sty m:val="p"/>
            </m:rPr>
            <m:t>−</m:t>
          </m:r>
          <m:sSub>
            <m:e>
              <m:r>
                <m:t>p</m:t>
              </m:r>
            </m:e>
            <m:sub>
              <m:r>
                <m:t>m</m:t>
              </m:r>
            </m:sub>
          </m:sSub>
          <m:r>
            <m:rPr>
              <m:sty m:val="p"/>
            </m:rPr>
            <m:t>−</m:t>
          </m:r>
          <m:f>
            <m:fPr>
              <m:type m:val="bar"/>
            </m:fPr>
            <m:num>
              <m:r>
                <m:rPr>
                  <m:sty m:val="p"/>
                </m:rPr>
                <m:t>Δ</m:t>
              </m:r>
              <m:r>
                <m:t>σ</m:t>
              </m:r>
            </m:num>
            <m:den>
              <m:r>
                <m:t>2</m:t>
              </m:r>
            </m:den>
          </m:f>
          <m:r>
            <m:rPr>
              <m:sty m:val="p"/>
            </m:rPr>
            <m:t>cos</m:t>
          </m:r>
          <m:r>
            <m:t>2</m:t>
          </m:r>
          <m:r>
            <m:t>θ</m:t>
          </m:r>
          <m:r>
            <m:rPr>
              <m:sty m:val="p"/>
            </m:rPr>
            <m:t>,</m:t>
          </m:r>
          <m:r>
            <m:t>  </m:t>
          </m:r>
          <m:sSub>
            <m:e>
              <m:r>
                <m:t>P</m:t>
              </m:r>
            </m:e>
            <m:sub>
              <m:r>
                <m:t>t</m:t>
              </m:r>
            </m:sub>
          </m:sSub>
          <m:r>
            <m:rPr>
              <m:sty m:val="p"/>
            </m:rPr>
            <m:t>(</m:t>
          </m:r>
          <m:r>
            <m:t>θ</m:t>
          </m:r>
          <m:r>
            <m:rPr>
              <m:sty m:val="p"/>
            </m:rPr>
            <m:t>)</m:t>
          </m:r>
          <m:r>
            <m:rPr>
              <m:sty m:val="p"/>
            </m:rPr>
            <m:t>=</m:t>
          </m:r>
          <m:sSub>
            <m:e>
              <m:r>
                <m:t>λ</m:t>
              </m:r>
            </m:e>
            <m:sub>
              <m:r>
                <m:t>t</m:t>
              </m:r>
            </m:sub>
          </m:sSub>
          <m:f>
            <m:fPr>
              <m:type m:val="bar"/>
            </m:fPr>
            <m:num>
              <m:r>
                <m:rPr>
                  <m:sty m:val="p"/>
                </m:rPr>
                <m:t>Δ</m:t>
              </m:r>
              <m:r>
                <m:t>σ</m:t>
              </m:r>
            </m:num>
            <m:den>
              <m:r>
                <m:t>2</m:t>
              </m:r>
            </m:den>
          </m:f>
          <m:r>
            <m:rPr>
              <m:sty m:val="p"/>
            </m:rPr>
            <m:t>sin</m:t>
          </m:r>
          <m:r>
            <m:t>2</m:t>
          </m:r>
          <m:r>
            <m:t>θ</m:t>
          </m:r>
          <m:r>
            <m:rPr>
              <m:sty m:val="p"/>
            </m:rPr>
            <m:t>.</m:t>
          </m:r>
          <m:r>
            <m:t>  </m:t>
          </m:r>
          <m:r>
            <m:rPr>
              <m:sty m:val="p"/>
            </m:rPr>
            <m:t>(</m:t>
          </m:r>
          <m:r>
            <m:t>3.10</m:t>
          </m:r>
          <m:r>
            <m:rPr>
              <m:sty m:val="p"/>
            </m:rPr>
            <m:t>)</m:t>
          </m:r>
        </m:oMath>
      </m:oMathPara>
      <w:bookmarkEnd w:id="40"/>
    </w:p>
    <w:p>
      <w:pPr>
        <w:pStyle w:val="FirstParagraph"/>
      </w:pPr>
      <m:oMath>
        <m:sSubSup>
          <m:e>
            <m:r>
              <m:t>σ</m:t>
            </m:r>
          </m:e>
          <m:sub>
            <m:r>
              <m:t>v</m:t>
            </m:r>
            <m:r>
              <m:rPr>
                <m:sty m:val="p"/>
              </m:rPr>
              <m:t>,</m:t>
            </m:r>
            <m:r>
              <m:t>A</m:t>
            </m:r>
          </m:sub>
          <m:sup>
            <m:r>
              <m:rPr>
                <m:sty m:val="p"/>
              </m:rPr>
              <m:t>′</m:t>
            </m:r>
          </m:sup>
        </m:sSubSup>
      </m:oMath>
      <w:r>
        <w:t xml:space="preserve"> </w:t>
      </w:r>
      <w:r>
        <w:t xml:space="preserve">y</w:t>
      </w:r>
      <w:r>
        <w:t xml:space="preserve"> </w:t>
      </w:r>
      <m:oMath>
        <m:sSubSup>
          <m:e>
            <m:r>
              <m:t>σ</m:t>
            </m:r>
          </m:e>
          <m:sub>
            <m:r>
              <m:t>h</m:t>
            </m:r>
            <m:r>
              <m:rPr>
                <m:sty m:val="p"/>
              </m:rPr>
              <m:t>,</m:t>
            </m:r>
            <m:r>
              <m:t>A</m:t>
            </m:r>
          </m:sub>
          <m:sup>
            <m:r>
              <m:rPr>
                <m:sty m:val="p"/>
              </m:rPr>
              <m:t>′</m:t>
            </m:r>
          </m:sup>
        </m:sSubSup>
      </m:oMath>
      <w:r>
        <w:t xml:space="preserve"> </w:t>
      </w:r>
      <w:r>
        <w:t xml:space="preserve">son las tensiones principales del campo libre</w:t>
      </w:r>
      <w:r>
        <w:t xml:space="preserve"> </w:t>
      </w:r>
      <w:r>
        <w:t xml:space="preserve">en el eje. Su proyección sobre el contorno circular produce la dependencia</w:t>
      </w:r>
      <w:r>
        <w:t xml:space="preserve"> </w:t>
      </w:r>
      <w:r>
        <w:t xml:space="preserve">angular de la</w:t>
      </w:r>
      <w:r>
        <w:t xml:space="preserve"> </w:t>
      </w:r>
      <w:hyperlink w:anchor="eq-calculation-biaxial-load">
        <w:r>
          <w:rPr>
            <w:rStyle w:val="Hyperlink"/>
          </w:rPr>
          <w:t xml:space="preserve">ec. 3.10</w:t>
        </w:r>
      </w:hyperlink>
      <w:r>
        <w:t xml:space="preserve"> </w:t>
      </w:r>
      <w:r>
        <w:t xml:space="preserve">y los modos de Fourier</w:t>
      </w:r>
      <w:r>
        <w:t xml:space="preserve"> </w:t>
      </w:r>
      <m:oMath>
        <m:r>
          <m:t>n</m:t>
        </m:r>
        <m:r>
          <m:rPr>
            <m:sty m:val="p"/>
          </m:rPr>
          <m:t>=</m:t>
        </m:r>
        <m:r>
          <m:t>0</m:t>
        </m:r>
        <m:r>
          <m:rPr>
            <m:sty m:val="p"/>
          </m:rPr>
          <m:t>,</m:t>
        </m:r>
        <m:r>
          <m:t>2</m:t>
        </m:r>
      </m:oMath>
      <w:r>
        <w:t xml:space="preserve">.</w:t>
      </w:r>
    </w:p>
    <w:p>
      <w:pPr>
        <w:pStyle w:val="BodyText"/>
      </w:pPr>
      <w:r>
        <w:t xml:space="preserve">La profundidad local y las tensiones efectivas alrededor del contorno se</w:t>
      </w:r>
      <w:r>
        <w:t xml:space="preserve"> </w:t>
      </w:r>
      <w:r>
        <w:t xml:space="preserve">definen mediante</w:t>
      </w:r>
    </w:p>
    <w:p>
      <w:pPr>
        <w:pStyle w:val="BodyText"/>
      </w:pPr>
      <m:oMathPara>
        <m:oMathParaPr>
          <m:jc m:val="center"/>
        </m:oMathParaPr>
        <m:oMath>
          <m:r>
            <m:t>z</m:t>
          </m:r>
          <m:r>
            <m:rPr>
              <m:sty m:val="p"/>
            </m:rPr>
            <m:t>(</m:t>
          </m:r>
          <m:r>
            <m:t>θ</m:t>
          </m:r>
          <m:r>
            <m:rPr>
              <m:sty m:val="p"/>
            </m:rPr>
            <m:t>)</m:t>
          </m:r>
          <m:r>
            <m:rPr>
              <m:sty m:val="p"/>
            </m:rPr>
            <m:t>=</m:t>
          </m:r>
          <m:sSub>
            <m:e>
              <m:r>
                <m:t>z</m:t>
              </m:r>
            </m:e>
            <m:sub>
              <m:r>
                <m:t>r</m:t>
              </m:r>
              <m:r>
                <m:t>e</m:t>
              </m:r>
              <m:r>
                <m:t>f</m:t>
              </m:r>
            </m:sub>
          </m:sSub>
          <m:r>
            <m:rPr>
              <m:sty m:val="p"/>
            </m:rPr>
            <m:t>−</m:t>
          </m:r>
          <m:r>
            <m:t>R</m:t>
          </m:r>
          <m:r>
            <m:rPr>
              <m:sty m:val="p"/>
            </m:rPr>
            <m:t>cos</m:t>
          </m:r>
          <m:r>
            <m:t>θ</m:t>
          </m:r>
          <m:r>
            <m:rPr>
              <m:sty m:val="p"/>
            </m:rPr>
            <m:t>,</m:t>
          </m:r>
        </m:oMath>
      </m:oMathPara>
    </w:p>
    <w:p>
      <w:pPr>
        <w:pStyle w:val="FirstParagraph"/>
      </w:pPr>
      <w:bookmarkStart w:id="41" w:name="eq-calculation-local-geostatic-stress"/>
      <m:oMathPara>
        <m:oMathParaPr>
          <m:jc m:val="center"/>
        </m:oMathParaPr>
        <m:oMath>
          <m:sSubSup>
            <m:e>
              <m:r>
                <m:t>σ</m:t>
              </m:r>
            </m:e>
            <m:sub>
              <m:r>
                <m:t>v</m:t>
              </m:r>
            </m:sub>
            <m:sup>
              <m:r>
                <m:rPr>
                  <m:sty m:val="p"/>
                </m:rPr>
                <m:t>′</m:t>
              </m:r>
            </m:sup>
          </m:sSubSup>
          <m:r>
            <m:rPr>
              <m:sty m:val="p"/>
            </m:rPr>
            <m:t>(</m:t>
          </m:r>
          <m:r>
            <m:t>θ</m:t>
          </m:r>
          <m:r>
            <m:rPr>
              <m:sty m:val="p"/>
            </m:rPr>
            <m:t>)</m:t>
          </m:r>
          <m:r>
            <m:rPr>
              <m:sty m:val="p"/>
            </m:rPr>
            <m:t>=</m:t>
          </m:r>
          <m:sSubSup>
            <m:e>
              <m:r>
                <m:t>σ</m:t>
              </m:r>
            </m:e>
            <m:sub>
              <m:r>
                <m:t>v</m:t>
              </m:r>
              <m:r>
                <m:rPr>
                  <m:sty m:val="p"/>
                </m:rPr>
                <m:t>,</m:t>
              </m:r>
              <m:r>
                <m:t>A</m:t>
              </m:r>
            </m:sub>
            <m:sup>
              <m:r>
                <m:rPr>
                  <m:sty m:val="p"/>
                </m:rPr>
                <m:t>′</m:t>
              </m:r>
            </m:sup>
          </m:sSubSup>
          <m:r>
            <m:rPr>
              <m:sty m:val="p"/>
            </m:rPr>
            <m:t>−</m:t>
          </m:r>
          <m:sSub>
            <m:e>
              <m:r>
                <m:t>γ</m:t>
              </m:r>
            </m:e>
            <m:sub>
              <m:r>
                <m:t>v</m:t>
              </m:r>
            </m:sub>
          </m:sSub>
          <m:r>
            <m:t>R</m:t>
          </m:r>
          <m:r>
            <m:rPr>
              <m:sty m:val="p"/>
            </m:rPr>
            <m:t>cos</m:t>
          </m:r>
          <m:r>
            <m:t>θ</m:t>
          </m:r>
          <m:r>
            <m:rPr>
              <m:sty m:val="p"/>
            </m:rPr>
            <m:t>,</m:t>
          </m:r>
          <m:r>
            <m:t>  </m:t>
          </m:r>
          <m:sSubSup>
            <m:e>
              <m:r>
                <m:t>σ</m:t>
              </m:r>
            </m:e>
            <m:sub>
              <m:r>
                <m:t>h</m:t>
              </m:r>
            </m:sub>
            <m:sup>
              <m:r>
                <m:rPr>
                  <m:sty m:val="p"/>
                </m:rPr>
                <m:t>′</m:t>
              </m:r>
            </m:sup>
          </m:sSubSup>
          <m:r>
            <m:rPr>
              <m:sty m:val="p"/>
            </m:rPr>
            <m:t>(</m:t>
          </m:r>
          <m:r>
            <m:t>θ</m:t>
          </m:r>
          <m:r>
            <m:rPr>
              <m:sty m:val="p"/>
            </m:rPr>
            <m:t>)</m:t>
          </m:r>
          <m:r>
            <m:rPr>
              <m:sty m:val="p"/>
            </m:rPr>
            <m:t>=</m:t>
          </m:r>
          <m:sSubSup>
            <m:e>
              <m:r>
                <m:t>σ</m:t>
              </m:r>
            </m:e>
            <m:sub>
              <m:r>
                <m:t>h</m:t>
              </m:r>
              <m:r>
                <m:rPr>
                  <m:sty m:val="p"/>
                </m:rPr>
                <m:t>,</m:t>
              </m:r>
              <m:r>
                <m:t>A</m:t>
              </m:r>
            </m:sub>
            <m:sup>
              <m:r>
                <m:rPr>
                  <m:sty m:val="p"/>
                </m:rPr>
                <m:t>′</m:t>
              </m:r>
            </m:sup>
          </m:sSubSup>
          <m:r>
            <m:rPr>
              <m:sty m:val="p"/>
            </m:rPr>
            <m:t>−</m:t>
          </m:r>
          <m:sSub>
            <m:e>
              <m:r>
                <m:t>γ</m:t>
              </m:r>
            </m:e>
            <m:sub>
              <m:r>
                <m:t>h</m:t>
              </m:r>
            </m:sub>
          </m:sSub>
          <m:r>
            <m:t>R</m:t>
          </m:r>
          <m:r>
            <m:rPr>
              <m:sty m:val="p"/>
            </m:rPr>
            <m:t>cos</m:t>
          </m:r>
          <m:r>
            <m:t>θ</m:t>
          </m:r>
          <m:r>
            <m:rPr>
              <m:sty m:val="p"/>
            </m:rPr>
            <m:t>.</m:t>
          </m:r>
          <m:r>
            <m:t>  </m:t>
          </m:r>
          <m:r>
            <m:rPr>
              <m:sty m:val="p"/>
            </m:rPr>
            <m:t>(</m:t>
          </m:r>
          <m:r>
            <m:t>3.11</m:t>
          </m:r>
          <m:r>
            <m:rPr>
              <m:sty m:val="p"/>
            </m:rPr>
            <m:t>)</m:t>
          </m:r>
        </m:oMath>
      </m:oMathPara>
      <w:bookmarkEnd w:id="41"/>
    </w:p>
    <w:p>
      <w:pPr>
        <w:pStyle w:val="FirstParagraph"/>
      </w:pPr>
      <w:r>
        <w:t xml:space="preserve">Para el relleno inferior homogéneo con</w:t>
      </w:r>
      <w:r>
        <w:t xml:space="preserve"> </w:t>
      </w:r>
      <m:oMath>
        <m:sSub>
          <m:e>
            <m:r>
              <m:t>K</m:t>
            </m:r>
          </m:e>
          <m:sub>
            <m:r>
              <m:t>0</m:t>
            </m:r>
          </m:sub>
        </m:sSub>
      </m:oMath>
      <w:r>
        <w:t xml:space="preserve"> </w:t>
      </w:r>
      <w:r>
        <w:t xml:space="preserve">constante,</w:t>
      </w:r>
      <w:r>
        <w:t xml:space="preserve"> </w:t>
      </w:r>
      <m:oMath>
        <m:sSub>
          <m:e>
            <m:r>
              <m:t>γ</m:t>
            </m:r>
          </m:e>
          <m:sub>
            <m:r>
              <m:t>v</m:t>
            </m:r>
          </m:sub>
        </m:sSub>
        <m:r>
          <m:rPr>
            <m:sty m:val="p"/>
          </m:rPr>
          <m:t>=</m:t>
        </m:r>
        <m:sSubSup>
          <m:e>
            <m:r>
              <m:t>γ</m:t>
            </m:r>
          </m:e>
          <m:sub>
            <m:r>
              <m:t>0</m:t>
            </m:r>
          </m:sub>
          <m:sup>
            <m:r>
              <m:rPr>
                <m:sty m:val="p"/>
              </m:rPr>
              <m:t>′</m:t>
            </m:r>
          </m:sup>
        </m:sSubSup>
      </m:oMath>
      <w:r>
        <w:t xml:space="preserve"> </w:t>
      </w:r>
      <w:r>
        <w:t xml:space="preserve">y</w:t>
      </w:r>
      <w:r>
        <w:t xml:space="preserve"> </w:t>
      </w:r>
      <m:oMath>
        <m:sSub>
          <m:e>
            <m:r>
              <m:t>γ</m:t>
            </m:r>
          </m:e>
          <m:sub>
            <m:r>
              <m:t>h</m:t>
            </m:r>
          </m:sub>
        </m:sSub>
        <m:r>
          <m:rPr>
            <m:sty m:val="p"/>
          </m:rPr>
          <m:t>=</m:t>
        </m:r>
        <m:sSub>
          <m:e>
            <m:r>
              <m:t>K</m:t>
            </m:r>
          </m:e>
          <m:sub>
            <m:r>
              <m:t>0</m:t>
            </m:r>
          </m:sub>
        </m:sSub>
        <m:sSubSup>
          <m:e>
            <m:r>
              <m:t>γ</m:t>
            </m:r>
          </m:e>
          <m:sub>
            <m:r>
              <m:t>0</m:t>
            </m:r>
          </m:sub>
          <m:sup>
            <m:r>
              <m:rPr>
                <m:sty m:val="p"/>
              </m:rPr>
              <m:t>′</m:t>
            </m:r>
          </m:sup>
        </m:sSubSup>
      </m:oMath>
      <w:r>
        <w:t xml:space="preserve">. La diferencia respecto del estado</w:t>
      </w:r>
      <w:r>
        <w:t xml:space="preserve"> </w:t>
      </w:r>
      <w:r>
        <w:t xml:space="preserve">uniforme del eje se proyecta como</w:t>
      </w:r>
    </w:p>
    <w:p>
      <w:pPr>
        <w:pStyle w:val="BodyText"/>
      </w:pPr>
      <m:oMathPara>
        <m:oMathParaPr>
          <m:jc m:val="center"/>
        </m:oMathParaPr>
        <m:oMath>
          <m:r>
            <m:rPr>
              <m:sty m:val="p"/>
            </m:rPr>
            <m:t>Δ</m:t>
          </m:r>
          <m:sSub>
            <m:e>
              <m:r>
                <m:t>P</m:t>
              </m:r>
            </m:e>
            <m:sub>
              <m:r>
                <m:t>r</m:t>
              </m:r>
            </m:sub>
          </m:sSub>
          <m:r>
            <m:rPr>
              <m:sty m:val="p"/>
            </m:rPr>
            <m:t>(</m:t>
          </m:r>
          <m:r>
            <m:t>θ</m:t>
          </m:r>
          <m:r>
            <m:rPr>
              <m:sty m:val="p"/>
            </m:rPr>
            <m:t>)</m:t>
          </m:r>
          <m:r>
            <m:rPr>
              <m:sty m:val="p"/>
            </m:rPr>
            <m:t>=</m:t>
          </m:r>
          <m:sSubSup>
            <m:e>
              <m:r>
                <m:t>a</m:t>
              </m:r>
            </m:e>
            <m:sub>
              <m:r>
                <m:t>1</m:t>
              </m:r>
            </m:sub>
            <m:sup>
              <m:r>
                <m:t>g</m:t>
              </m:r>
            </m:sup>
          </m:sSubSup>
          <m:r>
            <m:rPr>
              <m:sty m:val="p"/>
            </m:rPr>
            <m:t>cos</m:t>
          </m:r>
          <m:r>
            <m:t>θ</m:t>
          </m:r>
          <m:r>
            <m:rPr>
              <m:sty m:val="p"/>
            </m:rPr>
            <m:t>+</m:t>
          </m:r>
          <m:sSubSup>
            <m:e>
              <m:r>
                <m:t>a</m:t>
              </m:r>
            </m:e>
            <m:sub>
              <m:r>
                <m:t>3</m:t>
              </m:r>
            </m:sub>
            <m:sup>
              <m:r>
                <m:t>g</m:t>
              </m:r>
            </m:sup>
          </m:sSubSup>
          <m:r>
            <m:rPr>
              <m:sty m:val="p"/>
            </m:rPr>
            <m:t>cos</m:t>
          </m:r>
          <m:r>
            <m:t>3</m:t>
          </m:r>
          <m:r>
            <m:t>θ</m:t>
          </m:r>
          <m:r>
            <m:rPr>
              <m:sty m:val="p"/>
            </m:rPr>
            <m:t>,</m:t>
          </m:r>
          <m:r>
            <m:t>  </m:t>
          </m:r>
          <m:r>
            <m:rPr>
              <m:sty m:val="p"/>
            </m:rPr>
            <m:t>Δ</m:t>
          </m:r>
          <m:sSub>
            <m:e>
              <m:r>
                <m:t>P</m:t>
              </m:r>
            </m:e>
            <m:sub>
              <m:r>
                <m:t>t</m:t>
              </m:r>
            </m:sub>
          </m:sSub>
          <m:r>
            <m:rPr>
              <m:sty m:val="p"/>
            </m:rPr>
            <m:t>(</m:t>
          </m:r>
          <m:r>
            <m:t>θ</m:t>
          </m:r>
          <m:r>
            <m:rPr>
              <m:sty m:val="p"/>
            </m:rPr>
            <m:t>)</m:t>
          </m:r>
          <m:r>
            <m:rPr>
              <m:sty m:val="p"/>
            </m:rPr>
            <m:t>=</m:t>
          </m:r>
          <m:sSubSup>
            <m:e>
              <m:r>
                <m:t>d</m:t>
              </m:r>
            </m:e>
            <m:sub>
              <m:r>
                <m:t>1</m:t>
              </m:r>
            </m:sub>
            <m:sup>
              <m:r>
                <m:t>g</m:t>
              </m:r>
            </m:sup>
          </m:sSubSup>
          <m:r>
            <m:rPr>
              <m:sty m:val="p"/>
            </m:rPr>
            <m:t>sin</m:t>
          </m:r>
          <m:r>
            <m:t>θ</m:t>
          </m:r>
          <m:r>
            <m:rPr>
              <m:sty m:val="p"/>
            </m:rPr>
            <m:t>+</m:t>
          </m:r>
          <m:sSubSup>
            <m:e>
              <m:r>
                <m:t>d</m:t>
              </m:r>
            </m:e>
            <m:sub>
              <m:r>
                <m:t>3</m:t>
              </m:r>
            </m:sub>
            <m:sup>
              <m:r>
                <m:t>g</m:t>
              </m:r>
            </m:sup>
          </m:sSubSup>
          <m:r>
            <m:rPr>
              <m:sty m:val="p"/>
            </m:rPr>
            <m:t>sin</m:t>
          </m:r>
          <m:r>
            <m:t>3</m:t>
          </m:r>
          <m:r>
            <m:t>θ</m:t>
          </m:r>
          <m:r>
            <m:rPr>
              <m:sty m:val="p"/>
            </m:rPr>
            <m:t>,</m:t>
          </m:r>
        </m:oMath>
      </m:oMathPara>
    </w:p>
    <w:p>
      <w:pPr>
        <w:pStyle w:val="FirstParagraph"/>
      </w:pPr>
      <w:bookmarkStart w:id="42" w:name="eq-calculation-linear-gradient-load"/>
      <m:oMathPara>
        <m:oMathParaPr>
          <m:jc m:val="center"/>
        </m:oMathParaPr>
        <m:oMath>
          <m:eqArr>
            <m:e>
              <m:sSubSup>
                <m:e>
                  <m:r>
                    <m:t>a</m:t>
                  </m:r>
                </m:e>
                <m:sub>
                  <m:r>
                    <m:t>1</m:t>
                  </m:r>
                </m:sub>
                <m:sup>
                  <m:r>
                    <m:t>g</m:t>
                  </m:r>
                </m:sup>
              </m:sSubSup>
              <m:r>
                <m:t>&amp;</m:t>
              </m:r>
              <m:r>
                <m:rPr>
                  <m:sty m:val="p"/>
                </m:rPr>
                <m:t>=</m:t>
              </m:r>
              <m:f>
                <m:fPr>
                  <m:type m:val="bar"/>
                </m:fPr>
                <m:num>
                  <m:r>
                    <m:t>R</m:t>
                  </m:r>
                </m:num>
                <m:den>
                  <m:r>
                    <m:t>4</m:t>
                  </m:r>
                </m:den>
              </m:f>
              <m:r>
                <m:rPr>
                  <m:sty m:val="p"/>
                </m:rPr>
                <m:t>(</m:t>
              </m:r>
              <m:r>
                <m:t>3</m:t>
              </m:r>
              <m:sSub>
                <m:e>
                  <m:r>
                    <m:t>γ</m:t>
                  </m:r>
                </m:e>
                <m:sub>
                  <m:r>
                    <m:t>v</m:t>
                  </m:r>
                </m:sub>
              </m:sSub>
              <m:r>
                <m:rPr>
                  <m:sty m:val="p"/>
                </m:rPr>
                <m:t>+</m:t>
              </m:r>
              <m:sSub>
                <m:e>
                  <m:r>
                    <m:t>γ</m:t>
                  </m:r>
                </m:e>
                <m:sub>
                  <m:r>
                    <m:t>h</m:t>
                  </m:r>
                </m:sub>
              </m:sSub>
              <m:r>
                <m:rPr>
                  <m:sty m:val="p"/>
                </m:rPr>
                <m:t>)</m:t>
              </m:r>
              <m:r>
                <m:rPr>
                  <m:sty m:val="p"/>
                </m:rPr>
                <m:t>,</m:t>
              </m:r>
              <m:r>
                <m:t>&amp;</m:t>
              </m:r>
              <m:sSubSup>
                <m:e>
                  <m:r>
                    <m:t>d</m:t>
                  </m:r>
                </m:e>
                <m:sub>
                  <m:r>
                    <m:t>1</m:t>
                  </m:r>
                </m:sub>
                <m:sup>
                  <m:r>
                    <m:t>g</m:t>
                  </m:r>
                </m:sup>
              </m:sSubSup>
              <m:r>
                <m:t>&amp;</m:t>
              </m:r>
              <m:r>
                <m:rPr>
                  <m:sty m:val="p"/>
                </m:rPr>
                <m:t>=</m:t>
              </m:r>
              <m:r>
                <m:rPr>
                  <m:sty m:val="p"/>
                </m:rPr>
                <m:t>−</m:t>
              </m:r>
              <m:f>
                <m:fPr>
                  <m:type m:val="bar"/>
                </m:fPr>
                <m:num>
                  <m:r>
                    <m:t>R</m:t>
                  </m:r>
                </m:num>
                <m:den>
                  <m:r>
                    <m:t>4</m:t>
                  </m:r>
                </m:den>
              </m:f>
              <m:r>
                <m:rPr>
                  <m:sty m:val="p"/>
                </m:rPr>
                <m:t>(</m:t>
              </m:r>
              <m:sSub>
                <m:e>
                  <m:r>
                    <m:t>γ</m:t>
                  </m:r>
                </m:e>
                <m:sub>
                  <m:r>
                    <m:t>v</m:t>
                  </m:r>
                </m:sub>
              </m:sSub>
              <m:r>
                <m:rPr>
                  <m:sty m:val="p"/>
                </m:rPr>
                <m:t>−</m:t>
              </m:r>
              <m:sSub>
                <m:e>
                  <m:r>
                    <m:t>γ</m:t>
                  </m:r>
                </m:e>
                <m:sub>
                  <m:r>
                    <m:t>h</m:t>
                  </m:r>
                </m:sub>
              </m:sSub>
              <m:r>
                <m:rPr>
                  <m:sty m:val="p"/>
                </m:rPr>
                <m:t>)</m:t>
              </m:r>
              <m:r>
                <m:rPr>
                  <m:sty m:val="p"/>
                </m:rPr>
                <m:t>,</m:t>
              </m:r>
            </m:e>
            <m:e>
              <m:sSubSup>
                <m:e>
                  <m:r>
                    <m:t>a</m:t>
                  </m:r>
                </m:e>
                <m:sub>
                  <m:r>
                    <m:t>3</m:t>
                  </m:r>
                </m:sub>
                <m:sup>
                  <m:r>
                    <m:t>g</m:t>
                  </m:r>
                </m:sup>
              </m:sSubSup>
              <m:r>
                <m:t>&amp;</m:t>
              </m:r>
              <m:r>
                <m:rPr>
                  <m:sty m:val="p"/>
                </m:rPr>
                <m:t>=</m:t>
              </m:r>
              <m:f>
                <m:fPr>
                  <m:type m:val="bar"/>
                </m:fPr>
                <m:num>
                  <m:r>
                    <m:t>R</m:t>
                  </m:r>
                </m:num>
                <m:den>
                  <m:r>
                    <m:t>4</m:t>
                  </m:r>
                </m:den>
              </m:f>
              <m:r>
                <m:rPr>
                  <m:sty m:val="p"/>
                </m:rPr>
                <m:t>(</m:t>
              </m:r>
              <m:sSub>
                <m:e>
                  <m:r>
                    <m:t>γ</m:t>
                  </m:r>
                </m:e>
                <m:sub>
                  <m:r>
                    <m:t>v</m:t>
                  </m:r>
                </m:sub>
              </m:sSub>
              <m:r>
                <m:rPr>
                  <m:sty m:val="p"/>
                </m:rPr>
                <m:t>−</m:t>
              </m:r>
              <m:sSub>
                <m:e>
                  <m:r>
                    <m:t>γ</m:t>
                  </m:r>
                </m:e>
                <m:sub>
                  <m:r>
                    <m:t>h</m:t>
                  </m:r>
                </m:sub>
              </m:sSub>
              <m:r>
                <m:rPr>
                  <m:sty m:val="p"/>
                </m:rPr>
                <m:t>)</m:t>
              </m:r>
              <m:r>
                <m:rPr>
                  <m:sty m:val="p"/>
                </m:rPr>
                <m:t>,</m:t>
              </m:r>
              <m:r>
                <m:t>&amp;</m:t>
              </m:r>
              <m:sSubSup>
                <m:e>
                  <m:r>
                    <m:t>d</m:t>
                  </m:r>
                </m:e>
                <m:sub>
                  <m:r>
                    <m:t>3</m:t>
                  </m:r>
                </m:sub>
                <m:sup>
                  <m:r>
                    <m:t>g</m:t>
                  </m:r>
                </m:sup>
              </m:sSubSup>
              <m:r>
                <m:t>&amp;</m:t>
              </m:r>
              <m:r>
                <m:rPr>
                  <m:sty m:val="p"/>
                </m:rPr>
                <m:t>=</m:t>
              </m:r>
              <m:r>
                <m:rPr>
                  <m:sty m:val="p"/>
                </m:rPr>
                <m:t>−</m:t>
              </m:r>
              <m:f>
                <m:fPr>
                  <m:type m:val="bar"/>
                </m:fPr>
                <m:num>
                  <m:r>
                    <m:t>R</m:t>
                  </m:r>
                </m:num>
                <m:den>
                  <m:r>
                    <m:t>4</m:t>
                  </m:r>
                </m:den>
              </m:f>
              <m:r>
                <m:rPr>
                  <m:sty m:val="p"/>
                </m:rPr>
                <m:t>(</m:t>
              </m:r>
              <m:sSub>
                <m:e>
                  <m:r>
                    <m:t>γ</m:t>
                  </m:r>
                </m:e>
                <m:sub>
                  <m:r>
                    <m:t>v</m:t>
                  </m:r>
                </m:sub>
              </m:sSub>
              <m:r>
                <m:rPr>
                  <m:sty m:val="p"/>
                </m:rPr>
                <m:t>−</m:t>
              </m:r>
              <m:sSub>
                <m:e>
                  <m:r>
                    <m:t>γ</m:t>
                  </m:r>
                </m:e>
                <m:sub>
                  <m:r>
                    <m:t>h</m:t>
                  </m:r>
                </m:sub>
              </m:sSub>
              <m:r>
                <m:rPr>
                  <m:sty m:val="p"/>
                </m:rPr>
                <m:t>)</m:t>
              </m:r>
              <m:r>
                <m:rPr>
                  <m:sty m:val="p"/>
                </m:rPr>
                <m:t>.</m:t>
              </m:r>
            </m:e>
          </m:eqArr>
          <m:r>
            <m:t>  </m:t>
          </m:r>
          <m:r>
            <m:rPr>
              <m:sty m:val="p"/>
            </m:rPr>
            <m:t>(</m:t>
          </m:r>
          <m:r>
            <m:t>3.12</m:t>
          </m:r>
          <m:r>
            <m:rPr>
              <m:sty m:val="p"/>
            </m:rPr>
            <m:t>)</m:t>
          </m:r>
        </m:oMath>
      </m:oMathPara>
      <w:bookmarkEnd w:id="42"/>
    </w:p>
    <w:p>
      <w:pPr>
        <w:pStyle w:val="FirstParagraph"/>
      </w:pPr>
      <w:r>
        <w:t xml:space="preserve">La resultante gravitatoria del modo</w:t>
      </w:r>
      <w:r>
        <w:t xml:space="preserve"> </w:t>
      </w:r>
      <m:oMath>
        <m:r>
          <m:t>n</m:t>
        </m:r>
        <m:r>
          <m:rPr>
            <m:sty m:val="p"/>
          </m:rPr>
          <m:t>=</m:t>
        </m:r>
        <m:r>
          <m:t>1</m:t>
        </m:r>
      </m:oMath>
      <w:r>
        <w:t xml:space="preserve"> </w:t>
      </w:r>
      <w:r>
        <w:t xml:space="preserve">se equilibra con una reacción radial</w:t>
      </w:r>
      <w:r>
        <w:t xml:space="preserve"> </w:t>
      </w:r>
      <w:r>
        <w:t xml:space="preserve">distribuida de coeficiente</w:t>
      </w:r>
      <w:r>
        <w:t xml:space="preserve"> </w:t>
      </w:r>
      <m:oMath>
        <m:sSubSup>
          <m:e>
            <m:r>
              <m:t>a</m:t>
            </m:r>
          </m:e>
          <m:sub>
            <m:r>
              <m:t>1</m:t>
            </m:r>
          </m:sub>
          <m:sup>
            <m:r>
              <m:t>s</m:t>
            </m:r>
          </m:sup>
        </m:sSubSup>
        <m:r>
          <m:rPr>
            <m:sty m:val="p"/>
          </m:rPr>
          <m:t>=</m:t>
        </m:r>
        <m:r>
          <m:rPr>
            <m:sty m:val="p"/>
          </m:rPr>
          <m:t>−</m:t>
        </m:r>
        <m:r>
          <m:t>R</m:t>
        </m:r>
        <m:sSub>
          <m:e>
            <m:r>
              <m:t>γ</m:t>
            </m:r>
          </m:e>
          <m:sub>
            <m:r>
              <m:t>v</m:t>
            </m:r>
          </m:sub>
        </m:sSub>
      </m:oMath>
      <w:r>
        <w:t xml:space="preserve">. Con</w:t>
      </w:r>
      <w:r>
        <w:t xml:space="preserve"> </w:t>
      </w:r>
      <m:oMath>
        <m:r>
          <m:rPr>
            <m:sty m:val="p"/>
          </m:rPr>
          <m:t>Δ</m:t>
        </m:r>
        <m:r>
          <m:t>γ</m:t>
        </m:r>
        <m:r>
          <m:rPr>
            <m:sty m:val="p"/>
          </m:rPr>
          <m:t>=</m:t>
        </m:r>
        <m:sSub>
          <m:e>
            <m:r>
              <m:t>γ</m:t>
            </m:r>
          </m:e>
          <m:sub>
            <m:r>
              <m:t>v</m:t>
            </m:r>
          </m:sub>
        </m:sSub>
        <m:r>
          <m:rPr>
            <m:sty m:val="p"/>
          </m:rPr>
          <m:t>−</m:t>
        </m:r>
        <m:sSub>
          <m:e>
            <m:r>
              <m:t>γ</m:t>
            </m:r>
          </m:e>
          <m:sub>
            <m:r>
              <m:t>h</m:t>
            </m:r>
          </m:sub>
        </m:sSub>
      </m:oMath>
      <w:r>
        <w:t xml:space="preserve">, la corrección resultante es</w:t>
      </w:r>
    </w:p>
    <w:p>
      <w:pPr>
        <w:pStyle w:val="BodyText"/>
      </w:pPr>
      <m:oMathPara>
        <m:oMathParaPr>
          <m:jc m:val="center"/>
        </m:oMathParaPr>
        <m:oMath>
          <m:r>
            <m:rPr>
              <m:sty m:val="p"/>
            </m:rPr>
            <m:t>Δ</m:t>
          </m:r>
          <m:sSub>
            <m:e>
              <m:r>
                <m:t>N</m:t>
              </m:r>
            </m:e>
            <m:sub>
              <m:r>
                <m:t>θ</m:t>
              </m:r>
            </m:sub>
          </m:sSub>
          <m:r>
            <m:rPr>
              <m:sty m:val="p"/>
            </m:rPr>
            <m:t>(</m:t>
          </m:r>
          <m:r>
            <m:t>θ</m:t>
          </m:r>
          <m:r>
            <m:rPr>
              <m:sty m:val="p"/>
            </m:rPr>
            <m:t>)</m:t>
          </m:r>
          <m:r>
            <m:rPr>
              <m:sty m:val="p"/>
            </m:rPr>
            <m:t>=</m:t>
          </m:r>
          <m:r>
            <m:rPr>
              <m:sty m:val="p"/>
            </m:rPr>
            <m:t>−</m:t>
          </m:r>
          <m:f>
            <m:fPr>
              <m:type m:val="bar"/>
            </m:fPr>
            <m:num>
              <m:sSup>
                <m:e>
                  <m:r>
                    <m:t>R</m:t>
                  </m:r>
                </m:e>
                <m:sup>
                  <m:r>
                    <m:t>2</m:t>
                  </m:r>
                </m:sup>
              </m:sSup>
              <m:r>
                <m:rPr>
                  <m:sty m:val="p"/>
                </m:rPr>
                <m:t>Δ</m:t>
              </m:r>
              <m:r>
                <m:t>γ</m:t>
              </m:r>
            </m:num>
            <m:den>
              <m:r>
                <m:t>4</m:t>
              </m:r>
            </m:den>
          </m:f>
          <m:r>
            <m:rPr>
              <m:sty m:val="p"/>
            </m:rPr>
            <m:t>cos</m:t>
          </m:r>
          <m:r>
            <m:t>θ</m:t>
          </m:r>
          <m:r>
            <m:rPr>
              <m:sty m:val="p"/>
            </m:rPr>
            <m:t>−</m:t>
          </m:r>
          <m:f>
            <m:fPr>
              <m:type m:val="bar"/>
            </m:fPr>
            <m:num>
              <m:sSup>
                <m:e>
                  <m:r>
                    <m:t>R</m:t>
                  </m:r>
                </m:e>
                <m:sup>
                  <m:r>
                    <m:t>2</m:t>
                  </m:r>
                </m:sup>
              </m:sSup>
              <m:r>
                <m:rPr>
                  <m:sty m:val="p"/>
                </m:rPr>
                <m:t>Δ</m:t>
              </m:r>
              <m:r>
                <m:t>γ</m:t>
              </m:r>
            </m:num>
            <m:den>
              <m:r>
                <m:t>8</m:t>
              </m:r>
            </m:den>
          </m:f>
          <m:r>
            <m:rPr>
              <m:sty m:val="p"/>
            </m:rPr>
            <m:t>cos</m:t>
          </m:r>
          <m:r>
            <m:t>3</m:t>
          </m:r>
          <m:r>
            <m:t>θ</m:t>
          </m:r>
          <m:r>
            <m:rPr>
              <m:sty m:val="p"/>
            </m:rPr>
            <m:t>,</m:t>
          </m:r>
        </m:oMath>
      </m:oMathPara>
    </w:p>
    <w:p>
      <w:pPr>
        <w:pStyle w:val="FirstParagraph"/>
      </w:pPr>
      <w:bookmarkStart w:id="43" w:name="X7fb563140f8132be4809174d1b8edfd5e1b00fc"/>
      <m:oMathPara>
        <m:oMathParaPr>
          <m:jc m:val="center"/>
        </m:oMathParaPr>
        <m:oMath>
          <m:r>
            <m:rPr>
              <m:sty m:val="p"/>
            </m:rPr>
            <m:t>Δ</m:t>
          </m:r>
          <m:sSub>
            <m:e>
              <m:r>
                <m:t>M</m:t>
              </m:r>
            </m:e>
            <m:sub>
              <m:r>
                <m:t>θ</m:t>
              </m:r>
            </m:sub>
          </m:sSub>
          <m:r>
            <m:rPr>
              <m:sty m:val="p"/>
            </m:rPr>
            <m:t>(</m:t>
          </m:r>
          <m:r>
            <m:t>θ</m:t>
          </m:r>
          <m:r>
            <m:rPr>
              <m:sty m:val="p"/>
            </m:rPr>
            <m:t>)</m:t>
          </m:r>
          <m:r>
            <m:rPr>
              <m:sty m:val="p"/>
            </m:rPr>
            <m:t>=</m:t>
          </m:r>
          <m:r>
            <m:rPr>
              <m:sty m:val="p"/>
            </m:rPr>
            <m:t>−</m:t>
          </m:r>
          <m:f>
            <m:fPr>
              <m:type m:val="bar"/>
            </m:fPr>
            <m:num>
              <m:sSup>
                <m:e>
                  <m:r>
                    <m:t>R</m:t>
                  </m:r>
                </m:e>
                <m:sup>
                  <m:r>
                    <m:t>3</m:t>
                  </m:r>
                </m:sup>
              </m:sSup>
              <m:r>
                <m:rPr>
                  <m:sty m:val="p"/>
                </m:rPr>
                <m:t>Δ</m:t>
              </m:r>
              <m:r>
                <m:t>γ</m:t>
              </m:r>
            </m:num>
            <m:den>
              <m:r>
                <m:t>24</m:t>
              </m:r>
            </m:den>
          </m:f>
          <m:r>
            <m:rPr>
              <m:sty m:val="p"/>
            </m:rPr>
            <m:t>cos</m:t>
          </m:r>
          <m:r>
            <m:t>3</m:t>
          </m:r>
          <m:r>
            <m:t>θ</m:t>
          </m:r>
          <m:r>
            <m:rPr>
              <m:sty m:val="p"/>
            </m:rPr>
            <m:t>,</m:t>
          </m:r>
          <m:r>
            <m:t>  </m:t>
          </m:r>
          <m:r>
            <m:rPr>
              <m:sty m:val="p"/>
            </m:rPr>
            <m:t>Δ</m:t>
          </m:r>
          <m:sSub>
            <m:e>
              <m:r>
                <m:t>Q</m:t>
              </m:r>
            </m:e>
            <m:sub>
              <m:r>
                <m:t>θ</m:t>
              </m:r>
            </m:sub>
          </m:sSub>
          <m:r>
            <m:rPr>
              <m:sty m:val="p"/>
            </m:rPr>
            <m:t>(</m:t>
          </m:r>
          <m:r>
            <m:t>θ</m:t>
          </m:r>
          <m:r>
            <m:rPr>
              <m:sty m:val="p"/>
            </m:rPr>
            <m:t>)</m:t>
          </m:r>
          <m:r>
            <m:rPr>
              <m:sty m:val="p"/>
            </m:rPr>
            <m:t>=</m:t>
          </m:r>
          <m:f>
            <m:fPr>
              <m:type m:val="bar"/>
            </m:fPr>
            <m:num>
              <m:sSup>
                <m:e>
                  <m:r>
                    <m:t>R</m:t>
                  </m:r>
                </m:e>
                <m:sup>
                  <m:r>
                    <m:t>2</m:t>
                  </m:r>
                </m:sup>
              </m:sSup>
              <m:r>
                <m:rPr>
                  <m:sty m:val="p"/>
                </m:rPr>
                <m:t>Δ</m:t>
              </m:r>
              <m:r>
                <m:t>γ</m:t>
              </m:r>
            </m:num>
            <m:den>
              <m:r>
                <m:t>8</m:t>
              </m:r>
            </m:den>
          </m:f>
          <m:r>
            <m:rPr>
              <m:sty m:val="p"/>
            </m:rPr>
            <m:t>sin</m:t>
          </m:r>
          <m:r>
            <m:t>3</m:t>
          </m:r>
          <m:r>
            <m:t>θ</m:t>
          </m:r>
          <m:r>
            <m:rPr>
              <m:sty m:val="p"/>
            </m:rPr>
            <m:t>.</m:t>
          </m:r>
          <m:r>
            <m:t>  </m:t>
          </m:r>
          <m:r>
            <m:rPr>
              <m:sty m:val="p"/>
            </m:rPr>
            <m:t>(</m:t>
          </m:r>
          <m:r>
            <m:t>3.13</m:t>
          </m:r>
          <m:r>
            <m:rPr>
              <m:sty m:val="p"/>
            </m:rPr>
            <m:t>)</m:t>
          </m:r>
        </m:oMath>
      </m:oMathPara>
      <w:bookmarkEnd w:id="43"/>
    </w:p>
    <w:p>
      <w:pPr>
        <w:pStyle w:val="FirstParagraph"/>
      </w:pPr>
      <w:r>
        <w:t xml:space="preserve">La chapa corrugada se representa mediante el área</w:t>
      </w:r>
      <w:r>
        <w:t xml:space="preserve"> </w:t>
      </w:r>
      <m:oMath>
        <m:sSub>
          <m:e>
            <m:r>
              <m:t>A</m:t>
            </m:r>
          </m:e>
          <m:sub>
            <m:r>
              <m:t>p</m:t>
            </m:r>
          </m:sub>
        </m:sSub>
      </m:oMath>
      <w:r>
        <w:t xml:space="preserve"> </w:t>
      </w:r>
      <w:r>
        <w:t xml:space="preserve">y el momento de</w:t>
      </w:r>
      <w:r>
        <w:t xml:space="preserve"> </w:t>
      </w:r>
      <w:r>
        <w:t xml:space="preserve">inercia</w:t>
      </w:r>
      <w:r>
        <w:t xml:space="preserve"> </w:t>
      </w:r>
      <m:oMath>
        <m:sSub>
          <m:e>
            <m:r>
              <m:t>I</m:t>
            </m:r>
          </m:e>
          <m:sub>
            <m:r>
              <m:t>p</m:t>
            </m:r>
          </m:sub>
        </m:sSub>
      </m:oMath>
      <w:r>
        <w:t xml:space="preserve"> </w:t>
      </w:r>
      <w:r>
        <w:t xml:space="preserve">por unidad de longitud proyectada sobre el eje del túnel. Su ley</w:t>
      </w:r>
      <w:r>
        <w:t xml:space="preserve"> </w:t>
      </w:r>
      <w:r>
        <w:t xml:space="preserve">seccional circunferencial es</w:t>
      </w:r>
    </w:p>
    <w:p>
      <w:pPr>
        <w:pStyle w:val="BodyText"/>
      </w:pPr>
      <m:oMathPara>
        <m:oMathParaPr>
          <m:jc m:val="center"/>
        </m:oMathParaPr>
        <m:oMath>
          <m:sSub>
            <m:e>
              <m:r>
                <m:t>N</m:t>
              </m:r>
            </m:e>
            <m:sub>
              <m:r>
                <m:t>θ</m:t>
              </m:r>
            </m:sub>
          </m:sSub>
          <m:r>
            <m:rPr>
              <m:sty m:val="p"/>
            </m:rPr>
            <m:t>=</m:t>
          </m:r>
          <m:r>
            <m:t>E</m:t>
          </m:r>
          <m:sSub>
            <m:e>
              <m:r>
                <m:t>A</m:t>
              </m:r>
            </m:e>
            <m:sub>
              <m:r>
                <m:t>θ</m:t>
              </m:r>
            </m:sub>
          </m:sSub>
          <m:sSub>
            <m:e>
              <m:r>
                <m:t>ε</m:t>
              </m:r>
            </m:e>
            <m:sub>
              <m:r>
                <m:t>θ</m:t>
              </m:r>
            </m:sub>
          </m:sSub>
          <m:r>
            <m:rPr>
              <m:sty m:val="p"/>
            </m:rPr>
            <m:t>,</m:t>
          </m:r>
          <m:r>
            <m:t>  </m:t>
          </m:r>
          <m:sSub>
            <m:e>
              <m:r>
                <m:t>M</m:t>
              </m:r>
            </m:e>
            <m:sub>
              <m:r>
                <m:t>θ</m:t>
              </m:r>
            </m:sub>
          </m:sSub>
          <m:r>
            <m:rPr>
              <m:sty m:val="p"/>
            </m:rPr>
            <m:t>=</m:t>
          </m:r>
          <m:r>
            <m:t>E</m:t>
          </m:r>
          <m:sSub>
            <m:e>
              <m:r>
                <m:t>I</m:t>
              </m:r>
            </m:e>
            <m:sub>
              <m:r>
                <m:t>θ</m:t>
              </m:r>
            </m:sub>
          </m:sSub>
          <m:sSub>
            <m:e>
              <m:r>
                <m:t>κ</m:t>
              </m:r>
            </m:e>
            <m:sub>
              <m:r>
                <m:t>θ</m:t>
              </m:r>
            </m:sub>
          </m:sSub>
          <m:r>
            <m:rPr>
              <m:sty m:val="p"/>
            </m:rPr>
            <m:t>,</m:t>
          </m:r>
        </m:oMath>
      </m:oMathPara>
    </w:p>
    <w:p>
      <w:pPr>
        <w:pStyle w:val="FirstParagraph"/>
      </w:pPr>
      <w:bookmarkStart w:id="44" w:name="eq-calculation-section-stiffness"/>
      <m:oMathPara>
        <m:oMathParaPr>
          <m:jc m:val="center"/>
        </m:oMathParaPr>
        <m:oMath>
          <m:r>
            <m:t>E</m:t>
          </m:r>
          <m:sSub>
            <m:e>
              <m:r>
                <m:t>A</m:t>
              </m:r>
            </m:e>
            <m:sub>
              <m:r>
                <m:t>θ</m:t>
              </m:r>
            </m:sub>
          </m:sSub>
          <m:r>
            <m:rPr>
              <m:sty m:val="p"/>
            </m:rPr>
            <m:t>=</m:t>
          </m:r>
          <m:sSub>
            <m:e>
              <m:r>
                <m:t>E</m:t>
              </m:r>
            </m:e>
            <m:sub>
              <m:r>
                <m:t>θ</m:t>
              </m:r>
            </m:sub>
          </m:sSub>
          <m:sSub>
            <m:e>
              <m:r>
                <m:t>A</m:t>
              </m:r>
            </m:e>
            <m:sub>
              <m:r>
                <m:t>p</m:t>
              </m:r>
            </m:sub>
          </m:sSub>
          <m:r>
            <m:rPr>
              <m:sty m:val="p"/>
            </m:rPr>
            <m:t>,</m:t>
          </m:r>
          <m:r>
            <m:t>  </m:t>
          </m:r>
          <m:r>
            <m:t>E</m:t>
          </m:r>
          <m:sSub>
            <m:e>
              <m:r>
                <m:t>I</m:t>
              </m:r>
            </m:e>
            <m:sub>
              <m:r>
                <m:t>θ</m:t>
              </m:r>
            </m:sub>
          </m:sSub>
          <m:r>
            <m:rPr>
              <m:sty m:val="p"/>
            </m:rPr>
            <m:t>=</m:t>
          </m:r>
          <m:sSub>
            <m:e>
              <m:r>
                <m:t>E</m:t>
              </m:r>
            </m:e>
            <m:sub>
              <m:r>
                <m:t>θ</m:t>
              </m:r>
            </m:sub>
          </m:sSub>
          <m:sSub>
            <m:e>
              <m:r>
                <m:t>I</m:t>
              </m:r>
            </m:e>
            <m:sub>
              <m:r>
                <m:t>p</m:t>
              </m:r>
            </m:sub>
          </m:sSub>
          <m:r>
            <m:rPr>
              <m:sty m:val="p"/>
            </m:rPr>
            <m:t>,</m:t>
          </m:r>
          <m:r>
            <m:t>  </m:t>
          </m:r>
          <m:sSub>
            <m:e>
              <m:r>
                <m:t>η</m:t>
              </m:r>
            </m:e>
            <m:sub>
              <m:r>
                <m:t>s</m:t>
              </m:r>
            </m:sub>
          </m:sSub>
          <m:r>
            <m:rPr>
              <m:sty m:val="p"/>
            </m:rPr>
            <m:t>=</m:t>
          </m:r>
          <m:f>
            <m:fPr>
              <m:type m:val="bar"/>
            </m:fPr>
            <m:num>
              <m:r>
                <m:t>E</m:t>
              </m:r>
              <m:sSub>
                <m:e>
                  <m:r>
                    <m:t>I</m:t>
                  </m:r>
                </m:e>
                <m:sub>
                  <m:r>
                    <m:t>θ</m:t>
                  </m:r>
                </m:sub>
              </m:sSub>
            </m:num>
            <m:den>
              <m:r>
                <m:t>E</m:t>
              </m:r>
              <m:sSub>
                <m:e>
                  <m:r>
                    <m:t>A</m:t>
                  </m:r>
                </m:e>
                <m:sub>
                  <m:r>
                    <m:t>θ</m:t>
                  </m:r>
                </m:sub>
              </m:sSub>
              <m:sSup>
                <m:e>
                  <m:r>
                    <m:t>R</m:t>
                  </m:r>
                </m:e>
                <m:sup>
                  <m:r>
                    <m:t>2</m:t>
                  </m:r>
                </m:sup>
              </m:sSup>
            </m:den>
          </m:f>
          <m:r>
            <m:rPr>
              <m:sty m:val="p"/>
            </m:rPr>
            <m:t>=</m:t>
          </m:r>
          <m:f>
            <m:fPr>
              <m:type m:val="bar"/>
            </m:fPr>
            <m:num>
              <m:sSub>
                <m:e>
                  <m:r>
                    <m:t>I</m:t>
                  </m:r>
                </m:e>
                <m:sub>
                  <m:r>
                    <m:t>p</m:t>
                  </m:r>
                </m:sub>
              </m:sSub>
            </m:num>
            <m:den>
              <m:sSub>
                <m:e>
                  <m:r>
                    <m:t>A</m:t>
                  </m:r>
                </m:e>
                <m:sub>
                  <m:r>
                    <m:t>p</m:t>
                  </m:r>
                </m:sub>
              </m:sSub>
              <m:sSup>
                <m:e>
                  <m:r>
                    <m:t>R</m:t>
                  </m:r>
                </m:e>
                <m:sup>
                  <m:r>
                    <m:t>2</m:t>
                  </m:r>
                </m:sup>
              </m:sSup>
            </m:den>
          </m:f>
          <m:r>
            <m:rPr>
              <m:sty m:val="p"/>
            </m:rPr>
            <m:t>.</m:t>
          </m:r>
          <m:r>
            <m:t>  </m:t>
          </m:r>
          <m:r>
            <m:rPr>
              <m:sty m:val="p"/>
            </m:rPr>
            <m:t>(</m:t>
          </m:r>
          <m:r>
            <m:t>3.14</m:t>
          </m:r>
          <m:r>
            <m:rPr>
              <m:sty m:val="p"/>
            </m:rPr>
            <m:t>)</m:t>
          </m:r>
        </m:oMath>
      </m:oMathPara>
      <w:bookmarkEnd w:id="44"/>
    </w:p>
    <w:p>
      <w:pPr>
        <w:pStyle w:val="FirstParagraph"/>
      </w:pPr>
      <w:r>
        <w:t xml:space="preserve">Las propiedades de la chapa proceden de la fila aplicable de la tabla 2.4 del</w:t>
      </w:r>
      <w:r>
        <w:t xml:space="preserve"> </w:t>
      </w:r>
      <w:r>
        <w:t xml:space="preserve">manual CSPI, que distingue el espesor especificado del espesor base de diseño</w:t>
      </w:r>
      <w:r>
        <w:t xml:space="preserve"> </w:t>
      </w:r>
      <w:r>
        <w:t xml:space="preserve">(</w:t>
      </w:r>
      <w:hyperlink w:anchor="ref-CSPIHandbookChapter2">
        <w:r>
          <w:rPr>
            <w:rStyle w:val="Hyperlink"/>
          </w:rPr>
          <w:t xml:space="preserve">Corrugated Steel Pipe Institute, s. f.-a</w:t>
        </w:r>
      </w:hyperlink>
      <w:r>
        <w:t xml:space="preserve">)</w:t>
      </w:r>
      <w:r>
        <w:t xml:space="preserve">. La inspección deberá confirmar la geometría y el</w:t>
      </w:r>
      <w:r>
        <w:t xml:space="preserve"> </w:t>
      </w:r>
      <w:r>
        <w:t xml:space="preserve">espesor remanente para sustituir estas propiedades tabuladas. La razón</w:t>
      </w:r>
      <w:r>
        <w:t xml:space="preserve"> </w:t>
      </w:r>
      <m:oMath>
        <m:sSub>
          <m:e>
            <m:r>
              <m:t>η</m:t>
            </m:r>
          </m:e>
          <m:sub>
            <m:r>
              <m:t>s</m:t>
            </m:r>
          </m:sub>
        </m:sSub>
      </m:oMath>
      <w:r>
        <w:t xml:space="preserve"> </w:t>
      </w:r>
      <w:r>
        <w:t xml:space="preserve">participa en la compatibilidad del modo uniforme del anillo. Como las</w:t>
      </w:r>
      <w:r>
        <w:t xml:space="preserve"> </w:t>
      </w:r>
      <w:r>
        <w:t xml:space="preserve">acciones adoptadas son constantes a lo largo del túnel, el modelo utiliza las</w:t>
      </w:r>
      <w:r>
        <w:t xml:space="preserve"> </w:t>
      </w:r>
      <w:r>
        <w:t xml:space="preserve">rigideces circunferenciales.</w:t>
      </w:r>
    </w:p>
    <w:p>
      <w:pPr>
        <w:pStyle w:val="BodyText"/>
      </w:pPr>
      <w:r>
        <w:t xml:space="preserve">Cada alternativa de hormigón proyectado se calcula como un revestimiento</w:t>
      </w:r>
      <w:r>
        <w:t xml:space="preserve"> </w:t>
      </w:r>
      <w:r>
        <w:t xml:space="preserve">independiente de la chapa. Para una franja de ancho axial unitario y una pared</w:t>
      </w:r>
      <w:r>
        <w:t xml:space="preserve"> </w:t>
      </w:r>
      <w:r>
        <w:t xml:space="preserve">rectangular homogénea de espesor</w:t>
      </w:r>
      <w:r>
        <w:t xml:space="preserve"> </w:t>
      </w:r>
      <m:oMath>
        <m:sSub>
          <m:e>
            <m:r>
              <m:t>t</m:t>
            </m:r>
          </m:e>
          <m:sub>
            <m:r>
              <m:t>c</m:t>
            </m:r>
          </m:sub>
        </m:sSub>
      </m:oMath>
      <w:r>
        <w:t xml:space="preserve">,</w:t>
      </w:r>
    </w:p>
    <w:p>
      <w:pPr>
        <w:pStyle w:val="BodyText"/>
      </w:pPr>
      <w:bookmarkStart w:id="45" w:name="eq-calculation-shotcrete-stiffness"/>
      <m:oMathPara>
        <m:oMathParaPr>
          <m:jc m:val="center"/>
        </m:oMathParaPr>
        <m:oMath>
          <m:sSub>
            <m:e>
              <m:r>
                <m:t>A</m:t>
              </m:r>
            </m:e>
            <m:sub>
              <m:r>
                <m:t>c</m:t>
              </m:r>
            </m:sub>
          </m:sSub>
          <m:r>
            <m:rPr>
              <m:sty m:val="p"/>
            </m:rPr>
            <m:t>=</m:t>
          </m:r>
          <m:sSub>
            <m:e>
              <m:r>
                <m:t>t</m:t>
              </m:r>
            </m:e>
            <m:sub>
              <m:r>
                <m:t>c</m:t>
              </m:r>
            </m:sub>
          </m:sSub>
          <m:r>
            <m:rPr>
              <m:sty m:val="p"/>
            </m:rPr>
            <m:t>,</m:t>
          </m:r>
          <m:r>
            <m:t>  </m:t>
          </m:r>
          <m:sSub>
            <m:e>
              <m:r>
                <m:t>I</m:t>
              </m:r>
            </m:e>
            <m:sub>
              <m:r>
                <m:t>g</m:t>
              </m:r>
            </m:sub>
          </m:sSub>
          <m:r>
            <m:rPr>
              <m:sty m:val="p"/>
            </m:rPr>
            <m:t>=</m:t>
          </m:r>
          <m:f>
            <m:fPr>
              <m:type m:val="bar"/>
            </m:fPr>
            <m:num>
              <m:sSubSup>
                <m:e>
                  <m:r>
                    <m:t>t</m:t>
                  </m:r>
                </m:e>
                <m:sub>
                  <m:r>
                    <m:t>c</m:t>
                  </m:r>
                </m:sub>
                <m:sup>
                  <m:r>
                    <m:t>3</m:t>
                  </m:r>
                </m:sup>
              </m:sSubSup>
            </m:num>
            <m:den>
              <m:r>
                <m:t>12</m:t>
              </m:r>
            </m:den>
          </m:f>
          <m:r>
            <m:rPr>
              <m:sty m:val="p"/>
            </m:rPr>
            <m:t>,</m:t>
          </m:r>
          <m:r>
            <m:t>  </m:t>
          </m:r>
          <m:r>
            <m:t>E</m:t>
          </m:r>
          <m:sSub>
            <m:e>
              <m:r>
                <m:t>A</m:t>
              </m:r>
            </m:e>
            <m:sub>
              <m:r>
                <m:t>c</m:t>
              </m:r>
            </m:sub>
          </m:sSub>
          <m:r>
            <m:rPr>
              <m:sty m:val="p"/>
            </m:rPr>
            <m:t>=</m:t>
          </m:r>
          <m:sSub>
            <m:e>
              <m:r>
                <m:t>E</m:t>
              </m:r>
            </m:e>
            <m:sub>
              <m:r>
                <m:t>c</m:t>
              </m:r>
            </m:sub>
          </m:sSub>
          <m:sSub>
            <m:e>
              <m:r>
                <m:t>A</m:t>
              </m:r>
            </m:e>
            <m:sub>
              <m:r>
                <m:t>c</m:t>
              </m:r>
            </m:sub>
          </m:sSub>
          <m:r>
            <m:rPr>
              <m:sty m:val="p"/>
            </m:rPr>
            <m:t>,</m:t>
          </m:r>
          <m:r>
            <m:t>  </m:t>
          </m:r>
          <m:r>
            <m:t>E</m:t>
          </m:r>
          <m:sSub>
            <m:e>
              <m:r>
                <m:t>I</m:t>
              </m:r>
            </m:e>
            <m:sub>
              <m:r>
                <m:t>c</m:t>
              </m:r>
            </m:sub>
          </m:sSub>
          <m:r>
            <m:rPr>
              <m:sty m:val="p"/>
            </m:rPr>
            <m:t>=</m:t>
          </m:r>
          <m:r>
            <m:t>0.35</m:t>
          </m:r>
          <m:sSub>
            <m:e>
              <m:r>
                <m:t>E</m:t>
              </m:r>
            </m:e>
            <m:sub>
              <m:r>
                <m:t>c</m:t>
              </m:r>
            </m:sub>
          </m:sSub>
          <m:sSub>
            <m:e>
              <m:r>
                <m:t>I</m:t>
              </m:r>
            </m:e>
            <m:sub>
              <m:r>
                <m:t>g</m:t>
              </m:r>
            </m:sub>
          </m:sSub>
          <m:r>
            <m:rPr>
              <m:sty m:val="p"/>
            </m:rPr>
            <m:t>.</m:t>
          </m:r>
          <m:r>
            <m:t>  </m:t>
          </m:r>
          <m:r>
            <m:rPr>
              <m:sty m:val="p"/>
            </m:rPr>
            <m:t>(</m:t>
          </m:r>
          <m:r>
            <m:t>3.15</m:t>
          </m:r>
          <m:r>
            <m:rPr>
              <m:sty m:val="p"/>
            </m:rPr>
            <m:t>)</m:t>
          </m:r>
        </m:oMath>
      </m:oMathPara>
      <w:bookmarkEnd w:id="45"/>
    </w:p>
    <w:p>
      <w:pPr>
        <w:pStyle w:val="FirstParagraph"/>
      </w:pPr>
      <w:r>
        <w:t xml:space="preserve">El área axial se conserva completa y la rigidez flexional utiliza</w:t>
      </w:r>
      <w:r>
        <w:t xml:space="preserve"> </w:t>
      </w:r>
      <m:oMath>
        <m:sSub>
          <m:e>
            <m:r>
              <m:t>I</m:t>
            </m:r>
          </m:e>
          <m:sub>
            <m:r>
              <m:t>e</m:t>
            </m:r>
          </m:sub>
        </m:sSub>
        <m:r>
          <m:rPr>
            <m:sty m:val="p"/>
          </m:rPr>
          <m:t>=</m:t>
        </m:r>
        <m:r>
          <m:t>0.35</m:t>
        </m:r>
        <m:sSub>
          <m:e>
            <m:r>
              <m:t>I</m:t>
            </m:r>
          </m:e>
          <m:sub>
            <m:r>
              <m:t>g</m:t>
            </m:r>
          </m:sub>
        </m:sSub>
      </m:oMath>
      <w:r>
        <w:t xml:space="preserve">, correspondiente a muro fisurado en el análisis elástico a nivel</w:t>
      </w:r>
      <w:r>
        <w:t xml:space="preserve"> </w:t>
      </w:r>
      <w:r>
        <w:t xml:space="preserve">de cargas mayoradas de ACI 318-25, Tabla 6.6.3.1.1(a)</w:t>
      </w:r>
      <w:r>
        <w:t xml:space="preserve"> </w:t>
      </w:r>
      <w:r>
        <w:t xml:space="preserve">(</w:t>
      </w:r>
      <w:hyperlink w:anchor="ref-ACI31825">
        <w:r>
          <w:rPr>
            <w:rStyle w:val="Hyperlink"/>
          </w:rPr>
          <w:t xml:space="preserve">ACI Committee 318 2025</w:t>
        </w:r>
      </w:hyperlink>
      <w:r>
        <w:t xml:space="preserve">)</w:t>
      </w:r>
      <w:r>
        <w:t xml:space="preserve">. Con esta</w:t>
      </w:r>
      <w:r>
        <w:t xml:space="preserve"> </w:t>
      </w:r>
      <w:r>
        <w:t xml:space="preserve">rigidez y con el radio propio de cada</w:t>
      </w:r>
      <w:r>
        <w:t xml:space="preserve"> </w:t>
      </w:r>
      <w:r>
        <w:t xml:space="preserve">espesor se recalculan</w:t>
      </w:r>
      <w:r>
        <w:t xml:space="preserve"> </w:t>
      </w:r>
      <m:oMath>
        <m:sSup>
          <m:e>
            <m:r>
              <m:t>C</m:t>
            </m:r>
          </m:e>
          <m:sup>
            <m:r>
              <m:rPr>
                <m:sty m:val="p"/>
              </m:rPr>
              <m:t>*</m:t>
            </m:r>
          </m:sup>
        </m:sSup>
      </m:oMath>
      <w:r>
        <w:t xml:space="preserve"> </w:t>
      </w:r>
      <w:r>
        <w:t xml:space="preserve">y</w:t>
      </w:r>
      <w:r>
        <w:t xml:space="preserve"> </w:t>
      </w:r>
      <m:oMath>
        <m:sSup>
          <m:e>
            <m:r>
              <m:t>F</m:t>
            </m:r>
          </m:e>
          <m:sup>
            <m:r>
              <m:rPr>
                <m:sty m:val="p"/>
              </m:rPr>
              <m:t>*</m:t>
            </m:r>
          </m:sup>
        </m:sSup>
      </m:oMath>
      <w:r>
        <w:t xml:space="preserve"> </w:t>
      </w:r>
      <w:r>
        <w:t xml:space="preserve">en Schwartz–Einstein. La interacción</w:t>
      </w:r>
      <w:r>
        <w:t xml:space="preserve"> </w:t>
      </w:r>
      <w:r>
        <w:t xml:space="preserve">produce una distribución de fuerza y momento propia de cada alternativa. En</w:t>
      </w:r>
      <w:r>
        <w:t xml:space="preserve"> </w:t>
      </w:r>
      <w:r>
        <w:t xml:space="preserve">la comprobación de carga prescrita, la rigidez interviene en la compatibilidad</w:t>
      </w:r>
      <w:r>
        <w:t xml:space="preserve"> </w:t>
      </w:r>
      <w:r>
        <w:t xml:space="preserve">del modo uniforme; los armónicos</w:t>
      </w:r>
      <w:r>
        <w:t xml:space="preserve"> </w:t>
      </w:r>
      <m:oMath>
        <m:r>
          <m:t>n</m:t>
        </m:r>
        <m:r>
          <m:rPr>
            <m:sty m:val="p"/>
          </m:rPr>
          <m:t>≥</m:t>
        </m:r>
        <m:r>
          <m:t>2</m:t>
        </m:r>
      </m:oMath>
      <w:r>
        <w:t xml:space="preserve"> </w:t>
      </w:r>
      <w:r>
        <w:t xml:space="preserve">quedan definidos por las acciones y</w:t>
      </w:r>
      <w:r>
        <w:t xml:space="preserve"> </w:t>
      </w:r>
      <w:r>
        <w:t xml:space="preserve">el equilibrio. La resistencia se evalúa con las propiedades de cada sección.</w:t>
      </w:r>
      <w:r>
        <w:t xml:space="preserve"> </w:t>
      </w:r>
      <w:r>
        <w:t xml:space="preserve">Para las tres mallas simétricas de cada espesor, el acero modifica la</w:t>
      </w:r>
      <w:r>
        <w:t xml:space="preserve"> </w:t>
      </w:r>
      <w:r>
        <w:t xml:space="preserve">resistencia seccional pero no la rigidez usada para obtener las acciones. El</w:t>
      </w:r>
      <w:r>
        <w:t xml:space="preserve"> </w:t>
      </w:r>
      <w:r>
        <w:t xml:space="preserve">caso adicional compuesto incorpora la chapa exterior y una malla interior a</w:t>
      </w:r>
      <w:r>
        <w:t xml:space="preserve"> </w:t>
      </w:r>
      <w:r>
        <w:t xml:space="preserve">la rigidez transformada; sus acciones se recalculan con el centroide elástico</w:t>
      </w:r>
      <w:r>
        <w:t xml:space="preserve"> </w:t>
      </w:r>
      <w:r>
        <w:t xml:space="preserve">y las rigideces</w:t>
      </w:r>
      <w:r>
        <w:t xml:space="preserve"> </w:t>
      </w:r>
      <m:oMath>
        <m:r>
          <m:t>E</m:t>
        </m:r>
        <m:r>
          <m:t>A</m:t>
        </m:r>
      </m:oMath>
      <w:r>
        <w:t xml:space="preserve"> </w:t>
      </w:r>
      <w:r>
        <w:t xml:space="preserve">y</w:t>
      </w:r>
      <w:r>
        <w:t xml:space="preserve"> </w:t>
      </w:r>
      <m:oMath>
        <m:r>
          <m:t>E</m:t>
        </m:r>
        <m:r>
          <m:t>I</m:t>
        </m:r>
      </m:oMath>
      <w:r>
        <w:t xml:space="preserve"> </w:t>
      </w:r>
      <w:r>
        <w:t xml:space="preserve">propias de esa sección.</w:t>
      </w:r>
    </w:p>
    <w:p>
      <w:pPr>
        <w:pStyle w:val="BodyText"/>
      </w:pPr>
      <w:r>
        <w:t xml:space="preserve">El cálculo comienza con la profundidad del centro del túnel y las tensiones</w:t>
      </w:r>
      <w:r>
        <w:t xml:space="preserve"> </w:t>
      </w:r>
      <w:r>
        <w:t xml:space="preserve">efectivas vertical y horizontal en esa cota. La chapa, el hormigón proyectado</w:t>
      </w:r>
      <w:r>
        <w:t xml:space="preserve"> </w:t>
      </w:r>
      <w:r>
        <w:t xml:space="preserve">simple y las secciones armadas comparten ese estado de campo libre. Para cada</w:t>
      </w:r>
      <w:r>
        <w:t xml:space="preserve"> </w:t>
      </w:r>
      <w:r>
        <w:t xml:space="preserve">revestimiento se definen por separado su radio baricéntrico, módulo elástico,</w:t>
      </w:r>
      <w:r>
        <w:t xml:space="preserve"> </w:t>
      </w:r>
      <w:r>
        <w:t xml:space="preserve">coeficiente de Poisson, área y momento de inercia.</w:t>
      </w:r>
    </w:p>
    <w:p>
      <w:pPr>
        <w:pStyle w:val="BodyText"/>
      </w:pPr>
      <w:r>
        <w:t xml:space="preserve">La demanda transversal se obtiene con la secuencia de carga externa de</w:t>
      </w:r>
      <w:r>
        <w:t xml:space="preserve"> </w:t>
      </w:r>
      <w:r>
        <w:t xml:space="preserve">Schwartz–Einstein. Las razones de compresibilidad y flexibilidad son</w:t>
      </w:r>
    </w:p>
    <w:p>
      <w:pPr>
        <w:pStyle w:val="BodyText"/>
      </w:pPr>
      <w:bookmarkStart w:id="46" w:name="eq-calculation-procedure-se-stiffness"/>
      <m:oMathPara>
        <m:oMathParaPr>
          <m:jc m:val="center"/>
        </m:oMathParaPr>
        <m:oMath>
          <m:sSup>
            <m:e>
              <m:r>
                <m:t>C</m:t>
              </m:r>
            </m:e>
            <m:sup>
              <m:r>
                <m:rPr>
                  <m:sty m:val="p"/>
                </m:rPr>
                <m:t>*</m:t>
              </m:r>
            </m:sup>
          </m:sSup>
          <m:r>
            <m:rPr>
              <m:sty m:val="p"/>
            </m:rPr>
            <m:t>=</m:t>
          </m:r>
          <m:f>
            <m:fPr>
              <m:type m:val="bar"/>
            </m:fPr>
            <m:num>
              <m:sSub>
                <m:e>
                  <m:r>
                    <m:t>E</m:t>
                  </m:r>
                </m:e>
                <m:sub>
                  <m:r>
                    <m:t>g</m:t>
                  </m:r>
                </m:sub>
              </m:sSub>
              <m:r>
                <m:t>R</m:t>
              </m:r>
              <m:r>
                <m:rPr>
                  <m:sty m:val="p"/>
                </m:rPr>
                <m:t>(</m:t>
              </m:r>
              <m:r>
                <m:t>1</m:t>
              </m:r>
              <m:r>
                <m:rPr>
                  <m:sty m:val="p"/>
                </m:rPr>
                <m:t>−</m:t>
              </m:r>
              <m:sSubSup>
                <m:e>
                  <m:r>
                    <m:t>ν</m:t>
                  </m:r>
                </m:e>
                <m:sub>
                  <m:r>
                    <m:t>ℓ</m:t>
                  </m:r>
                </m:sub>
                <m:sup>
                  <m:r>
                    <m:t>2</m:t>
                  </m:r>
                </m:sup>
              </m:sSubSup>
              <m:r>
                <m:rPr>
                  <m:sty m:val="p"/>
                </m:rPr>
                <m:t>)</m:t>
              </m:r>
            </m:num>
            <m:den>
              <m:sSub>
                <m:e>
                  <m:r>
                    <m:t>E</m:t>
                  </m:r>
                </m:e>
                <m:sub>
                  <m:r>
                    <m:t>ℓ</m:t>
                  </m:r>
                </m:sub>
              </m:sSub>
              <m:sSub>
                <m:e>
                  <m:r>
                    <m:t>A</m:t>
                  </m:r>
                </m:e>
                <m:sub>
                  <m:r>
                    <m:t>ℓ</m:t>
                  </m:r>
                </m:sub>
              </m:sSub>
              <m:r>
                <m:rPr>
                  <m:sty m:val="p"/>
                </m:rPr>
                <m:t>(</m:t>
              </m:r>
              <m:r>
                <m:t>1</m:t>
              </m:r>
              <m:r>
                <m:rPr>
                  <m:sty m:val="p"/>
                </m:rPr>
                <m:t>−</m:t>
              </m:r>
              <m:sSubSup>
                <m:e>
                  <m:r>
                    <m:t>ν</m:t>
                  </m:r>
                </m:e>
                <m:sub>
                  <m:r>
                    <m:t>g</m:t>
                  </m:r>
                </m:sub>
                <m:sup>
                  <m:r>
                    <m:t>2</m:t>
                  </m:r>
                </m:sup>
              </m:sSubSup>
              <m:r>
                <m:rPr>
                  <m:sty m:val="p"/>
                </m:rPr>
                <m:t>)</m:t>
              </m:r>
            </m:den>
          </m:f>
          <m:r>
            <m:rPr>
              <m:sty m:val="p"/>
            </m:rPr>
            <m:t>,</m:t>
          </m:r>
          <m:r>
            <m:t>  </m:t>
          </m:r>
          <m:sSup>
            <m:e>
              <m:r>
                <m:t>F</m:t>
              </m:r>
            </m:e>
            <m:sup>
              <m:r>
                <m:rPr>
                  <m:sty m:val="p"/>
                </m:rPr>
                <m:t>*</m:t>
              </m:r>
            </m:sup>
          </m:sSup>
          <m:r>
            <m:rPr>
              <m:sty m:val="p"/>
            </m:rPr>
            <m:t>=</m:t>
          </m:r>
          <m:f>
            <m:fPr>
              <m:type m:val="bar"/>
            </m:fPr>
            <m:num>
              <m:sSub>
                <m:e>
                  <m:r>
                    <m:t>E</m:t>
                  </m:r>
                </m:e>
                <m:sub>
                  <m:r>
                    <m:t>g</m:t>
                  </m:r>
                </m:sub>
              </m:sSub>
              <m:sSup>
                <m:e>
                  <m:r>
                    <m:t>R</m:t>
                  </m:r>
                </m:e>
                <m:sup>
                  <m:r>
                    <m:t>3</m:t>
                  </m:r>
                </m:sup>
              </m:sSup>
              <m:r>
                <m:rPr>
                  <m:sty m:val="p"/>
                </m:rPr>
                <m:t>(</m:t>
              </m:r>
              <m:r>
                <m:t>1</m:t>
              </m:r>
              <m:r>
                <m:rPr>
                  <m:sty m:val="p"/>
                </m:rPr>
                <m:t>−</m:t>
              </m:r>
              <m:sSubSup>
                <m:e>
                  <m:r>
                    <m:t>ν</m:t>
                  </m:r>
                </m:e>
                <m:sub>
                  <m:r>
                    <m:t>ℓ</m:t>
                  </m:r>
                </m:sub>
                <m:sup>
                  <m:r>
                    <m:t>2</m:t>
                  </m:r>
                </m:sup>
              </m:sSubSup>
              <m:r>
                <m:rPr>
                  <m:sty m:val="p"/>
                </m:rPr>
                <m:t>)</m:t>
              </m:r>
            </m:num>
            <m:den>
              <m:sSub>
                <m:e>
                  <m:r>
                    <m:t>E</m:t>
                  </m:r>
                </m:e>
                <m:sub>
                  <m:r>
                    <m:t>ℓ</m:t>
                  </m:r>
                </m:sub>
              </m:sSub>
              <m:sSub>
                <m:e>
                  <m:r>
                    <m:t>I</m:t>
                  </m:r>
                </m:e>
                <m:sub>
                  <m:r>
                    <m:t>ℓ</m:t>
                  </m:r>
                </m:sub>
              </m:sSub>
              <m:r>
                <m:rPr>
                  <m:sty m:val="p"/>
                </m:rPr>
                <m:t>(</m:t>
              </m:r>
              <m:r>
                <m:t>1</m:t>
              </m:r>
              <m:r>
                <m:rPr>
                  <m:sty m:val="p"/>
                </m:rPr>
                <m:t>−</m:t>
              </m:r>
              <m:sSubSup>
                <m:e>
                  <m:r>
                    <m:t>ν</m:t>
                  </m:r>
                </m:e>
                <m:sub>
                  <m:r>
                    <m:t>g</m:t>
                  </m:r>
                </m:sub>
                <m:sup>
                  <m:r>
                    <m:t>2</m:t>
                  </m:r>
                </m:sup>
              </m:sSubSup>
              <m:r>
                <m:rPr>
                  <m:sty m:val="p"/>
                </m:rPr>
                <m:t>)</m:t>
              </m:r>
            </m:den>
          </m:f>
          <m:r>
            <m:rPr>
              <m:sty m:val="p"/>
            </m:rPr>
            <m:t>.</m:t>
          </m:r>
          <m:r>
            <m:t>  </m:t>
          </m:r>
          <m:r>
            <m:rPr>
              <m:sty m:val="p"/>
            </m:rPr>
            <m:t>(</m:t>
          </m:r>
          <m:r>
            <m:t>3.16</m:t>
          </m:r>
          <m:r>
            <m:rPr>
              <m:sty m:val="p"/>
            </m:rPr>
            <m:t>)</m:t>
          </m:r>
        </m:oMath>
      </m:oMathPara>
      <w:bookmarkEnd w:id="46"/>
    </w:p>
    <w:p>
      <w:pPr>
        <w:pStyle w:val="FirstParagraph"/>
      </w:pPr>
      <w:r>
        <w:t xml:space="preserve">Con</w:t>
      </w:r>
      <w:r>
        <w:t xml:space="preserve"> </w:t>
      </w:r>
      <m:oMath>
        <m:sSub>
          <m:e>
            <m:r>
              <m:t>P</m:t>
            </m:r>
          </m:e>
          <m:sub>
            <m:r>
              <m:t>S</m:t>
            </m:r>
            <m:r>
              <m:t>E</m:t>
            </m:r>
          </m:sub>
        </m:sSub>
        <m:r>
          <m:rPr>
            <m:sty m:val="p"/>
          </m:rPr>
          <m:t>=</m:t>
        </m:r>
        <m:sSubSup>
          <m:e>
            <m:r>
              <m:t>σ</m:t>
            </m:r>
          </m:e>
          <m:sub>
            <m:r>
              <m:t>v</m:t>
            </m:r>
          </m:sub>
          <m:sup>
            <m:r>
              <m:rPr>
                <m:sty m:val="p"/>
              </m:rPr>
              <m:t>′</m:t>
            </m:r>
          </m:sup>
        </m:sSubSup>
      </m:oMath>
      <w:r>
        <w:t xml:space="preserve"> </w:t>
      </w:r>
      <w:r>
        <w:t xml:space="preserve">y</w:t>
      </w:r>
      <w:r>
        <w:t xml:space="preserve"> </w:t>
      </w:r>
      <m:oMath>
        <m:sSub>
          <m:e>
            <m:r>
              <m:t>K</m:t>
            </m:r>
          </m:e>
          <m:sub>
            <m:r>
              <m:t>S</m:t>
            </m:r>
            <m:r>
              <m:t>E</m:t>
            </m:r>
          </m:sub>
        </m:sSub>
        <m:r>
          <m:rPr>
            <m:sty m:val="p"/>
          </m:rPr>
          <m:t>=</m:t>
        </m:r>
        <m:sSubSup>
          <m:e>
            <m:r>
              <m:t>σ</m:t>
            </m:r>
          </m:e>
          <m:sub>
            <m:r>
              <m:t>h</m:t>
            </m:r>
          </m:sub>
          <m:sup>
            <m:r>
              <m:rPr>
                <m:sty m:val="p"/>
              </m:rPr>
              <m:t>′</m:t>
            </m:r>
          </m:sup>
        </m:sSubSup>
        <m:r>
          <m:rPr>
            <m:sty m:val="p"/>
          </m:rPr>
          <m:t>/</m:t>
        </m:r>
        <m:sSubSup>
          <m:e>
            <m:r>
              <m:t>σ</m:t>
            </m:r>
          </m:e>
          <m:sub>
            <m:r>
              <m:t>v</m:t>
            </m:r>
          </m:sub>
          <m:sup>
            <m:r>
              <m:rPr>
                <m:sty m:val="p"/>
              </m:rPr>
              <m:t>′</m:t>
            </m:r>
          </m:sup>
        </m:sSubSup>
      </m:oMath>
      <w:r>
        <w:t xml:space="preserve">, la respuesta tiene la forma</w:t>
      </w:r>
    </w:p>
    <w:p>
      <w:pPr>
        <w:pStyle w:val="BodyText"/>
      </w:pPr>
      <w:bookmarkStart w:id="47" w:name="eq-calculation-procedure-se-resultants"/>
      <m:oMathPara>
        <m:oMathParaPr>
          <m:jc m:val="center"/>
        </m:oMathParaPr>
        <m:oMath>
          <m:eqArr>
            <m:e>
              <m:sSub>
                <m:e>
                  <m:r>
                    <m:t>N</m:t>
                  </m:r>
                </m:e>
                <m:sub>
                  <m:r>
                    <m:t>θ</m:t>
                  </m:r>
                </m:sub>
              </m:sSub>
              <m:r>
                <m:rPr>
                  <m:sty m:val="p"/>
                </m:rPr>
                <m:t>(</m:t>
              </m:r>
              <m:r>
                <m:t>θ</m:t>
              </m:r>
              <m:r>
                <m:rPr>
                  <m:sty m:val="p"/>
                </m:rPr>
                <m:t>)</m:t>
              </m:r>
              <m:r>
                <m:t>&amp;</m:t>
              </m:r>
              <m:r>
                <m:rPr>
                  <m:sty m:val="p"/>
                </m:rPr>
                <m:t>=</m:t>
              </m:r>
              <m:r>
                <m:rPr>
                  <m:sty m:val="p"/>
                </m:rPr>
                <m:t>−</m:t>
              </m:r>
              <m:sSub>
                <m:e>
                  <m:r>
                    <m:t>P</m:t>
                  </m:r>
                </m:e>
                <m:sub>
                  <m:r>
                    <m:t>S</m:t>
                  </m:r>
                  <m:r>
                    <m:t>E</m:t>
                  </m:r>
                </m:sub>
              </m:sSub>
              <m:r>
                <m:t>R</m:t>
              </m:r>
              <m:sSub>
                <m:e>
                  <m:r>
                    <m:t>t</m:t>
                  </m:r>
                </m:e>
                <m:sub>
                  <m:r>
                    <m:t>0</m:t>
                  </m:r>
                </m:sub>
              </m:sSub>
              <m:r>
                <m:rPr>
                  <m:sty m:val="p"/>
                </m:rPr>
                <m:t>+</m:t>
              </m:r>
              <m:sSub>
                <m:e>
                  <m:r>
                    <m:t>P</m:t>
                  </m:r>
                </m:e>
                <m:sub>
                  <m:r>
                    <m:t>S</m:t>
                  </m:r>
                  <m:r>
                    <m:t>E</m:t>
                  </m:r>
                </m:sub>
              </m:sSub>
              <m:r>
                <m:t>R</m:t>
              </m:r>
              <m:sSub>
                <m:e>
                  <m:r>
                    <m:t>t</m:t>
                  </m:r>
                </m:e>
                <m:sub>
                  <m:r>
                    <m:t>2</m:t>
                  </m:r>
                </m:sub>
              </m:sSub>
              <m:r>
                <m:rPr>
                  <m:sty m:val="p"/>
                </m:rPr>
                <m:t>cos</m:t>
              </m:r>
              <m:r>
                <m:t>2</m:t>
              </m:r>
              <m:r>
                <m:t>θ</m:t>
              </m:r>
              <m:r>
                <m:rPr>
                  <m:sty m:val="p"/>
                </m:rPr>
                <m:t>,</m:t>
              </m:r>
            </m:e>
            <m:e>
              <m:sSub>
                <m:e>
                  <m:r>
                    <m:t>M</m:t>
                  </m:r>
                </m:e>
                <m:sub>
                  <m:r>
                    <m:t>θ</m:t>
                  </m:r>
                </m:sub>
              </m:sSub>
              <m:r>
                <m:rPr>
                  <m:sty m:val="p"/>
                </m:rPr>
                <m:t>(</m:t>
              </m:r>
              <m:r>
                <m:t>θ</m:t>
              </m:r>
              <m:r>
                <m:rPr>
                  <m:sty m:val="p"/>
                </m:rPr>
                <m:t>)</m:t>
              </m:r>
              <m:r>
                <m:t>&amp;</m:t>
              </m:r>
              <m:r>
                <m:rPr>
                  <m:sty m:val="p"/>
                </m:rPr>
                <m:t>=</m:t>
              </m:r>
              <m:sSub>
                <m:e>
                  <m:r>
                    <m:t>P</m:t>
                  </m:r>
                </m:e>
                <m:sub>
                  <m:r>
                    <m:t>S</m:t>
                  </m:r>
                  <m:r>
                    <m:t>E</m:t>
                  </m:r>
                </m:sub>
              </m:sSub>
              <m:sSup>
                <m:e>
                  <m:r>
                    <m:t>R</m:t>
                  </m:r>
                </m:e>
                <m:sup>
                  <m:r>
                    <m:t>2</m:t>
                  </m:r>
                </m:sup>
              </m:sSup>
              <m:sSub>
                <m:e>
                  <m:r>
                    <m:t>m</m:t>
                  </m:r>
                </m:e>
                <m:sub>
                  <m:r>
                    <m:t>2</m:t>
                  </m:r>
                </m:sub>
              </m:sSub>
              <m:r>
                <m:rPr>
                  <m:sty m:val="p"/>
                </m:rPr>
                <m:t>cos</m:t>
              </m:r>
              <m:r>
                <m:t>2</m:t>
              </m:r>
              <m:r>
                <m:t>θ</m:t>
              </m:r>
              <m:r>
                <m:rPr>
                  <m:sty m:val="p"/>
                </m:rPr>
                <m:t>,</m:t>
              </m:r>
            </m:e>
            <m:e>
              <m:sSub>
                <m:e>
                  <m:r>
                    <m:t>Q</m:t>
                  </m:r>
                </m:e>
                <m:sub>
                  <m:r>
                    <m:t>θ</m:t>
                  </m:r>
                </m:sub>
              </m:sSub>
              <m:r>
                <m:rPr>
                  <m:sty m:val="p"/>
                </m:rPr>
                <m:t>(</m:t>
              </m:r>
              <m:r>
                <m:t>θ</m:t>
              </m:r>
              <m:r>
                <m:rPr>
                  <m:sty m:val="p"/>
                </m:rPr>
                <m:t>)</m:t>
              </m:r>
              <m:r>
                <m:t>&amp;</m:t>
              </m:r>
              <m:r>
                <m:rPr>
                  <m:sty m:val="p"/>
                </m:rPr>
                <m:t>=</m:t>
              </m:r>
              <m:r>
                <m:rPr>
                  <m:sty m:val="p"/>
                </m:rPr>
                <m:t>−</m:t>
              </m:r>
              <m:r>
                <m:t>2</m:t>
              </m:r>
              <m:sSub>
                <m:e>
                  <m:r>
                    <m:t>P</m:t>
                  </m:r>
                </m:e>
                <m:sub>
                  <m:r>
                    <m:t>S</m:t>
                  </m:r>
                  <m:r>
                    <m:t>E</m:t>
                  </m:r>
                </m:sub>
              </m:sSub>
              <m:r>
                <m:t>R</m:t>
              </m:r>
              <m:sSub>
                <m:e>
                  <m:r>
                    <m:t>m</m:t>
                  </m:r>
                </m:e>
                <m:sub>
                  <m:r>
                    <m:t>2</m:t>
                  </m:r>
                </m:sub>
              </m:sSub>
              <m:r>
                <m:rPr>
                  <m:sty m:val="p"/>
                </m:rPr>
                <m:t>sin</m:t>
              </m:r>
              <m:r>
                <m:t>2</m:t>
              </m:r>
              <m:r>
                <m:t>θ</m:t>
              </m:r>
              <m:r>
                <m:rPr>
                  <m:sty m:val="p"/>
                </m:rPr>
                <m:t>.</m:t>
              </m:r>
            </m:e>
          </m:eqArr>
          <m:r>
            <m:t>  </m:t>
          </m:r>
          <m:r>
            <m:rPr>
              <m:sty m:val="p"/>
            </m:rPr>
            <m:t>(</m:t>
          </m:r>
          <m:r>
            <m:t>3.17</m:t>
          </m:r>
          <m:r>
            <m:rPr>
              <m:sty m:val="p"/>
            </m:rPr>
            <m:t>)</m:t>
          </m:r>
        </m:oMath>
      </m:oMathPara>
      <w:bookmarkEnd w:id="47"/>
    </w:p>
    <w:p>
      <w:pPr>
        <w:pStyle w:val="FirstParagraph"/>
      </w:pPr>
      <w:r>
        <w:t xml:space="preserve">Los coeficientes</w:t>
      </w:r>
      <w:r>
        <w:t xml:space="preserve"> </w:t>
      </w:r>
      <m:oMath>
        <m:sSub>
          <m:e>
            <m:r>
              <m:t>t</m:t>
            </m:r>
          </m:e>
          <m:sub>
            <m:r>
              <m:t>0</m:t>
            </m:r>
          </m:sub>
        </m:sSub>
      </m:oMath>
      <w:r>
        <w:t xml:space="preserve">,</w:t>
      </w:r>
      <w:r>
        <w:t xml:space="preserve"> </w:t>
      </w:r>
      <m:oMath>
        <m:sSub>
          <m:e>
            <m:r>
              <m:t>t</m:t>
            </m:r>
          </m:e>
          <m:sub>
            <m:r>
              <m:t>2</m:t>
            </m:r>
          </m:sub>
        </m:sSub>
      </m:oMath>
      <w:r>
        <w:t xml:space="preserve"> </w:t>
      </w:r>
      <w:r>
        <w:t xml:space="preserve">y</w:t>
      </w:r>
      <w:r>
        <w:t xml:space="preserve"> </w:t>
      </w:r>
      <m:oMath>
        <m:sSub>
          <m:e>
            <m:r>
              <m:t>m</m:t>
            </m:r>
          </m:e>
          <m:sub>
            <m:r>
              <m:t>2</m:t>
            </m:r>
          </m:sub>
        </m:sSub>
      </m:oMath>
      <w:r>
        <w:t xml:space="preserve"> </w:t>
      </w:r>
      <w:r>
        <w:t xml:space="preserve">se calculan con</w:t>
      </w:r>
      <w:r>
        <w:t xml:space="preserve"> </w:t>
      </w:r>
      <m:oMath>
        <m:sSup>
          <m:e>
            <m:r>
              <m:t>C</m:t>
            </m:r>
          </m:e>
          <m:sup>
            <m:r>
              <m:rPr>
                <m:sty m:val="p"/>
              </m:rPr>
              <m:t>*</m:t>
            </m:r>
          </m:sup>
        </m:sSup>
      </m:oMath>
      <w:r>
        <w:t xml:space="preserve">,</w:t>
      </w:r>
      <w:r>
        <w:t xml:space="preserve"> </w:t>
      </w:r>
      <m:oMath>
        <m:sSup>
          <m:e>
            <m:r>
              <m:t>F</m:t>
            </m:r>
          </m:e>
          <m:sup>
            <m:r>
              <m:rPr>
                <m:sty m:val="p"/>
              </m:rPr>
              <m:t>*</m:t>
            </m:r>
          </m:sup>
        </m:sSup>
      </m:oMath>
      <w:r>
        <w:t xml:space="preserve">,</w:t>
      </w:r>
      <w:r>
        <w:t xml:space="preserve"> </w:t>
      </w:r>
      <m:oMath>
        <m:sSub>
          <m:e>
            <m:r>
              <m:t>ν</m:t>
            </m:r>
          </m:e>
          <m:sub>
            <m:r>
              <m:t>g</m:t>
            </m:r>
          </m:sub>
        </m:sSub>
      </m:oMath>
      <w:r>
        <w:t xml:space="preserve">,</w:t>
      </w:r>
      <w:r>
        <w:t xml:space="preserve"> </w:t>
      </w:r>
      <m:oMath>
        <m:sSub>
          <m:e>
            <m:r>
              <m:t>K</m:t>
            </m:r>
          </m:e>
          <m:sub>
            <m:r>
              <m:t>S</m:t>
            </m:r>
            <m:r>
              <m:t>E</m:t>
            </m:r>
          </m:sub>
        </m:sSub>
      </m:oMath>
      <w:r>
        <w:t xml:space="preserve"> </w:t>
      </w:r>
      <w:r>
        <w:t xml:space="preserve">y la condición de interfaz. Su deducción y sus expresiones</w:t>
      </w:r>
      <w:r>
        <w:t xml:space="preserve"> </w:t>
      </w:r>
      <w:r>
        <w:t xml:space="preserve">completas se presentan en la metodología ampliada. Para</w:t>
      </w:r>
      <w:r>
        <w:t xml:space="preserve"> </w:t>
      </w:r>
      <w:r>
        <w:t xml:space="preserve">representar la incertidumbre del contacto se evalúan los límites con</w:t>
      </w:r>
      <w:r>
        <w:t xml:space="preserve"> </w:t>
      </w:r>
      <w:r>
        <w:t xml:space="preserve">deslizamiento libre y sin deslizamiento. La presión hidráulica neta uniforme se</w:t>
      </w:r>
      <w:r>
        <w:t xml:space="preserve"> </w:t>
      </w:r>
      <w:r>
        <w:t xml:space="preserve">superpone a la componente media de</w:t>
      </w:r>
      <w:r>
        <w:t xml:space="preserve"> </w:t>
      </w:r>
      <m:oMath>
        <m:sSub>
          <m:e>
            <m:r>
              <m:t>N</m:t>
            </m:r>
          </m:e>
          <m:sub>
            <m:r>
              <m:t>θ</m:t>
            </m:r>
          </m:sub>
        </m:sSub>
      </m:oMath>
      <w:r>
        <w:t xml:space="preserve">. Las combinaciones resistentes</w:t>
      </w:r>
      <w:r>
        <w:t xml:space="preserve"> </w:t>
      </w:r>
      <w:r>
        <w:t xml:space="preserve">modifican las tensiones vertical, horizontal e hidráulica según sus factores y</w:t>
      </w:r>
      <w:r>
        <w:t xml:space="preserve"> </w:t>
      </w:r>
      <w:r>
        <w:t xml:space="preserve">vuelven a calcular la interacción, de modo que</w:t>
      </w:r>
      <w:r>
        <w:t xml:space="preserve"> </w:t>
      </w:r>
      <m:oMath>
        <m:sSub>
          <m:e>
            <m:r>
              <m:t>N</m:t>
            </m:r>
          </m:e>
          <m:sub>
            <m:r>
              <m:t>θ</m:t>
            </m:r>
          </m:sub>
        </m:sSub>
      </m:oMath>
      <w:r>
        <w:t xml:space="preserve">,</w:t>
      </w:r>
      <w:r>
        <w:t xml:space="preserve"> </w:t>
      </w:r>
      <m:oMath>
        <m:sSub>
          <m:e>
            <m:r>
              <m:t>M</m:t>
            </m:r>
          </m:e>
          <m:sub>
            <m:r>
              <m:t>θ</m:t>
            </m:r>
          </m:sub>
        </m:sSub>
      </m:oMath>
      <w:r>
        <w:t xml:space="preserve"> </w:t>
      </w:r>
      <w:r>
        <w:t xml:space="preserve">y</w:t>
      </w:r>
      <w:r>
        <w:t xml:space="preserve"> </w:t>
      </w:r>
      <m:oMath>
        <m:sSub>
          <m:e>
            <m:r>
              <m:t>Q</m:t>
            </m:r>
          </m:e>
          <m:sub>
            <m:r>
              <m:t>θ</m:t>
            </m:r>
          </m:sub>
        </m:sSub>
      </m:oMath>
      <w:r>
        <w:t xml:space="preserve"> </w:t>
      </w:r>
      <w:r>
        <w:t xml:space="preserve">pertenecen a una misma combinación y posición angular.</w:t>
      </w:r>
    </w:p>
    <w:p>
      <w:pPr>
        <w:pStyle w:val="BodyText"/>
      </w:pPr>
      <w:r>
        <w:t xml:space="preserve">La componente uniforme incorpora la redistribución elástica debida a la</w:t>
      </w:r>
      <w:r>
        <w:t xml:space="preserve"> </w:t>
      </w:r>
      <w:r>
        <w:t xml:space="preserve">rigidez relativa. La variación lineal de las tensiones entre clave y solera se</w:t>
      </w:r>
      <w:r>
        <w:t xml:space="preserve"> </w:t>
      </w:r>
      <w:r>
        <w:t xml:space="preserve">incorpora mediante la</w:t>
      </w:r>
      <w:r>
        <w:t xml:space="preserve"> </w:t>
      </w:r>
      <w:hyperlink w:anchor="X7fb563140f8132be4809174d1b8edfd5e1b00fc">
        <w:r>
          <w:rPr>
            <w:rStyle w:val="Hyperlink"/>
          </w:rPr>
          <w:t xml:space="preserve">ec. 3.13</w:t>
        </w:r>
      </w:hyperlink>
      <w:r>
        <w:t xml:space="preserve">. Para cada</w:t>
      </w:r>
      <w:r>
        <w:t xml:space="preserve"> </w:t>
      </w:r>
      <w:r>
        <w:t xml:space="preserve">revestimiento, la demanda utilizada en las comprobaciones es</w:t>
      </w:r>
    </w:p>
    <w:p>
      <w:pPr>
        <w:pStyle w:val="BodyText"/>
      </w:pPr>
      <w:bookmarkStart w:id="48" w:name="eq-calculation-hybrid-resultants"/>
      <m:oMathPara>
        <m:oMathParaPr>
          <m:jc m:val="center"/>
        </m:oMathParaPr>
        <m:oMath>
          <m:eqArr>
            <m:e>
              <m:sSubSup>
                <m:e>
                  <m:r>
                    <m:t>N</m:t>
                  </m:r>
                </m:e>
                <m:sub>
                  <m:r>
                    <m:t>θ</m:t>
                  </m:r>
                </m:sub>
                <m:sup>
                  <m:r>
                    <m:t>d</m:t>
                  </m:r>
                </m:sup>
              </m:sSubSup>
              <m:r>
                <m:rPr>
                  <m:sty m:val="p"/>
                </m:rPr>
                <m:t>(</m:t>
              </m:r>
              <m:r>
                <m:t>θ</m:t>
              </m:r>
              <m:r>
                <m:rPr>
                  <m:sty m:val="p"/>
                </m:rPr>
                <m:t>)</m:t>
              </m:r>
              <m:r>
                <m:t>&amp;</m:t>
              </m:r>
              <m:r>
                <m:rPr>
                  <m:sty m:val="p"/>
                </m:rPr>
                <m:t>=</m:t>
              </m:r>
              <m:sSubSup>
                <m:e>
                  <m:r>
                    <m:t>N</m:t>
                  </m:r>
                </m:e>
                <m:sub>
                  <m:r>
                    <m:t>θ</m:t>
                  </m:r>
                </m:sub>
                <m:sup>
                  <m:r>
                    <m:t>S</m:t>
                  </m:r>
                  <m:r>
                    <m:t>E</m:t>
                  </m:r>
                </m:sup>
              </m:sSubSup>
              <m:r>
                <m:rPr>
                  <m:sty m:val="p"/>
                </m:rPr>
                <m:t>(</m:t>
              </m:r>
              <m:r>
                <m:t>θ</m:t>
              </m:r>
              <m:r>
                <m:rPr>
                  <m:sty m:val="p"/>
                </m:rPr>
                <m:t>)</m:t>
              </m:r>
              <m:r>
                <m:rPr>
                  <m:sty m:val="p"/>
                </m:rPr>
                <m:t>+</m:t>
              </m:r>
              <m:r>
                <m:rPr>
                  <m:sty m:val="p"/>
                </m:rPr>
                <m:t>Δ</m:t>
              </m:r>
              <m:sSub>
                <m:e>
                  <m:r>
                    <m:t>N</m:t>
                  </m:r>
                </m:e>
                <m:sub>
                  <m:r>
                    <m:t>θ</m:t>
                  </m:r>
                </m:sub>
              </m:sSub>
              <m:r>
                <m:rPr>
                  <m:sty m:val="p"/>
                </m:rPr>
                <m:t>(</m:t>
              </m:r>
              <m:r>
                <m:t>θ</m:t>
              </m:r>
              <m:r>
                <m:rPr>
                  <m:sty m:val="p"/>
                </m:rPr>
                <m:t>)</m:t>
              </m:r>
              <m:r>
                <m:rPr>
                  <m:sty m:val="p"/>
                </m:rPr>
                <m:t>,</m:t>
              </m:r>
            </m:e>
            <m:e>
              <m:sSubSup>
                <m:e>
                  <m:r>
                    <m:t>M</m:t>
                  </m:r>
                </m:e>
                <m:sub>
                  <m:r>
                    <m:t>θ</m:t>
                  </m:r>
                </m:sub>
                <m:sup>
                  <m:r>
                    <m:t>d</m:t>
                  </m:r>
                </m:sup>
              </m:sSubSup>
              <m:r>
                <m:rPr>
                  <m:sty m:val="p"/>
                </m:rPr>
                <m:t>(</m:t>
              </m:r>
              <m:r>
                <m:t>θ</m:t>
              </m:r>
              <m:r>
                <m:rPr>
                  <m:sty m:val="p"/>
                </m:rPr>
                <m:t>)</m:t>
              </m:r>
              <m:r>
                <m:t>&amp;</m:t>
              </m:r>
              <m:r>
                <m:rPr>
                  <m:sty m:val="p"/>
                </m:rPr>
                <m:t>=</m:t>
              </m:r>
              <m:sSubSup>
                <m:e>
                  <m:r>
                    <m:t>M</m:t>
                  </m:r>
                </m:e>
                <m:sub>
                  <m:r>
                    <m:t>θ</m:t>
                  </m:r>
                </m:sub>
                <m:sup>
                  <m:r>
                    <m:t>S</m:t>
                  </m:r>
                  <m:r>
                    <m:t>E</m:t>
                  </m:r>
                </m:sup>
              </m:sSubSup>
              <m:r>
                <m:rPr>
                  <m:sty m:val="p"/>
                </m:rPr>
                <m:t>(</m:t>
              </m:r>
              <m:r>
                <m:t>θ</m:t>
              </m:r>
              <m:r>
                <m:rPr>
                  <m:sty m:val="p"/>
                </m:rPr>
                <m:t>)</m:t>
              </m:r>
              <m:r>
                <m:rPr>
                  <m:sty m:val="p"/>
                </m:rPr>
                <m:t>+</m:t>
              </m:r>
              <m:r>
                <m:rPr>
                  <m:sty m:val="p"/>
                </m:rPr>
                <m:t>Δ</m:t>
              </m:r>
              <m:sSub>
                <m:e>
                  <m:r>
                    <m:t>M</m:t>
                  </m:r>
                </m:e>
                <m:sub>
                  <m:r>
                    <m:t>θ</m:t>
                  </m:r>
                </m:sub>
              </m:sSub>
              <m:r>
                <m:rPr>
                  <m:sty m:val="p"/>
                </m:rPr>
                <m:t>(</m:t>
              </m:r>
              <m:r>
                <m:t>θ</m:t>
              </m:r>
              <m:r>
                <m:rPr>
                  <m:sty m:val="p"/>
                </m:rPr>
                <m:t>)</m:t>
              </m:r>
              <m:r>
                <m:rPr>
                  <m:sty m:val="p"/>
                </m:rPr>
                <m:t>,</m:t>
              </m:r>
            </m:e>
            <m:e>
              <m:sSubSup>
                <m:e>
                  <m:r>
                    <m:t>Q</m:t>
                  </m:r>
                </m:e>
                <m:sub>
                  <m:r>
                    <m:t>θ</m:t>
                  </m:r>
                </m:sub>
                <m:sup>
                  <m:r>
                    <m:t>d</m:t>
                  </m:r>
                </m:sup>
              </m:sSubSup>
              <m:r>
                <m:rPr>
                  <m:sty m:val="p"/>
                </m:rPr>
                <m:t>(</m:t>
              </m:r>
              <m:r>
                <m:t>θ</m:t>
              </m:r>
              <m:r>
                <m:rPr>
                  <m:sty m:val="p"/>
                </m:rPr>
                <m:t>)</m:t>
              </m:r>
              <m:r>
                <m:t>&amp;</m:t>
              </m:r>
              <m:r>
                <m:rPr>
                  <m:sty m:val="p"/>
                </m:rPr>
                <m:t>=</m:t>
              </m:r>
              <m:sSubSup>
                <m:e>
                  <m:r>
                    <m:t>Q</m:t>
                  </m:r>
                </m:e>
                <m:sub>
                  <m:r>
                    <m:t>θ</m:t>
                  </m:r>
                </m:sub>
                <m:sup>
                  <m:r>
                    <m:t>S</m:t>
                  </m:r>
                  <m:r>
                    <m:t>E</m:t>
                  </m:r>
                </m:sup>
              </m:sSubSup>
              <m:r>
                <m:rPr>
                  <m:sty m:val="p"/>
                </m:rPr>
                <m:t>(</m:t>
              </m:r>
              <m:r>
                <m:t>θ</m:t>
              </m:r>
              <m:r>
                <m:rPr>
                  <m:sty m:val="p"/>
                </m:rPr>
                <m:t>)</m:t>
              </m:r>
              <m:r>
                <m:rPr>
                  <m:sty m:val="p"/>
                </m:rPr>
                <m:t>+</m:t>
              </m:r>
              <m:r>
                <m:rPr>
                  <m:sty m:val="p"/>
                </m:rPr>
                <m:t>Δ</m:t>
              </m:r>
              <m:sSub>
                <m:e>
                  <m:r>
                    <m:t>Q</m:t>
                  </m:r>
                </m:e>
                <m:sub>
                  <m:r>
                    <m:t>θ</m:t>
                  </m:r>
                </m:sub>
              </m:sSub>
              <m:r>
                <m:rPr>
                  <m:sty m:val="p"/>
                </m:rPr>
                <m:t>(</m:t>
              </m:r>
              <m:r>
                <m:t>θ</m:t>
              </m:r>
              <m:r>
                <m:rPr>
                  <m:sty m:val="p"/>
                </m:rPr>
                <m:t>)</m:t>
              </m:r>
              <m:r>
                <m:rPr>
                  <m:sty m:val="p"/>
                </m:rPr>
                <m:t>.</m:t>
              </m:r>
            </m:e>
          </m:eqArr>
          <m:r>
            <m:t>  </m:t>
          </m:r>
          <m:r>
            <m:rPr>
              <m:sty m:val="p"/>
            </m:rPr>
            <m:t>(</m:t>
          </m:r>
          <m:r>
            <m:t>3.18</m:t>
          </m:r>
          <m:r>
            <m:rPr>
              <m:sty m:val="p"/>
            </m:rPr>
            <m:t>)</m:t>
          </m:r>
        </m:oMath>
      </m:oMathPara>
      <w:bookmarkEnd w:id="48"/>
    </w:p>
    <w:p>
      <w:pPr>
        <w:pStyle w:val="FirstParagraph"/>
      </w:pPr>
      <w:r>
        <w:t xml:space="preserve">El dominio del modelo corresponde a un relleno elástico homogéneo, un contacto</w:t>
      </w:r>
      <w:r>
        <w:t xml:space="preserve"> </w:t>
      </w:r>
      <w:r>
        <w:t xml:space="preserve">circunferencial continuo y la etapa de relleno completado. Los límites de</w:t>
      </w:r>
      <w:r>
        <w:t xml:space="preserve"> </w:t>
      </w:r>
      <w:r>
        <w:t xml:space="preserve">deslizamiento libre y ausencia de deslizamiento acotan la condición de</w:t>
      </w:r>
      <w:r>
        <w:t xml:space="preserve"> </w:t>
      </w:r>
      <w:r>
        <w:t xml:space="preserve">interfaz.</w:t>
      </w:r>
    </w:p>
    <w:p>
      <w:pPr>
        <w:pStyle w:val="BodyText"/>
      </w:pPr>
      <w:r>
        <w:t xml:space="preserve">La comprobación independiente de carga prescrita utiliza las ecuaciones de</w:t>
      </w:r>
      <w:r>
        <w:t xml:space="preserve"> </w:t>
      </w:r>
      <w:r>
        <w:t xml:space="preserve">equilibrio de un anillo sometido a componentes perimetrales</w:t>
      </w:r>
      <w:r>
        <w:t xml:space="preserve"> </w:t>
      </w:r>
      <m:oMath>
        <m:sSub>
          <m:e>
            <m:r>
              <m:t>P</m:t>
            </m:r>
          </m:e>
          <m:sub>
            <m:r>
              <m:t>r</m:t>
            </m:r>
          </m:sub>
        </m:sSub>
      </m:oMath>
      <w:r>
        <w:t xml:space="preserve"> </w:t>
      </w:r>
      <w:r>
        <w:t xml:space="preserve">y</w:t>
      </w:r>
      <w:r>
        <w:t xml:space="preserve"> </w:t>
      </w:r>
      <m:oMath>
        <m:sSub>
          <m:e>
            <m:r>
              <m:t>P</m:t>
            </m:r>
          </m:e>
          <m:sub>
            <m:r>
              <m:t>t</m:t>
            </m:r>
          </m:sub>
        </m:sSub>
      </m:oMath>
      <w:r>
        <w:t xml:space="preserve">:</w:t>
      </w:r>
    </w:p>
    <w:p>
      <w:pPr>
        <w:pStyle w:val="BodyText"/>
      </w:pPr>
      <w:bookmarkStart w:id="49" w:name="eq-calculation-ring-system"/>
      <m:oMathPara>
        <m:oMathParaPr>
          <m:jc m:val="center"/>
        </m:oMathParaPr>
        <m:oMath>
          <m:f>
            <m:fPr>
              <m:type m:val="bar"/>
            </m:fPr>
            <m:num>
              <m:r>
                <m:t>d</m:t>
              </m:r>
            </m:num>
            <m:den>
              <m:r>
                <m:t>d</m:t>
              </m:r>
              <m:r>
                <m:t>θ</m:t>
              </m:r>
            </m:den>
          </m:f>
          <m:d>
            <m:dPr>
              <m:begChr m:val="["/>
              <m:sepChr m:val=""/>
              <m:endChr m:val="]"/>
              <m:grow/>
            </m:dPr>
            <m:e>
              <m:m>
                <m:mPr>
                  <m:baseJc m:val="center"/>
                  <m:plcHide m:val="on"/>
                  <m:mcs>
                    <m:mc>
                      <m:mcPr>
                        <m:mcJc m:val="center"/>
                        <m:count m:val="1"/>
                      </m:mcPr>
                    </m:mc>
                  </m:mcs>
                </m:mPr>
                <m:mr>
                  <m:e>
                    <m:sSub>
                      <m:e>
                        <m:r>
                          <m:t>N</m:t>
                        </m:r>
                      </m:e>
                      <m:sub>
                        <m:r>
                          <m:t>θ</m:t>
                        </m:r>
                      </m:sub>
                    </m:sSub>
                  </m:e>
                </m:mr>
                <m:mr>
                  <m:e>
                    <m:sSub>
                      <m:e>
                        <m:r>
                          <m:t>Q</m:t>
                        </m:r>
                      </m:e>
                      <m:sub>
                        <m:r>
                          <m:t>θ</m:t>
                        </m:r>
                      </m:sub>
                    </m:sSub>
                  </m:e>
                </m:mr>
                <m:mr>
                  <m:e>
                    <m:sSub>
                      <m:e>
                        <m:r>
                          <m:t>M</m:t>
                        </m:r>
                      </m:e>
                      <m:sub>
                        <m:r>
                          <m:t>θ</m:t>
                        </m:r>
                      </m:sub>
                    </m:sSub>
                  </m:e>
                </m:mr>
              </m:m>
            </m:e>
          </m:d>
          <m:r>
            <m:rPr>
              <m:sty m:val="p"/>
            </m:rPr>
            <m:t>=</m:t>
          </m:r>
          <m:d>
            <m:dPr>
              <m:begChr m:val="["/>
              <m:sepChr m:val=""/>
              <m:endChr m:val="]"/>
              <m:grow/>
            </m:dPr>
            <m:e>
              <m:m>
                <m:mPr>
                  <m:baseJc m:val="center"/>
                  <m:plcHide m:val="on"/>
                  <m:mcs>
                    <m:mc>
                      <m:mcPr>
                        <m:mcJc m:val="center"/>
                        <m:count m:val="1"/>
                      </m:mcPr>
                    </m:mc>
                  </m:mcs>
                </m:mPr>
                <m:mr>
                  <m:e>
                    <m:sSub>
                      <m:e>
                        <m:r>
                          <m:t>Q</m:t>
                        </m:r>
                      </m:e>
                      <m:sub>
                        <m:r>
                          <m:t>θ</m:t>
                        </m:r>
                      </m:sub>
                    </m:sSub>
                    <m:r>
                      <m:rPr>
                        <m:sty m:val="p"/>
                      </m:rPr>
                      <m:t>−</m:t>
                    </m:r>
                    <m:r>
                      <m:t>R</m:t>
                    </m:r>
                    <m:sSub>
                      <m:e>
                        <m:r>
                          <m:t>P</m:t>
                        </m:r>
                      </m:e>
                      <m:sub>
                        <m:r>
                          <m:t>t</m:t>
                        </m:r>
                      </m:sub>
                    </m:sSub>
                  </m:e>
                </m:mr>
                <m:mr>
                  <m:e>
                    <m:r>
                      <m:t>R</m:t>
                    </m:r>
                    <m:sSub>
                      <m:e>
                        <m:r>
                          <m:t>P</m:t>
                        </m:r>
                      </m:e>
                      <m:sub>
                        <m:r>
                          <m:t>r</m:t>
                        </m:r>
                      </m:sub>
                    </m:sSub>
                    <m:r>
                      <m:rPr>
                        <m:sty m:val="p"/>
                      </m:rPr>
                      <m:t>−</m:t>
                    </m:r>
                    <m:sSub>
                      <m:e>
                        <m:r>
                          <m:t>N</m:t>
                        </m:r>
                      </m:e>
                      <m:sub>
                        <m:r>
                          <m:t>θ</m:t>
                        </m:r>
                      </m:sub>
                    </m:sSub>
                  </m:e>
                </m:mr>
                <m:mr>
                  <m:e>
                    <m:r>
                      <m:t>R</m:t>
                    </m:r>
                    <m:sSub>
                      <m:e>
                        <m:r>
                          <m:t>Q</m:t>
                        </m:r>
                      </m:e>
                      <m:sub>
                        <m:r>
                          <m:t>θ</m:t>
                        </m:r>
                      </m:sub>
                    </m:sSub>
                  </m:e>
                </m:mr>
              </m:m>
            </m:e>
          </m:d>
          <m:r>
            <m:rPr>
              <m:sty m:val="p"/>
            </m:rPr>
            <m:t>.</m:t>
          </m:r>
          <m:r>
            <m:t>  </m:t>
          </m:r>
          <m:r>
            <m:rPr>
              <m:sty m:val="p"/>
            </m:rPr>
            <m:t>(</m:t>
          </m:r>
          <m:r>
            <m:t>3.19</m:t>
          </m:r>
          <m:r>
            <m:rPr>
              <m:sty m:val="p"/>
            </m:rPr>
            <m:t>)</m:t>
          </m:r>
        </m:oMath>
      </m:oMathPara>
      <w:bookmarkEnd w:id="49"/>
    </w:p>
    <w:p>
      <w:pPr>
        <w:pStyle w:val="FirstParagraph"/>
      </w:pPr>
      <w:r>
        <w:t xml:space="preserve">La solución numérica integra este sistema mediante Runge–Kutta de cuarto</w:t>
      </w:r>
      <w:r>
        <w:t xml:space="preserve"> </w:t>
      </w:r>
      <w:r>
        <w:t xml:space="preserve">orden y determina las tres constantes de cierre mediante periodicidad de</w:t>
      </w:r>
      <w:r>
        <w:t xml:space="preserve"> </w:t>
      </w:r>
      <w:r>
        <w:t xml:space="preserve">desplazamientos y giro. La ley seccional, las condiciones de compatibilidad y</w:t>
      </w:r>
      <w:r>
        <w:t xml:space="preserve"> </w:t>
      </w:r>
      <w:r>
        <w:t xml:space="preserve">las constantes resultantes se desarrollan en la metodología ampliada. Esta vía</w:t>
      </w:r>
      <w:r>
        <w:t xml:space="preserve"> </w:t>
      </w:r>
      <w:r>
        <w:t xml:space="preserve">resuelve el equilibrio del anillo para una carga perimetral prescrita;</w:t>
      </w:r>
      <w:r>
        <w:t xml:space="preserve"> </w:t>
      </w:r>
      <w:r>
        <w:t xml:space="preserve">Schwartz–Einstein obtiene la componente interactiva a partir de</w:t>
      </w:r>
      <w:r>
        <w:t xml:space="preserve"> </w:t>
      </w:r>
      <m:oMath>
        <m:sSup>
          <m:e>
            <m:r>
              <m:t>C</m:t>
            </m:r>
          </m:e>
          <m:sup>
            <m:r>
              <m:rPr>
                <m:sty m:val="p"/>
              </m:rPr>
              <m:t>*</m:t>
            </m:r>
          </m:sup>
        </m:sSup>
      </m:oMath>
      <w:r>
        <w:t xml:space="preserve">,</w:t>
      </w:r>
      <w:r>
        <w:t xml:space="preserve"> </w:t>
      </w:r>
      <m:oMath>
        <m:sSup>
          <m:e>
            <m:r>
              <m:t>F</m:t>
            </m:r>
          </m:e>
          <m:sup>
            <m:r>
              <m:rPr>
                <m:sty m:val="p"/>
              </m:rPr>
              <m:t>*</m:t>
            </m:r>
          </m:sup>
        </m:sSup>
      </m:oMath>
      <w:r>
        <w:t xml:space="preserve"> </w:t>
      </w:r>
      <w:r>
        <w:t xml:space="preserve">y la interfaz.</w:t>
      </w:r>
    </w:p>
    <w:p>
      <w:pPr>
        <w:pStyle w:val="BodyText"/>
      </w:pPr>
      <w:r>
        <w:t xml:space="preserve">La misma carga prescrita puede resolverse mediante series de Fourier. Para una</w:t>
      </w:r>
      <w:r>
        <w:t xml:space="preserve"> </w:t>
      </w:r>
      <w:r>
        <w:t xml:space="preserve">distribución general,</w:t>
      </w:r>
    </w:p>
    <w:p>
      <w:pPr>
        <w:pStyle w:val="BodyText"/>
      </w:pPr>
      <w:bookmarkStart w:id="50" w:name="eq-calculation-load-fourier"/>
      <m:oMathPara>
        <m:oMathParaPr>
          <m:jc m:val="center"/>
        </m:oMathParaPr>
        <m:oMath>
          <m:eqArr>
            <m:e>
              <m:sSub>
                <m:e>
                  <m:r>
                    <m:t>P</m:t>
                  </m:r>
                </m:e>
                <m:sub>
                  <m:r>
                    <m:t>r</m:t>
                  </m:r>
                </m:sub>
              </m:sSub>
              <m:r>
                <m:rPr>
                  <m:sty m:val="p"/>
                </m:rPr>
                <m:t>(</m:t>
              </m:r>
              <m:r>
                <m:t>θ</m:t>
              </m:r>
              <m:r>
                <m:rPr>
                  <m:sty m:val="p"/>
                </m:rPr>
                <m:t>)</m:t>
              </m:r>
              <m:r>
                <m:t>&amp;</m:t>
              </m:r>
              <m:r>
                <m:rPr>
                  <m:sty m:val="p"/>
                </m:rPr>
                <m:t>=</m:t>
              </m:r>
              <m:sSub>
                <m:e>
                  <m:r>
                    <m:t>a</m:t>
                  </m:r>
                </m:e>
                <m:sub>
                  <m:r>
                    <m:t>0</m:t>
                  </m:r>
                </m:sub>
              </m:sSub>
              <m:r>
                <m:rPr>
                  <m:sty m:val="p"/>
                </m:rPr>
                <m:t>+</m:t>
              </m:r>
              <m:nary>
                <m:naryPr>
                  <m:chr m:val="∑"/>
                  <m:limLoc m:val="undOvr"/>
                  <m:subHide m:val="off"/>
                  <m:supHide m:val="off"/>
                </m:naryPr>
                <m:sub>
                  <m:r>
                    <m:t>n</m:t>
                  </m:r>
                  <m:r>
                    <m:rPr>
                      <m:sty m:val="p"/>
                    </m:rPr>
                    <m:t>=</m:t>
                  </m:r>
                  <m:r>
                    <m:t>1</m:t>
                  </m:r>
                </m:sub>
                <m:sup>
                  <m:r>
                    <m:rPr>
                      <m:sty m:val="p"/>
                    </m:rPr>
                    <m:t>∞</m:t>
                  </m:r>
                </m:sup>
                <m:e>
                  <m:d>
                    <m:dPr>
                      <m:begChr m:val="("/>
                      <m:sepChr m:val=""/>
                      <m:endChr m:val=")"/>
                      <m:grow/>
                    </m:dPr>
                    <m:e>
                      <m:sSub>
                        <m:e>
                          <m:r>
                            <m:t>a</m:t>
                          </m:r>
                        </m:e>
                        <m:sub>
                          <m:r>
                            <m:t>n</m:t>
                          </m:r>
                        </m:sub>
                      </m:sSub>
                      <m:r>
                        <m:rPr>
                          <m:sty m:val="p"/>
                        </m:rPr>
                        <m:t>cos</m:t>
                      </m:r>
                      <m:r>
                        <m:t>n</m:t>
                      </m:r>
                      <m:r>
                        <m:t>θ</m:t>
                      </m:r>
                      <m:r>
                        <m:rPr>
                          <m:sty m:val="p"/>
                        </m:rPr>
                        <m:t>+</m:t>
                      </m:r>
                      <m:sSub>
                        <m:e>
                          <m:r>
                            <m:t>b</m:t>
                          </m:r>
                        </m:e>
                        <m:sub>
                          <m:r>
                            <m:t>n</m:t>
                          </m:r>
                        </m:sub>
                      </m:sSub>
                      <m:r>
                        <m:rPr>
                          <m:sty m:val="p"/>
                        </m:rPr>
                        <m:t>sin</m:t>
                      </m:r>
                      <m:r>
                        <m:t>n</m:t>
                      </m:r>
                      <m:r>
                        <m:t>θ</m:t>
                      </m:r>
                    </m:e>
                  </m:d>
                </m:e>
              </m:nary>
              <m:r>
                <m:rPr>
                  <m:sty m:val="p"/>
                </m:rPr>
                <m:t>,</m:t>
              </m:r>
            </m:e>
            <m:e>
              <m:sSub>
                <m:e>
                  <m:r>
                    <m:t>P</m:t>
                  </m:r>
                </m:e>
                <m:sub>
                  <m:r>
                    <m:t>t</m:t>
                  </m:r>
                </m:sub>
              </m:sSub>
              <m:r>
                <m:rPr>
                  <m:sty m:val="p"/>
                </m:rPr>
                <m:t>(</m:t>
              </m:r>
              <m:r>
                <m:t>θ</m:t>
              </m:r>
              <m:r>
                <m:rPr>
                  <m:sty m:val="p"/>
                </m:rPr>
                <m:t>)</m:t>
              </m:r>
              <m:r>
                <m:t>&amp;</m:t>
              </m:r>
              <m:r>
                <m:rPr>
                  <m:sty m:val="p"/>
                </m:rPr>
                <m:t>=</m:t>
              </m:r>
              <m:sSub>
                <m:e>
                  <m:r>
                    <m:t>c</m:t>
                  </m:r>
                </m:e>
                <m:sub>
                  <m:r>
                    <m:t>0</m:t>
                  </m:r>
                </m:sub>
              </m:sSub>
              <m:r>
                <m:rPr>
                  <m:sty m:val="p"/>
                </m:rPr>
                <m:t>+</m:t>
              </m:r>
              <m:nary>
                <m:naryPr>
                  <m:chr m:val="∑"/>
                  <m:limLoc m:val="undOvr"/>
                  <m:subHide m:val="off"/>
                  <m:supHide m:val="off"/>
                </m:naryPr>
                <m:sub>
                  <m:r>
                    <m:t>n</m:t>
                  </m:r>
                  <m:r>
                    <m:rPr>
                      <m:sty m:val="p"/>
                    </m:rPr>
                    <m:t>=</m:t>
                  </m:r>
                  <m:r>
                    <m:t>1</m:t>
                  </m:r>
                </m:sub>
                <m:sup>
                  <m:r>
                    <m:rPr>
                      <m:sty m:val="p"/>
                    </m:rPr>
                    <m:t>∞</m:t>
                  </m:r>
                </m:sup>
                <m:e>
                  <m:d>
                    <m:dPr>
                      <m:begChr m:val="("/>
                      <m:sepChr m:val=""/>
                      <m:endChr m:val=")"/>
                      <m:grow/>
                    </m:dPr>
                    <m:e>
                      <m:sSub>
                        <m:e>
                          <m:r>
                            <m:t>c</m:t>
                          </m:r>
                        </m:e>
                        <m:sub>
                          <m:r>
                            <m:t>n</m:t>
                          </m:r>
                        </m:sub>
                      </m:sSub>
                      <m:r>
                        <m:rPr>
                          <m:sty m:val="p"/>
                        </m:rPr>
                        <m:t>cos</m:t>
                      </m:r>
                      <m:r>
                        <m:t>n</m:t>
                      </m:r>
                      <m:r>
                        <m:t>θ</m:t>
                      </m:r>
                      <m:r>
                        <m:rPr>
                          <m:sty m:val="p"/>
                        </m:rPr>
                        <m:t>+</m:t>
                      </m:r>
                      <m:sSub>
                        <m:e>
                          <m:r>
                            <m:t>d</m:t>
                          </m:r>
                        </m:e>
                        <m:sub>
                          <m:r>
                            <m:t>n</m:t>
                          </m:r>
                        </m:sub>
                      </m:sSub>
                      <m:r>
                        <m:rPr>
                          <m:sty m:val="p"/>
                        </m:rPr>
                        <m:t>sin</m:t>
                      </m:r>
                      <m:r>
                        <m:t>n</m:t>
                      </m:r>
                      <m:r>
                        <m:t>θ</m:t>
                      </m:r>
                    </m:e>
                  </m:d>
                </m:e>
              </m:nary>
              <m:r>
                <m:rPr>
                  <m:sty m:val="p"/>
                </m:rPr>
                <m:t>.</m:t>
              </m:r>
            </m:e>
          </m:eqArr>
          <m:r>
            <m:t>  </m:t>
          </m:r>
          <m:r>
            <m:rPr>
              <m:sty m:val="p"/>
            </m:rPr>
            <m:t>(</m:t>
          </m:r>
          <m:r>
            <m:t>3.20</m:t>
          </m:r>
          <m:r>
            <m:rPr>
              <m:sty m:val="p"/>
            </m:rPr>
            <m:t>)</m:t>
          </m:r>
        </m:oMath>
      </m:oMathPara>
      <w:bookmarkEnd w:id="50"/>
    </w:p>
    <w:p>
      <w:pPr>
        <w:pStyle w:val="FirstParagraph"/>
      </w:pPr>
      <w:r>
        <w:t xml:space="preserve">Para el tensor biaxial uniforme, los coeficientes</w:t>
      </w:r>
      <w:r>
        <w:t xml:space="preserve"> </w:t>
      </w:r>
      <m:oMath>
        <m:sSub>
          <m:e>
            <m:r>
              <m:t>a</m:t>
            </m:r>
          </m:e>
          <m:sub>
            <m:r>
              <m:t>0</m:t>
            </m:r>
          </m:sub>
        </m:sSub>
      </m:oMath>
      <w:r>
        <w:t xml:space="preserve">,</w:t>
      </w:r>
      <w:r>
        <w:t xml:space="preserve"> </w:t>
      </w:r>
      <m:oMath>
        <m:sSub>
          <m:e>
            <m:r>
              <m:t>a</m:t>
            </m:r>
          </m:e>
          <m:sub>
            <m:r>
              <m:t>2</m:t>
            </m:r>
          </m:sub>
        </m:sSub>
      </m:oMath>
      <w:r>
        <w:t xml:space="preserve"> </w:t>
      </w:r>
      <w:r>
        <w:t xml:space="preserve">y</w:t>
      </w:r>
      <w:r>
        <w:t xml:space="preserve"> </w:t>
      </w:r>
      <m:oMath>
        <m:sSub>
          <m:e>
            <m:r>
              <m:t>d</m:t>
            </m:r>
          </m:e>
          <m:sub>
            <m:r>
              <m:t>2</m:t>
            </m:r>
          </m:sub>
        </m:sSub>
      </m:oMath>
      <w:r>
        <w:t xml:space="preserve"> </w:t>
      </w:r>
      <w:r>
        <w:t xml:space="preserve">completan la representación en</w:t>
      </w:r>
      <w:r>
        <w:t xml:space="preserve"> </w:t>
      </w:r>
      <m:oMath>
        <m:r>
          <m:t>n</m:t>
        </m:r>
        <m:r>
          <m:rPr>
            <m:sty m:val="p"/>
          </m:rPr>
          <m:t>=</m:t>
        </m:r>
        <m:r>
          <m:t>2</m:t>
        </m:r>
      </m:oMath>
      <w:r>
        <w:t xml:space="preserve">. El gradiente lineal equilibrado agrega</w:t>
      </w:r>
      <w:r>
        <w:t xml:space="preserve"> </w:t>
      </w:r>
      <w:r>
        <w:t xml:space="preserve">los coeficientes de los modos</w:t>
      </w:r>
      <w:r>
        <w:t xml:space="preserve"> </w:t>
      </w:r>
      <m:oMath>
        <m:r>
          <m:t>n</m:t>
        </m:r>
        <m:r>
          <m:rPr>
            <m:sty m:val="p"/>
          </m:rPr>
          <m:t>=</m:t>
        </m:r>
        <m:r>
          <m:t>1</m:t>
        </m:r>
        <m:r>
          <m:rPr>
            <m:sty m:val="p"/>
          </m:rPr>
          <m:t>,</m:t>
        </m:r>
        <m:r>
          <m:t>3</m:t>
        </m:r>
      </m:oMath>
      <w:r>
        <w:t xml:space="preserve">. La serie de Fourier es la suma de estas</w:t>
      </w:r>
      <w:r>
        <w:t xml:space="preserve"> </w:t>
      </w:r>
      <w:r>
        <w:t xml:space="preserve">componentes armónicas;</w:t>
      </w:r>
      <w:r>
        <w:t xml:space="preserve"> </w:t>
      </w:r>
      <m:oMath>
        <m:r>
          <m:t>n</m:t>
        </m:r>
      </m:oMath>
      <w:r>
        <w:t xml:space="preserve"> </w:t>
      </w:r>
      <w:r>
        <w:t xml:space="preserve">identifica el orden espacial de cada componente.</w:t>
      </w:r>
      <w:r>
        <w:t xml:space="preserve"> </w:t>
      </w:r>
      <w:r>
        <w:t xml:space="preserve">La integración Runge–Kutta se compara punto por punto con la reconstrucción</w:t>
      </w:r>
      <w:r>
        <w:t xml:space="preserve"> </w:t>
      </w:r>
      <w:r>
        <w:t xml:space="preserve">modal y se verifica mediante las resultantes globales. Los controles de cargas</w:t>
      </w:r>
      <w:r>
        <w:t xml:space="preserve"> </w:t>
      </w:r>
      <w:r>
        <w:t xml:space="preserve">discontinuas y de convergencia se documentan en la metodología ampliada.</w:t>
      </w:r>
    </w:p>
    <w:p>
      <w:pPr>
        <w:pStyle w:val="BodyText"/>
      </w:pPr>
      <w:r>
        <w:t xml:space="preserve">Fourier descompone una acción perimetral prescrita y Schwartz–Einstein calcula</w:t>
      </w:r>
      <w:r>
        <w:t xml:space="preserve"> </w:t>
      </w:r>
      <w:r>
        <w:t xml:space="preserve">la respuesta interactiva uniforme a partir de la rigidez relativa y de la</w:t>
      </w:r>
      <w:r>
        <w:t xml:space="preserve"> </w:t>
      </w:r>
      <w:r>
        <w:t xml:space="preserve">interfaz. La comparación entre ambas vías controla el equilibrio y la</w:t>
      </w:r>
      <w:r>
        <w:t xml:space="preserve"> </w:t>
      </w:r>
      <w:r>
        <w:t xml:space="preserve">reconstrucción armónica de las componentes superpuestas.</w:t>
      </w:r>
    </w:p>
    <w:p>
      <w:pPr>
        <w:pStyle w:val="BodyText"/>
      </w:pPr>
      <w:r>
        <w:t xml:space="preserve">La comprobación AASHTO/USACE calcula el empuje circunferencial escalar mayorado</w:t>
      </w:r>
      <w:r>
        <w:t xml:space="preserve"> </w:t>
      </w:r>
      <w:r>
        <w:t xml:space="preserve">y lo compara con pared, pandeo, costura, flexibilidad y tapada conforme a la</w:t>
      </w:r>
      <w:r>
        <w:t xml:space="preserve"> </w:t>
      </w:r>
      <w:r>
        <w:t xml:space="preserve">base de referencia identificada. Sus resultados se presentan junto con la</w:t>
      </w:r>
      <w:r>
        <w:t xml:space="preserve"> </w:t>
      </w:r>
      <w:r>
        <w:t xml:space="preserve">distribución angular del modelo híbrido como dos comprobaciones de alcance</w:t>
      </w:r>
      <w:r>
        <w:t xml:space="preserve"> </w:t>
      </w:r>
      <w:r>
        <w:t xml:space="preserve">diferenciado. FHWA aporta la relación documentada para una acción constructiva</w:t>
      </w:r>
      <w:r>
        <w:t xml:space="preserve"> </w:t>
      </w:r>
      <w:r>
        <w:t xml:space="preserve">de compactación y Núñez aporta casos publicados de revestimientos de túneles</w:t>
      </w:r>
      <w:r>
        <w:t xml:space="preserve"> </w:t>
      </w:r>
      <w:r>
        <w:t xml:space="preserve">excavados.</w:t>
      </w:r>
    </w:p>
    <w:p>
      <w:pPr>
        <w:pStyle w:val="BodyText"/>
      </w:pPr>
      <w:r>
        <w:t xml:space="preserve">La demanda circunferencial y las comprobaciones de pared, costura,</w:t>
      </w:r>
      <w:r>
        <w:t xml:space="preserve"> </w:t>
      </w:r>
      <w:r>
        <w:t xml:space="preserve">flexibilidad y tapada se desarrollan junto con sus resultados en</w:t>
      </w:r>
      <w:r>
        <w:t xml:space="preserve"> </w:t>
      </w:r>
      <w:hyperlink w:anchor="sec-calculation-steel">
        <w:r>
          <w:rPr>
            <w:rStyle w:val="Hyperlink"/>
          </w:rPr>
          <w:t xml:space="preserve">Capítulo 4</w:t>
        </w:r>
      </w:hyperlink>
      <w:r>
        <w:t xml:space="preserve">. Los apéndices documentan el coeficiente de empuje y la</w:t>
      </w:r>
      <w:r>
        <w:t xml:space="preserve"> </w:t>
      </w:r>
      <w:r>
        <w:t xml:space="preserve">acción de compactación en</w:t>
      </w:r>
      <w:r>
        <w:t xml:space="preserve"> </w:t>
      </w:r>
      <w:hyperlink w:anchor="sec-calculation-appendix-k0">
        <w:r>
          <w:rPr>
            <w:rStyle w:val="Hyperlink"/>
          </w:rPr>
          <w:t xml:space="preserve">Apéndice A</w:t>
        </w:r>
      </w:hyperlink>
      <w:r>
        <w:t xml:space="preserve">, y comparan las</w:t>
      </w:r>
      <w:r>
        <w:t xml:space="preserve"> </w:t>
      </w:r>
      <w:r>
        <w:t xml:space="preserve">resultantes del proyecto con las formulaciones de referencia en</w:t>
      </w:r>
      <w:r>
        <w:t xml:space="preserve"> </w:t>
      </w:r>
      <w:hyperlink w:anchor="sec-calculation-appendix-references">
        <w:r>
          <w:rPr>
            <w:rStyle w:val="Hyperlink"/>
          </w:rPr>
          <w:t xml:space="preserve">Apéndice B</w:t>
        </w:r>
      </w:hyperlink>
      <w:r>
        <w:t xml:space="preserve">.</w:t>
      </w:r>
    </w:p>
    <w:p>
      <w:pPr>
        <w:pStyle w:val="BodyText"/>
      </w:pPr>
      <w:r>
        <w:t xml:space="preserve">En síntesis, el modelo obtiene una demanda propia para cada revestimiento a</w:t>
      </w:r>
      <w:r>
        <w:t xml:space="preserve"> </w:t>
      </w:r>
      <w:r>
        <w:t xml:space="preserve">partir de su radio y de sus rigideces axial y flexional. La componente uniforme</w:t>
      </w:r>
      <w:r>
        <w:t xml:space="preserve"> </w:t>
      </w:r>
      <w:r>
        <w:t xml:space="preserve">de Schwartz–Einstein incorpora la interacción con el terreno, mientras que</w:t>
      </w:r>
      <w:r>
        <w:t xml:space="preserve"> </w:t>
      </w:r>
      <w:r>
        <w:t xml:space="preserve">la corrección geostática equilibrada representa la variación de tensiones</w:t>
      </w:r>
      <w:r>
        <w:t xml:space="preserve"> </w:t>
      </w:r>
      <w:r>
        <w:t xml:space="preserve">entre clave y solera. Los dos límites de interfaz acotan la respuesta y las</w:t>
      </w:r>
      <w:r>
        <w:t xml:space="preserve"> </w:t>
      </w:r>
      <w:r>
        <w:t xml:space="preserve">comprobaciones numéricas confirman el equilibrio de las resultantes que se</w:t>
      </w:r>
      <w:r>
        <w:t xml:space="preserve"> </w:t>
      </w:r>
      <w:r>
        <w:t xml:space="preserve">utilizan en las verificaciones de los capítulos siguientes.</w:t>
      </w:r>
    </w:p>
    <w:bookmarkEnd w:id="51"/>
    <w:bookmarkStart w:id="75" w:name="sec-calculation-steel"/>
    <w:p>
      <w:pPr>
        <w:pStyle w:val="Heading1"/>
      </w:pPr>
      <w:r>
        <w:t xml:space="preserve">Verificación del liner de acero</w:t>
      </w:r>
    </w:p>
    <w:p>
      <w:pPr>
        <w:pStyle w:val="FirstParagraph"/>
      </w:pPr>
      <w:r>
        <w:t xml:space="preserve">Este capítulo verifica el liner de acero existente con el perfil corrugado y</w:t>
      </w:r>
      <w:r>
        <w:t xml:space="preserve"> </w:t>
      </w:r>
      <w:r>
        <w:t xml:space="preserve">el espesor remanente del escenario de cálculo. Determina sus propiedades y</w:t>
      </w:r>
      <w:r>
        <w:t xml:space="preserve"> </w:t>
      </w:r>
      <w:r>
        <w:t xml:space="preserve">rigideces, obtiene las distribuciones de fuerza circunferencial, momento y</w:t>
      </w:r>
      <w:r>
        <w:t xml:space="preserve"> </w:t>
      </w:r>
      <w:r>
        <w:t xml:space="preserve">corte para ambos límites de interfaz, y contrasta el empuje circunferencial</w:t>
      </w:r>
      <w:r>
        <w:t xml:space="preserve"> </w:t>
      </w:r>
      <w:r>
        <w:t xml:space="preserve">con los controles de pared, pandeo, costura, flexibilidad y tapada. El objetivo</w:t>
      </w:r>
      <w:r>
        <w:t xml:space="preserve"> </w:t>
      </w:r>
      <w:r>
        <w:t xml:space="preserve">es identificar los estados que gobiernan y los datos de inspección que deben</w:t>
      </w:r>
      <w:r>
        <w:t xml:space="preserve"> </w:t>
      </w:r>
      <w:r>
        <w:t xml:space="preserve">confirmarse para la evaluación definitiva de la estructura existente.</w:t>
      </w:r>
    </w:p>
    <w:p>
      <w:pPr>
        <w:pStyle w:val="BodyText"/>
      </w:pPr>
      <w:r>
        <w:t xml:space="preserve">El revestimiento existente se representa con el perfil corrugado CSPI de</w:t>
      </w:r>
      <w:r>
        <w:t xml:space="preserve"> </w:t>
      </w:r>
      <w:r>
        <w:t xml:space="preserve">76 ×</w:t>
      </w:r>
      <w:r>
        <w:t xml:space="preserve"> </w:t>
      </w:r>
      <w:r>
        <w:t xml:space="preserve">25 mm. La fila</w:t>
      </w:r>
      <w:r>
        <w:t xml:space="preserve"> </w:t>
      </w:r>
      <w:r>
        <w:t xml:space="preserve">de referencia tiene un espesor especificado de</w:t>
      </w:r>
      <w:r>
        <w:t xml:space="preserve"> </w:t>
      </w:r>
      <w:r>
        <w:t xml:space="preserve">3.5 mm y un</w:t>
      </w:r>
      <w:r>
        <w:t xml:space="preserve"> </w:t>
      </w:r>
      <w:r>
        <w:t xml:space="preserve">espesor base de diseño de</w:t>
      </w:r>
      <w:r>
        <w:t xml:space="preserve"> </w:t>
      </w:r>
      <w:r>
        <w:t xml:space="preserve">3.35 mm. El</w:t>
      </w:r>
      <w:r>
        <w:t xml:space="preserve"> </w:t>
      </w:r>
      <w:r>
        <w:t xml:space="preserve">cálculo adopta un espesor remanente de</w:t>
      </w:r>
      <w:r>
        <w:t xml:space="preserve"> </w:t>
      </w:r>
      <w:r>
        <w:t xml:space="preserve">3 mm;</w:t>
      </w:r>
      <w:r>
        <w:t xml:space="preserve"> </w:t>
      </w:r>
      <w:r>
        <w:t xml:space="preserve">por lo tanto, el escenario</w:t>
      </w:r>
      <w:r>
        <w:t xml:space="preserve"> </w:t>
      </w:r>
      <w:r>
        <w:t xml:space="preserve">representa una pérdida de espesor de 10 % respecto del espesor base de diseño. La</w:t>
      </w:r>
      <w:r>
        <w:t xml:space="preserve"> </w:t>
      </w:r>
      <w:hyperlink w:anchor="fig-profile">
        <w:r>
          <w:rPr>
            <w:rStyle w:val="Hyperlink"/>
          </w:rPr>
          <w:t xml:space="preserve">figura 4.1</w:t>
        </w:r>
      </w:hyperlink>
      <w:r>
        <w:t xml:space="preserve"> </w:t>
      </w:r>
      <w:r>
        <w:t xml:space="preserve">reproduce el croquis del catálogo que define el paso, la</w:t>
      </w:r>
      <w:r>
        <w:t xml:space="preserve"> </w:t>
      </w:r>
      <w:r>
        <w:t xml:space="preserve">profundidad, el radio de plegado y las variables geométricas del perfil. El</w:t>
      </w:r>
      <w:r>
        <w:t xml:space="preserve"> </w:t>
      </w:r>
      <w:r>
        <w:t xml:space="preserve">espesor</w:t>
      </w:r>
      <w:r>
        <w:t xml:space="preserve"> </w:t>
      </w:r>
      <m:oMath>
        <m:r>
          <m:t>T</m:t>
        </m:r>
      </m:oMath>
      <w:r>
        <w:t xml:space="preserve"> </w:t>
      </w:r>
      <w:r>
        <w:t xml:space="preserve">del croquis es una variable; el espesor especificado y el espesor</w:t>
      </w:r>
      <w:r>
        <w:t xml:space="preserve"> </w:t>
      </w:r>
      <w:r>
        <w:t xml:space="preserve">remanente empleados en esta memoria son los indicados en el párrafo anterior</w:t>
      </w:r>
      <w:r>
        <w:t xml:space="preserve"> </w:t>
      </w:r>
      <w:r>
        <w:t xml:space="preserve">y en la</w:t>
      </w:r>
      <w:r>
        <w:t xml:space="preserve"> </w:t>
      </w:r>
      <w:hyperlink w:anchor="tbl-liner-section-reference">
        <w:r>
          <w:rPr>
            <w:rStyle w:val="Hyperlink"/>
          </w:rPr>
          <w:t xml:space="preserve">tabla 4.1</w:t>
        </w:r>
      </w:hyperlink>
      <w:r>
        <w:t xml:space="preserve">.</w:t>
      </w:r>
    </w:p>
    <w:tbl>
      <w:tblPr>
        <w:tblStyle w:val="Table"/>
        <w:tblLayout w:type="autofit"/>
        <w:tblLook w:firstRow="0" w:lastRow="0" w:firstColumn="0" w:lastColumn="0" w:noHBand="0" w:noVBand="0" w:val="0000"/>
      </w:tblPr>
      <w:tblGrid>
        <w:gridCol w:w="7920"/>
      </w:tblGrid>
      <w:tr>
        <w:tc>
          <w:tcPr/>
          <w:bookmarkStart w:id="55" w:name="fig-profile"/>
          <w:p>
            <w:pPr>
              <w:pStyle w:val="Compact"/>
              <w:jc w:val="center"/>
            </w:pPr>
            <w:r>
              <w:drawing>
                <wp:inline>
                  <wp:extent cx="3975652" cy="1773752"/>
                  <wp:effectExtent b="0" l="0" r="0" t="0"/>
                  <wp:docPr descr="" title="" id="53" name="Picture"/>
                  <a:graphic>
                    <a:graphicData uri="http://schemas.openxmlformats.org/drawingml/2006/picture">
                      <pic:pic>
                        <pic:nvPicPr>
                          <pic:cNvPr descr="_images/liner.profile.CSPI.png" id="54" name="Picture"/>
                          <pic:cNvPicPr>
                            <a:picLocks noChangeArrowheads="1" noChangeAspect="1"/>
                          </pic:cNvPicPr>
                        </pic:nvPicPr>
                        <pic:blipFill>
                          <a:blip r:embed="rId52"/>
                          <a:stretch>
                            <a:fillRect/>
                          </a:stretch>
                        </pic:blipFill>
                        <pic:spPr bwMode="auto">
                          <a:xfrm>
                            <a:off x="0" y="0"/>
                            <a:ext cx="3975652" cy="1773752"/>
                          </a:xfrm>
                          <a:prstGeom prst="rect">
                            <a:avLst/>
                          </a:prstGeom>
                          <a:noFill/>
                          <a:ln w="9525">
                            <a:noFill/>
                            <a:headEnd/>
                            <a:tailEnd/>
                          </a:ln>
                        </pic:spPr>
                      </pic:pic>
                    </a:graphicData>
                  </a:graphic>
                </wp:inline>
              </w:drawing>
            </w:r>
          </w:p>
          <w:p>
            <w:pPr>
              <w:jc w:val="left"/>
              <w:pStyle w:val="ImageCaption"/>
            </w:pPr>
            <w:r>
              <w:t xml:space="preserve">Figura 4.1: Geometría del perfil corrugado adoptado.</w:t>
            </w:r>
            <w:r>
              <w:t xml:space="preserve"> </w:t>
            </w:r>
            <m:oMath>
              <m:r>
                <m:t>T</m:t>
              </m:r>
            </m:oMath>
            <w:r>
              <w:t xml:space="preserve"> </w:t>
            </w:r>
            <w:r>
              <w:t xml:space="preserve">es el espesor de la chapa,</w:t>
            </w:r>
            <w:r>
              <w:t xml:space="preserve"> </w:t>
            </w:r>
            <m:oMath>
              <m:r>
                <m:t>T</m:t>
              </m:r>
              <m:r>
                <m:t>L</m:t>
              </m:r>
            </m:oMath>
            <w:r>
              <w:t xml:space="preserve"> </w:t>
            </w:r>
            <w:r>
              <w:t xml:space="preserve">la longitud del tramo tangente y</w:t>
            </w:r>
            <w:r>
              <w:t xml:space="preserve"> </w:t>
            </w:r>
            <m:oMath>
              <m:r>
                <m:t>θ</m:t>
              </m:r>
            </m:oMath>
            <w:r>
              <w:t xml:space="preserve"> </w:t>
            </w:r>
            <w:r>
              <w:t xml:space="preserve">su ángulo. Fuente: CSPI, tabla 2.4</w:t>
            </w:r>
            <w:r>
              <w:t xml:space="preserve"> </w:t>
            </w:r>
            <w:r>
              <w:t xml:space="preserve">(</w:t>
            </w:r>
            <w:hyperlink w:anchor="ref-CSPIHandbookChapter2">
              <w:r>
                <w:rPr>
                  <w:rStyle w:val="Hyperlink"/>
                </w:rPr>
                <w:t xml:space="preserve">Corrugated Steel Pipe Institute, s. f.-a</w:t>
              </w:r>
            </w:hyperlink>
            <w:r>
              <w:t xml:space="preserve">)</w:t>
            </w:r>
            <w:r>
              <w:t xml:space="preserve">.</w:t>
            </w:r>
          </w:p>
          <w:bookmarkEnd w:id="55"/>
        </w:tc>
      </w:tr>
    </w:tbl>
    <w:p>
      <w:pPr>
        <w:pStyle w:val="BodyText"/>
      </w:pPr>
      <w:r>
        <w:t xml:space="preserve">La</w:t>
      </w:r>
      <w:r>
        <w:t xml:space="preserve"> </w:t>
      </w:r>
      <w:hyperlink w:anchor="tbl-liner-section-reference">
        <w:r>
          <w:rPr>
            <w:rStyle w:val="Hyperlink"/>
          </w:rPr>
          <w:t xml:space="preserve">tabla 4.1</w:t>
        </w:r>
      </w:hyperlink>
      <w:r>
        <w:t xml:space="preserve"> </w:t>
      </w:r>
      <w:r>
        <w:t xml:space="preserve">reproduce las propiedades seccionales</w:t>
      </w:r>
      <w:r>
        <w:t xml:space="preserve"> </w:t>
      </w:r>
      <w:r>
        <w:t xml:space="preserve">publicadas que se emplean en la evaluación</w:t>
      </w:r>
      <w:r>
        <w:t xml:space="preserve"> </w:t>
      </w:r>
      <w:r>
        <w:t xml:space="preserve">(</w:t>
      </w:r>
      <w:hyperlink w:anchor="ref-CSPIHandbookChapter2">
        <w:r>
          <w:rPr>
            <w:rStyle w:val="Hyperlink"/>
          </w:rPr>
          <w:t xml:space="preserve">Corrugated Steel Pipe Institute, s. f.-a, fig. 2.1</w:t>
        </w:r>
      </w:hyperlink>
      <w:r>
        <w:t xml:space="preserve"> </w:t>
      </w:r>
      <w:r>
        <w:t xml:space="preserve">y tabla 2.4)</w:t>
      </w:r>
      <w:r>
        <w:t xml:space="preserve">.</w:t>
      </w:r>
    </w:p>
    <w:tbl>
      <w:tblPr>
        <w:tblStyle w:val="Table"/>
        <w:tblLayout w:type="autofit"/>
        <w:tblLook w:firstRow="0" w:lastRow="0" w:firstColumn="0" w:lastColumn="0" w:noHBand="0" w:noVBand="0" w:val="0000"/>
      </w:tblPr>
      <w:tblGrid>
        <w:gridCol w:w="7920"/>
      </w:tblGrid>
      <w:tr>
        <w:tc>
          <w:tcPr/>
          <w:bookmarkStart w:id="56" w:name="tbl-liner-section-reference"/>
          <w:p>
            <w:pPr>
              <w:jc w:val="left"/>
              <w:pStyle w:val="ImageCaption"/>
            </w:pPr>
            <w:r>
              <w:t xml:space="preserve">Tabla 4.1: Propiedades publicadas para la fila adoptada de la tabla seccional de referencia.</w:t>
            </w:r>
            <w:r>
              <w:t xml:space="preserve"> </w:t>
            </w:r>
            <m:oMath>
              <m:sSub>
                <m:e>
                  <m:r>
                    <m:t>t</m:t>
                  </m:r>
                </m:e>
                <m:sub>
                  <m:r>
                    <m:t>s</m:t>
                  </m:r>
                </m:sub>
              </m:sSub>
            </m:oMath>
            <w:r>
              <w:t xml:space="preserve"> </w:t>
            </w:r>
            <w:r>
              <w:t xml:space="preserve">y</w:t>
            </w:r>
            <w:r>
              <w:t xml:space="preserve"> </w:t>
            </w:r>
            <m:oMath>
              <m:sSub>
                <m:e>
                  <m:r>
                    <m:t>t</m:t>
                  </m:r>
                </m:e>
                <m:sub>
                  <m:r>
                    <m:t>d</m:t>
                  </m:r>
                </m:sub>
              </m:sSub>
            </m:oMath>
            <w:r>
              <w:t xml:space="preserve"> </w:t>
            </w:r>
            <w:r>
              <w:t xml:space="preserve">se expresan en mm;</w:t>
            </w:r>
            <w:r>
              <w:t xml:space="preserve"> </w:t>
            </w:r>
            <m:oMath>
              <m:sSub>
                <m:e>
                  <m:r>
                    <m:t>A</m:t>
                  </m:r>
                </m:e>
                <m:sub>
                  <m:r>
                    <m:t>p</m:t>
                  </m:r>
                </m:sub>
              </m:sSub>
            </m:oMath>
            <w:r>
              <w:t xml:space="preserve">, en mm²/mm;</w:t>
            </w:r>
            <w:r>
              <w:t xml:space="preserve"> </w:t>
            </w:r>
            <m:oMath>
              <m:sSub>
                <m:e>
                  <m:r>
                    <m:t>I</m:t>
                  </m:r>
                </m:e>
                <m:sub>
                  <m:r>
                    <m:t>p</m:t>
                  </m:r>
                </m:sub>
              </m:sSub>
            </m:oMath>
            <w:r>
              <w:t xml:space="preserve">, en mm⁴/mm; y</w:t>
            </w:r>
            <w:r>
              <w:t xml:space="preserve"> </w:t>
            </w:r>
            <m:oMath>
              <m:sSub>
                <m:e>
                  <m:r>
                    <m:t>S</m:t>
                  </m:r>
                </m:e>
                <m:sub>
                  <m:r>
                    <m:t>p</m:t>
                  </m:r>
                </m:sub>
              </m:sSub>
            </m:oMath>
            <w:r>
              <w:t xml:space="preserve">, en mm³/mm, por unidad de ancho proyectado</w:t>
            </w:r>
            <w:r>
              <w:t xml:space="preserve"> </w:t>
            </w:r>
            <w:r>
              <w:t xml:space="preserve">(</w:t>
            </w:r>
            <w:hyperlink w:anchor="ref-CSPIHandbookChapter2">
              <w:r>
                <w:rPr>
                  <w:rStyle w:val="Hyperlink"/>
                </w:rPr>
                <w:t xml:space="preserve">Corrugated Steel Pipe Institute, s. f.-a</w:t>
              </w:r>
            </w:hyperlink>
            <w:r>
              <w:t xml:space="preserve">, tabla 2.4)</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d</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rem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p</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I</m:t>
                        </m:r>
                      </m:e>
                      <m:sub>
                        <m:r>
                          <m:t>p</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S</m:t>
                        </m:r>
                      </m:e>
                      <m:sub>
                        <m:r>
                          <m:t>p</m:t>
                        </m:r>
                      </m:sub>
                    </m:sSub>
                  </m:oMath>
                </w:p>
              </w:tc>
            </w:tr>
            <w:tr>
              <w:trPr>
                <w:trHeight w:val="360" w:hRule="auto"/>
              </w:trPr>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3.5</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3.35</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286</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r>
          </w:tbl>
          <w:bookmarkEnd w:id="56"/>
          <w:p/>
        </w:tc>
      </w:tr>
    </w:tbl>
    <w:p>
      <w:pPr>
        <w:pStyle w:val="BodyText"/>
      </w:pPr>
      <w:r>
        <w:t xml:space="preserve">Por unidad de ancho axial proyectado, el área, el momento de inercia y el módulo</w:t>
      </w:r>
      <w:r>
        <w:t xml:space="preserve"> </w:t>
      </w:r>
      <w:r>
        <w:t xml:space="preserve">resistente son</w:t>
      </w:r>
    </w:p>
    <w:p>
      <w:pPr>
        <w:pStyle w:val="BodyText"/>
      </w:pPr>
      <m:oMathPara>
        <m:oMathParaPr>
          <m:jc m:val="center"/>
        </m:oMathParaPr>
        <m:oMath>
          <m:sSub>
            <m:e>
              <m:r>
                <m:t>A</m:t>
              </m:r>
            </m:e>
            <m:sub>
              <m:r>
                <m:t>θ</m:t>
              </m:r>
            </m:sub>
          </m:sSub>
          <m:r>
            <m:rPr>
              <m:sty m:val="p"/>
            </m:rPr>
            <m:t>=</m:t>
          </m:r>
          <m:r>
            <m:t>3.733</m:t>
          </m:r>
          <m:r>
            <m:t> </m:t>
          </m:r>
          <m:r>
            <m:rPr>
              <m:sty m:val="p"/>
            </m:rPr>
            <m:t>m</m:t>
          </m:r>
          <m:sSup>
            <m:e>
              <m:r>
                <m:rPr>
                  <m:sty m:val="p"/>
                </m:rPr>
                <m:t>m</m:t>
              </m:r>
            </m:e>
            <m:sup>
              <m:r>
                <m:rPr>
                  <m:sty m:val="p"/>
                </m:rPr>
                <m:t>2</m:t>
              </m:r>
            </m:sup>
          </m:sSup>
          <m:r>
            <m:rPr>
              <m:sty m:val="p"/>
            </m:rPr>
            <m:t>/</m:t>
          </m:r>
          <m:r>
            <m:rPr>
              <m:sty m:val="p"/>
            </m:rPr>
            <m:t>m</m:t>
          </m:r>
          <m:r>
            <m:rPr>
              <m:sty m:val="p"/>
            </m:rPr>
            <m:t>m</m:t>
          </m:r>
          <m:r>
            <m:rPr>
              <m:sty m:val="p"/>
            </m:rPr>
            <m:t>,</m:t>
          </m:r>
          <m:r>
            <m:t>  </m:t>
          </m:r>
          <m:sSub>
            <m:e>
              <m:r>
                <m:t>I</m:t>
              </m:r>
            </m:e>
            <m:sub>
              <m:r>
                <m:t>θ</m:t>
              </m:r>
            </m:sub>
          </m:sSub>
          <m:r>
            <m:rPr>
              <m:sty m:val="p"/>
            </m:rPr>
            <m:t>=</m:t>
          </m:r>
          <m:r>
            <m:t>286.36</m:t>
          </m:r>
          <m:r>
            <m:t> </m:t>
          </m:r>
          <m:r>
            <m:rPr>
              <m:sty m:val="p"/>
            </m:rPr>
            <m:t>m</m:t>
          </m:r>
          <m:sSup>
            <m:e>
              <m:r>
                <m:rPr>
                  <m:sty m:val="p"/>
                </m:rPr>
                <m:t>m</m:t>
              </m:r>
            </m:e>
            <m:sup>
              <m:r>
                <m:rPr>
                  <m:sty m:val="p"/>
                </m:rPr>
                <m:t>4</m:t>
              </m:r>
            </m:sup>
          </m:sSup>
          <m:r>
            <m:rPr>
              <m:sty m:val="p"/>
            </m:rPr>
            <m:t>/</m:t>
          </m:r>
          <m:r>
            <m:rPr>
              <m:sty m:val="p"/>
            </m:rPr>
            <m:t>m</m:t>
          </m:r>
          <m:r>
            <m:rPr>
              <m:sty m:val="p"/>
            </m:rPr>
            <m:t>m</m:t>
          </m:r>
          <m:r>
            <m:rPr>
              <m:sty m:val="p"/>
            </m:rPr>
            <m:t>,</m:t>
          </m:r>
        </m:oMath>
      </m:oMathPara>
    </w:p>
    <w:p>
      <w:pPr>
        <w:pStyle w:val="FirstParagraph"/>
      </w:pPr>
      <w:bookmarkStart w:id="57" w:name="eq-calculation-application-properties"/>
      <m:oMathPara>
        <m:oMathParaPr>
          <m:jc m:val="center"/>
        </m:oMathParaPr>
        <m:oMath>
          <m:sSub>
            <m:e>
              <m:r>
                <m:t>S</m:t>
              </m:r>
            </m:e>
            <m:sub>
              <m:r>
                <m:t>θ</m:t>
              </m:r>
            </m:sub>
          </m:sSub>
          <m:r>
            <m:rPr>
              <m:sty m:val="p"/>
            </m:rPr>
            <m:t>=</m:t>
          </m:r>
          <m:r>
            <m:t>19.92</m:t>
          </m:r>
          <m:r>
            <m:t> </m:t>
          </m:r>
          <m:r>
            <m:rPr>
              <m:sty m:val="p"/>
            </m:rPr>
            <m:t>m</m:t>
          </m:r>
          <m:sSup>
            <m:e>
              <m:r>
                <m:rPr>
                  <m:sty m:val="p"/>
                </m:rPr>
                <m:t>m</m:t>
              </m:r>
            </m:e>
            <m:sup>
              <m:r>
                <m:rPr>
                  <m:sty m:val="p"/>
                </m:rPr>
                <m:t>3</m:t>
              </m:r>
            </m:sup>
          </m:sSup>
          <m:r>
            <m:rPr>
              <m:sty m:val="p"/>
            </m:rPr>
            <m:t>/</m:t>
          </m:r>
          <m:r>
            <m:rPr>
              <m:sty m:val="p"/>
            </m:rPr>
            <m:t>m</m:t>
          </m:r>
          <m:r>
            <m:rPr>
              <m:sty m:val="p"/>
            </m:rPr>
            <m:t>m</m:t>
          </m:r>
          <m:r>
            <m:rPr>
              <m:sty m:val="p"/>
            </m:rPr>
            <m:t>.</m:t>
          </m:r>
          <m:r>
            <m:t>  </m:t>
          </m:r>
          <m:r>
            <m:rPr>
              <m:sty m:val="p"/>
            </m:rPr>
            <m:t>(</m:t>
          </m:r>
          <m:r>
            <m:t>4.1</m:t>
          </m:r>
          <m:r>
            <m:rPr>
              <m:sty m:val="p"/>
            </m:rPr>
            <m:t>)</m:t>
          </m:r>
        </m:oMath>
      </m:oMathPara>
      <w:bookmarkEnd w:id="57"/>
    </w:p>
    <w:p>
      <w:pPr>
        <w:pStyle w:val="FirstParagraph"/>
      </w:pPr>
      <w:r>
        <w:t xml:space="preserve">Con</w:t>
      </w:r>
      <w:r>
        <w:t xml:space="preserve"> </w:t>
      </w:r>
      <m:oMath>
        <m:sSub>
          <m:e>
            <m:r>
              <m:t>E</m:t>
            </m:r>
          </m:e>
          <m:sub>
            <m:r>
              <m:t>θ</m:t>
            </m:r>
          </m:sub>
        </m:sSub>
        <m:r>
          <m:rPr>
            <m:sty m:val="p"/>
          </m:rPr>
          <m:t>=</m:t>
        </m:r>
        <m:r>
          <m:t>200</m:t>
        </m:r>
        <m:r>
          <m:t> </m:t>
        </m:r>
        <m:r>
          <m:rPr>
            <m:sty m:val="p"/>
          </m:rPr>
          <m:t>G</m:t>
        </m:r>
        <m:r>
          <m:rPr>
            <m:sty m:val="p"/>
          </m:rPr>
          <m:t>P</m:t>
        </m:r>
        <m:r>
          <m:rPr>
            <m:sty m:val="p"/>
          </m:rPr>
          <m:t>a</m:t>
        </m:r>
      </m:oMath>
      <w:r>
        <w:t xml:space="preserve"> </w:t>
      </w:r>
      <w:r>
        <w:t xml:space="preserve">y el radio baricéntrico adoptado, las rigideces resultan</w:t>
      </w:r>
    </w:p>
    <w:p>
      <w:pPr>
        <w:pStyle w:val="BodyText"/>
      </w:pPr>
      <w:bookmarkStart w:id="58" w:name="eq-calculation-application-rigidities"/>
      <m:oMathPara>
        <m:oMathParaPr>
          <m:jc m:val="center"/>
        </m:oMathParaPr>
        <m:oMath>
          <m:r>
            <m:t>E</m:t>
          </m:r>
          <m:sSub>
            <m:e>
              <m:r>
                <m:t>A</m:t>
              </m:r>
            </m:e>
            <m:sub>
              <m:r>
                <m:t>θ</m:t>
              </m:r>
            </m:sub>
          </m:sSub>
          <m:r>
            <m:rPr>
              <m:sty m:val="p"/>
            </m:rPr>
            <m:t>=</m:t>
          </m:r>
          <m:r>
            <m:t>746686.6</m:t>
          </m:r>
          <m:r>
            <m:t> </m:t>
          </m:r>
          <m:r>
            <m:rPr>
              <m:sty m:val="p"/>
            </m:rPr>
            <m:t>k</m:t>
          </m:r>
          <m:r>
            <m:rPr>
              <m:sty m:val="p"/>
            </m:rPr>
            <m:t>N</m:t>
          </m:r>
          <m:r>
            <m:rPr>
              <m:sty m:val="p"/>
            </m:rPr>
            <m:t>/</m:t>
          </m:r>
          <m:r>
            <m:rPr>
              <m:sty m:val="p"/>
            </m:rPr>
            <m:t>m</m:t>
          </m:r>
          <m:r>
            <m:rPr>
              <m:sty m:val="p"/>
            </m:rPr>
            <m:t>,</m:t>
          </m:r>
          <m:r>
            <m:t>  </m:t>
          </m:r>
          <m:r>
            <m:t>E</m:t>
          </m:r>
          <m:sSub>
            <m:e>
              <m:r>
                <m:t>I</m:t>
              </m:r>
            </m:e>
            <m:sub>
              <m:r>
                <m:t>θ</m:t>
              </m:r>
            </m:sub>
          </m:sSub>
          <m:r>
            <m:rPr>
              <m:sty m:val="p"/>
            </m:rPr>
            <m:t>=</m:t>
          </m:r>
          <m:r>
            <m:t>57.3</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r>
            <m:t>  </m:t>
          </m:r>
          <m:r>
            <m:rPr>
              <m:sty m:val="p"/>
            </m:rPr>
            <m:t>(</m:t>
          </m:r>
          <m:r>
            <m:t>4.2</m:t>
          </m:r>
          <m:r>
            <m:rPr>
              <m:sty m:val="p"/>
            </m:rPr>
            <m:t>)</m:t>
          </m:r>
        </m:oMath>
      </m:oMathPara>
      <w:bookmarkEnd w:id="58"/>
    </w:p>
    <w:p>
      <w:pPr>
        <w:pStyle w:val="FirstParagraph"/>
      </w:pPr>
      <w:r>
        <w:t xml:space="preserve">La</w:t>
      </w:r>
      <w:r>
        <w:t xml:space="preserve"> </w:t>
      </w:r>
      <w:hyperlink w:anchor="tbl-liner-existing-interaction">
        <w:r>
          <w:rPr>
            <w:rStyle w:val="Hyperlink"/>
          </w:rPr>
          <w:t xml:space="preserve">tabla 4.2</w:t>
        </w:r>
      </w:hyperlink>
      <w:r>
        <w:t xml:space="preserve"> </w:t>
      </w:r>
      <w:r>
        <w:t xml:space="preserve">reúne las razones de rigidez y las</w:t>
      </w:r>
      <w:r>
        <w:t xml:space="preserve"> </w:t>
      </w:r>
      <w:r>
        <w:t xml:space="preserve">amplitudes de Schwartz–Einstein obtenidas con la sección corrugada. La</w:t>
      </w:r>
      <w:r>
        <w:t xml:space="preserve"> </w:t>
      </w:r>
      <w:hyperlink w:anchor="tbl-liner-existing-extrema">
        <w:r>
          <w:rPr>
            <w:rStyle w:val="Hyperlink"/>
          </w:rPr>
          <w:t xml:space="preserve">tabla 4.3</w:t>
        </w:r>
      </w:hyperlink>
      <w:r>
        <w:t xml:space="preserve"> </w:t>
      </w:r>
      <w:r>
        <w:t xml:space="preserve">informa los mínimos, máximos y máximos absolutos,</w:t>
      </w:r>
      <w:r>
        <w:t xml:space="preserve"> </w:t>
      </w:r>
      <w:r>
        <w:t xml:space="preserve">con su signo y posición angular.</w:t>
      </w:r>
    </w:p>
    <w:tbl>
      <w:tblPr>
        <w:tblStyle w:val="Table"/>
        <w:tblLayout w:type="autofit"/>
        <w:tblLook w:firstRow="0" w:lastRow="0" w:firstColumn="0" w:lastColumn="0" w:noHBand="0" w:noVBand="0" w:val="0000"/>
      </w:tblPr>
      <w:tblGrid>
        <w:gridCol w:w="7920"/>
      </w:tblGrid>
      <w:tr>
        <w:tc>
          <w:tcPr/>
          <w:bookmarkStart w:id="59" w:name="tbl-liner-existing-interaction"/>
          <w:p>
            <w:pPr>
              <w:jc w:val="left"/>
              <w:pStyle w:val="ImageCaption"/>
            </w:pPr>
            <w:r>
              <w:t xml:space="preserve">Tabla 4.2: Razones de rigidez, coeficientes y amplitudes de la solución de carga externa de Schwartz–Einstein para el liner de chapa.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 Cada interfaz utiliza la misma sección y el mismo estado de campo libre;</w:t>
            </w:r>
            <w:r>
              <w:t xml:space="preserve"> </w:t>
            </w:r>
            <m:oMath>
              <m:sSub>
                <m:e>
                  <m:r>
                    <m:t>N</m:t>
                  </m:r>
                </m:e>
                <m:sub>
                  <m:r>
                    <m:t>0</m:t>
                  </m:r>
                </m:sub>
              </m:sSub>
            </m:oMath>
            <w:r>
              <w:t xml:space="preserve">,</w:t>
            </w:r>
            <w:r>
              <w:t xml:space="preserve"> </w:t>
            </w:r>
            <m:oMath>
              <m:sSub>
                <m:e>
                  <m:r>
                    <m:t>N</m:t>
                  </m:r>
                </m:e>
                <m:sub>
                  <m:r>
                    <m:t>2</m:t>
                  </m:r>
                </m:sub>
              </m:sSub>
            </m:oMath>
            <w:r>
              <w:t xml:space="preserve">,</w:t>
            </w:r>
            <w:r>
              <w:t xml:space="preserve"> </w:t>
            </w:r>
            <m:oMath>
              <m:sSub>
                <m:e>
                  <m:r>
                    <m:t>M</m:t>
                  </m:r>
                </m:e>
                <m:sub>
                  <m:r>
                    <m:t>2</m:t>
                  </m:r>
                </m:sub>
              </m:sSub>
            </m:oMath>
            <w:r>
              <w:t xml:space="preserve"> </w:t>
            </w:r>
            <w:r>
              <w:t xml:space="preserve">y</w:t>
            </w:r>
            <w:r>
              <w:t xml:space="preserve"> </w:t>
            </w:r>
            <m:oMath>
              <m:sSub>
                <m:e>
                  <m:r>
                    <m:t>Q</m:t>
                  </m:r>
                </m:e>
                <m:sub>
                  <m:r>
                    <m:t>2</m:t>
                  </m:r>
                </m:sub>
              </m:sSub>
            </m:oMath>
            <w:r>
              <w:t xml:space="preserve"> </w:t>
            </w:r>
            <w:r>
              <w:t xml:space="preserve">definen la distribución angular de diseño.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C</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F</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0</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Q</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0.0513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1156.2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1.0511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1156.2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r>
          </w:tbl>
          <w:bookmarkEnd w:id="59"/>
          <w:p/>
        </w:tc>
      </w:tr>
    </w:tbl>
    <w:tbl>
      <w:tblPr>
        <w:tblStyle w:val="Table"/>
        <w:tblLayout w:type="autofit"/>
        <w:tblLook w:firstRow="0" w:lastRow="0" w:firstColumn="0" w:lastColumn="0" w:noHBand="0" w:noVBand="0" w:val="0000"/>
      </w:tblPr>
      <w:tblGrid>
        <w:gridCol w:w="7920"/>
      </w:tblGrid>
      <w:tr>
        <w:tc>
          <w:tcPr/>
          <w:bookmarkStart w:id="60" w:name="tbl-liner-existing-extrema"/>
          <w:p>
            <w:pPr>
              <w:jc w:val="left"/>
              <w:pStyle w:val="ImageCaption"/>
            </w:pPr>
            <w:r>
              <w:t xml:space="preserve">Tabla 4.3: Extremos de las resultantes del modelo híbrido para el liner de chapa.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r>
                <m:t>X</m:t>
              </m:r>
            </m:oMath>
            <w:r>
              <w:t xml:space="preserve"> </w:t>
            </w:r>
            <w:r>
              <w:t xml:space="preserve">identifica</w:t>
            </w:r>
            <w:r>
              <w:t xml:space="preserve"> </w:t>
            </w:r>
            <m:oMath>
              <m:sSub>
                <m:e>
                  <m:r>
                    <m:t>N</m:t>
                  </m:r>
                </m:e>
                <m:sub>
                  <m:r>
                    <m:t>θ</m:t>
                  </m:r>
                </m:sub>
              </m:sSub>
            </m:oMath>
            <w:r>
              <w:t xml:space="preserve">,</w:t>
            </w:r>
            <w:r>
              <w:t xml:space="preserve"> </w:t>
            </w:r>
            <m:oMath>
              <m:sSub>
                <m:e>
                  <m:r>
                    <m:t>M</m:t>
                  </m:r>
                </m:e>
                <m:sub>
                  <m:r>
                    <m:t>θ</m:t>
                  </m:r>
                </m:sub>
              </m:sSub>
            </m:oMath>
            <w:r>
              <w:t xml:space="preserve"> </w:t>
            </w:r>
            <w:r>
              <w:t xml:space="preserve">o</w:t>
            </w:r>
            <w:r>
              <w:t xml:space="preserve"> </w:t>
            </w:r>
            <m:oMath>
              <m:sSub>
                <m:e>
                  <m:r>
                    <m:t>Q</m:t>
                  </m:r>
                </m:e>
                <m:sub>
                  <m:r>
                    <m:t>θ</m:t>
                  </m:r>
                </m:sub>
              </m:sSub>
            </m:oMath>
            <w:r>
              <w:t xml:space="preserve">;</w:t>
            </w:r>
            <w:r>
              <w:t xml:space="preserve"> </w:t>
            </w:r>
            <m:oMath>
              <m:sSub>
                <m:e>
                  <m:r>
                    <m:t>θ</m:t>
                  </m:r>
                </m:e>
                <m:sub>
                  <m:r>
                    <m:rPr>
                      <m:sty m:val="p"/>
                    </m:rPr>
                    <m:t>*</m:t>
                  </m:r>
                </m:sub>
              </m:sSub>
            </m:oMath>
            <w:r>
              <w:t xml:space="preserve"> </w:t>
            </w:r>
            <w:r>
              <w:t xml:space="preserve">es la posición del máximo absoluto. Los ángulos se miden desde la clave en sentido horario;</w:t>
            </w:r>
            <w:r>
              <w:t xml:space="preserve"> </w:t>
            </w:r>
            <m:oMath>
              <m:sSub>
                <m:e>
                  <m:r>
                    <m:t>u</m:t>
                  </m:r>
                </m:e>
                <m:sub>
                  <m:r>
                    <m:t>X</m:t>
                  </m:r>
                </m:sub>
              </m:sSub>
            </m:oMath>
            <w:r>
              <w:t xml:space="preserve"> </w:t>
            </w:r>
            <w:r>
              <w:t xml:space="preserve">indica kN/m para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y kN·m/m para</w:t>
            </w:r>
            <w:r>
              <w:t xml:space="preserve"> </w:t>
            </w:r>
            <m:oMath>
              <m:sSub>
                <m:e>
                  <m:r>
                    <m:t>M</m:t>
                  </m:r>
                </m:e>
                <m:sub>
                  <m:r>
                    <m:t>θ</m:t>
                  </m:r>
                </m:sub>
              </m:sSub>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sSub>
                      <m:e>
                        <m: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bl>
          <w:bookmarkEnd w:id="60"/>
          <w:p/>
        </w:tc>
      </w:tr>
    </w:tbl>
    <w:p>
      <w:pPr>
        <w:pStyle w:val="BodyText"/>
      </w:pPr>
      <w:r>
        <w:t xml:space="preserve">Para Slip (S), los máximos absolutos</w:t>
      </w:r>
      <w:r>
        <w:t xml:space="preserve"> </w:t>
      </w:r>
      <w:r>
        <w:t xml:space="preserve">son</w:t>
      </w:r>
      <w:r>
        <w:t xml:space="preserve"> </w:t>
      </w:r>
      <w:r>
        <w:t xml:space="preserve">306.0 kN/m de fuerza</w:t>
      </w:r>
      <w:r>
        <w:t xml:space="preserve"> </w:t>
      </w:r>
      <w:r>
        <w:t xml:space="preserve">circunferencial,</w:t>
      </w:r>
      <w:r>
        <w:t xml:space="preserve"> </w:t>
      </w:r>
      <w:r>
        <w:t xml:space="preserve">2.0 kN·m/m de</w:t>
      </w:r>
      <w:r>
        <w:t xml:space="preserve"> </w:t>
      </w:r>
      <w:r>
        <w:t xml:space="preserve">momento flector y</w:t>
      </w:r>
      <w:r>
        <w:t xml:space="preserve"> </w:t>
      </w:r>
      <w:r>
        <w:t xml:space="preserve">3.7 kN/m de corte.</w:t>
      </w:r>
      <w:r>
        <w:t xml:space="preserve"> </w:t>
      </w:r>
      <w:r>
        <w:t xml:space="preserve">Para No Slip (NS), los máximos son</w:t>
      </w:r>
      <w:r>
        <w:t xml:space="preserve"> </w:t>
      </w:r>
      <w:r>
        <w:t xml:space="preserve">392.3 kN/m,</w:t>
      </w:r>
      <w:r>
        <w:t xml:space="preserve"> </w:t>
      </w:r>
      <w:r>
        <w:t xml:space="preserve">1.8 kN·m/m y</w:t>
      </w:r>
      <w:r>
        <w:t xml:space="preserve"> </w:t>
      </w:r>
      <w:r>
        <w:t xml:space="preserve">3.4 kN/m,</w:t>
      </w:r>
      <w:r>
        <w:t xml:space="preserve"> </w:t>
      </w:r>
      <w:r>
        <w:t xml:space="preserve">respectivamente. Estos valores suman la componente uniforme de</w:t>
      </w:r>
      <w:r>
        <w:t xml:space="preserve"> </w:t>
      </w:r>
      <w:r>
        <w:t xml:space="preserve">Schwartz–Einstein y la corrección equilibrada del gradiente geostático; la</w:t>
      </w:r>
      <w:r>
        <w:t xml:space="preserve"> </w:t>
      </w:r>
      <w:r>
        <w:t xml:space="preserve">componente uniforme se calcula con las rigideces propias de la chapa.</w:t>
      </w:r>
    </w:p>
    <w:p>
      <w:pPr>
        <w:pStyle w:val="BodyText"/>
      </w:pPr>
      <w:r>
        <w:t xml:space="preserve">Las distribuciones completas de fuerza circunferencial, momento y corte se</w:t>
      </w:r>
      <w:r>
        <w:t xml:space="preserve"> </w:t>
      </w:r>
      <w:r>
        <w:t xml:space="preserve">presentan a continuación en una figura de tres paneles. Cada panel ajusta la</w:t>
      </w:r>
      <w:r>
        <w:t xml:space="preserve"> </w:t>
      </w:r>
      <w:r>
        <w:t xml:space="preserve">escala radial a su resultante para que también sean visibles las magnitudes</w:t>
      </w:r>
      <w:r>
        <w:t xml:space="preserve"> </w:t>
      </w:r>
      <w:r>
        <w:t xml:space="preserve">menores de la chapa.</w:t>
      </w:r>
    </w:p>
    <w:tbl>
      <w:tblPr>
        <w:tblStyle w:val="Table"/>
        <w:tblLayout w:type="autofit"/>
        <w:tblLook w:firstRow="0" w:lastRow="0" w:firstColumn="0" w:lastColumn="0" w:noHBand="0" w:noVBand="0" w:val="0000"/>
      </w:tblPr>
      <w:tblGrid>
        <w:gridCol w:w="7920"/>
      </w:tblGrid>
      <w:tr>
        <w:tc>
          <w:tcPr/>
          <w:bookmarkStart w:id="64" w:name="fig-resultants-liner"/>
          <w:p>
            <w:pPr>
              <w:pStyle w:val="Compact"/>
              <w:jc w:val="center"/>
            </w:pPr>
            <w:r>
              <w:drawing>
                <wp:inline>
                  <wp:extent cx="5791200" cy="3269225"/>
                  <wp:effectExtent b="0" l="0" r="0" t="0"/>
                  <wp:docPr descr="" title="" id="62" name="Picture"/>
                  <a:graphic>
                    <a:graphicData uri="http://schemas.openxmlformats.org/drawingml/2006/picture">
                      <pic:pic>
                        <pic:nvPicPr>
                          <pic:cNvPr descr="_index/liner.ES_files/figure-docx/fig-resultants-liner-1.png" id="63" name="Picture"/>
                          <pic:cNvPicPr>
                            <a:picLocks noChangeArrowheads="1" noChangeAspect="1"/>
                          </pic:cNvPicPr>
                        </pic:nvPicPr>
                        <pic:blipFill>
                          <a:blip r:embed="rId61"/>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4.2: Distribuciones polares de fuerza normal</w:t>
            </w:r>
            <w:r>
              <w:t xml:space="preserve"> </w:t>
            </w:r>
            <m:oMath>
              <m:sSub>
                <m:e>
                  <m:r>
                    <m:t>N</m:t>
                  </m:r>
                </m:e>
                <m:sub>
                  <m:r>
                    <m:t>θ</m:t>
                  </m:r>
                </m:sub>
              </m:sSub>
            </m:oMath>
            <w:r>
              <w:t xml:space="preserve">, momento flector</w:t>
            </w:r>
            <w:r>
              <w:t xml:space="preserve"> </w:t>
            </w:r>
            <m:oMath>
              <m:sSub>
                <m:e>
                  <m:r>
                    <m:t>M</m:t>
                  </m:r>
                </m:e>
                <m:sub>
                  <m:r>
                    <m:t>θ</m:t>
                  </m:r>
                </m:sub>
              </m:sSub>
            </m:oMath>
            <w:r>
              <w:t xml:space="preserve"> </w:t>
            </w:r>
            <w:r>
              <w:t xml:space="preserve">y fuerza de corte</w:t>
            </w:r>
            <w:r>
              <w:t xml:space="preserve"> </w:t>
            </w:r>
            <m:oMath>
              <m:sSub>
                <m:e>
                  <m:r>
                    <m:t>Q</m:t>
                  </m:r>
                </m:e>
                <m:sub>
                  <m:r>
                    <m:t>θ</m:t>
                  </m:r>
                </m:sub>
              </m:sSub>
            </m:oMath>
            <w:r>
              <w:t xml:space="preserve"> </w:t>
            </w:r>
            <w:r>
              <w:t xml:space="preserve">del liner de chapa para los límites de deslizamiento libre y sin deslizamiento. Las curvas suman la interacción uniforme Schwartz–Einstein y el gradiente geostático equilibrado. La circunferencia gris es el origen de las ordenadas; cada panel utiliza una escala radial propia de esta sección y de su resultante, y la lectura interactiva informa los valores físicos en kN/m y kN·m/m.</w:t>
            </w:r>
          </w:p>
          <w:bookmarkEnd w:id="64"/>
        </w:tc>
      </w:tr>
    </w:tbl>
    <w:p>
      <w:pPr>
        <w:pStyle w:val="BodyText"/>
      </w:pPr>
      <w:r>
        <w:t xml:space="preserve">La comprobación del conducto corrugado presenta la demanda escalar de</w:t>
      </w:r>
      <w:r>
        <w:t xml:space="preserve"> </w:t>
      </w:r>
      <w:r>
        <w:t xml:space="preserve">AASHTO/USACE junto con las resultantes angulares anteriores. La presión</w:t>
      </w:r>
      <w:r>
        <w:t xml:space="preserve"> </w:t>
      </w:r>
      <w:r>
        <w:t xml:space="preserve">permanente en la clave incluye el peso del relleno inferior y la presión</w:t>
      </w:r>
      <w:r>
        <w:t xml:space="preserve"> </w:t>
      </w:r>
      <w:r>
        <w:t xml:space="preserve">uniforme de la capa superior:</w:t>
      </w:r>
    </w:p>
    <w:p>
      <w:pPr>
        <w:pStyle w:val="BodyText"/>
      </w:pPr>
      <w:bookmarkStart w:id="65" w:name="eq-calculation-prism-pressure"/>
      <m:oMathPara>
        <m:oMathParaPr>
          <m:jc m:val="center"/>
        </m:oMathParaPr>
        <m:oMath>
          <m:sSub>
            <m:e>
              <m:r>
                <m:t>P</m:t>
              </m:r>
            </m:e>
            <m:sub>
              <m:r>
                <m:t>D</m:t>
              </m:r>
            </m:sub>
          </m:sSub>
          <m:r>
            <m:rPr>
              <m:sty m:val="p"/>
            </m:rPr>
            <m:t>=</m:t>
          </m:r>
          <m:sSub>
            <m:e>
              <m:r>
                <m:t>γ</m:t>
              </m:r>
            </m:e>
            <m:sub>
              <m:r>
                <m:t>0</m:t>
              </m:r>
            </m:sub>
          </m:sSub>
          <m:sSub>
            <m:e>
              <m:r>
                <m:t>H</m:t>
              </m:r>
            </m:e>
            <m:sub>
              <m:r>
                <m:t>0</m:t>
              </m:r>
            </m:sub>
          </m:sSub>
          <m:r>
            <m:rPr>
              <m:sty m:val="p"/>
            </m:rPr>
            <m:t>+</m:t>
          </m:r>
          <m:sSub>
            <m:e>
              <m:r>
                <m:t>q</m:t>
              </m:r>
            </m:e>
            <m:sub>
              <m:r>
                <m:t>D</m:t>
              </m:r>
            </m:sub>
          </m:sSub>
          <m:r>
            <m:rPr>
              <m:sty m:val="p"/>
            </m:rPr>
            <m:t>.</m:t>
          </m:r>
          <m:r>
            <m:t>  </m:t>
          </m:r>
          <m:r>
            <m:rPr>
              <m:sty m:val="p"/>
            </m:rPr>
            <m:t>(</m:t>
          </m:r>
          <m:r>
            <m:t>4.3</m:t>
          </m:r>
          <m:r>
            <m:rPr>
              <m:sty m:val="p"/>
            </m:rPr>
            <m:t>)</m:t>
          </m:r>
        </m:oMath>
      </m:oMathPara>
      <w:bookmarkEnd w:id="65"/>
    </w:p>
    <w:p>
      <w:pPr>
        <w:pStyle w:val="FirstParagraph"/>
      </w:pPr>
      <w:r>
        <w:t xml:space="preserve">El empuje circunferencial de servicio y la demanda de diseño se calculan como</w:t>
      </w:r>
    </w:p>
    <w:p>
      <w:pPr>
        <w:pStyle w:val="BodyText"/>
      </w:pPr>
      <m:oMathPara>
        <m:oMathParaPr>
          <m:jc m:val="center"/>
        </m:oMathParaPr>
        <m:oMath>
          <m:sSub>
            <m:e>
              <m:r>
                <m:t>T</m:t>
              </m:r>
            </m:e>
            <m:sub>
              <m:r>
                <m:t>D</m:t>
              </m:r>
            </m:sub>
          </m:sSub>
          <m:r>
            <m:rPr>
              <m:sty m:val="p"/>
            </m:rPr>
            <m:t>=</m:t>
          </m:r>
          <m:f>
            <m:fPr>
              <m:type m:val="bar"/>
            </m:fPr>
            <m:num>
              <m:sSub>
                <m:e>
                  <m:r>
                    <m:t>P</m:t>
                  </m:r>
                </m:e>
                <m:sub>
                  <m:r>
                    <m:t>D</m:t>
                  </m:r>
                </m:sub>
              </m:sSub>
              <m:r>
                <m:t>S</m:t>
              </m:r>
            </m:num>
            <m:den>
              <m:r>
                <m:t>2</m:t>
              </m:r>
            </m:den>
          </m:f>
          <m:r>
            <m:rPr>
              <m:sty m:val="p"/>
            </m:rPr>
            <m:t>,</m:t>
          </m:r>
          <m:r>
            <m:t>  </m:t>
          </m:r>
          <m:sSub>
            <m:e>
              <m:r>
                <m:t>T</m:t>
              </m:r>
            </m:e>
            <m:sub>
              <m:r>
                <m:t>L</m:t>
              </m:r>
            </m:sub>
          </m:sSub>
          <m:r>
            <m:rPr>
              <m:sty m:val="p"/>
            </m:rPr>
            <m:t>=</m:t>
          </m:r>
          <m:f>
            <m:fPr>
              <m:type m:val="bar"/>
            </m:fPr>
            <m:num>
              <m:sSub>
                <m:e>
                  <m:r>
                    <m:t>P</m:t>
                  </m:r>
                </m:e>
                <m:sub>
                  <m:r>
                    <m:t>L</m:t>
                  </m:r>
                </m:sub>
              </m:sSub>
              <m:sSub>
                <m:e>
                  <m:r>
                    <m:t>C</m:t>
                  </m:r>
                </m:e>
                <m:sub>
                  <m:r>
                    <m:t>L</m:t>
                  </m:r>
                </m:sub>
              </m:sSub>
              <m:sSub>
                <m:e>
                  <m:r>
                    <m:t>F</m:t>
                  </m:r>
                </m:e>
                <m:sub>
                  <m:r>
                    <m:t>L</m:t>
                  </m:r>
                </m:sub>
              </m:sSub>
            </m:num>
            <m:den>
              <m:r>
                <m:t>2</m:t>
              </m:r>
            </m:den>
          </m:f>
          <m:r>
            <m:rPr>
              <m:sty m:val="p"/>
            </m:rPr>
            <m:t>,</m:t>
          </m:r>
        </m:oMath>
      </m:oMathPara>
    </w:p>
    <w:p>
      <w:pPr>
        <w:pStyle w:val="FirstParagraph"/>
      </w:pPr>
      <w:bookmarkStart w:id="66" w:name="eq-calculation-aashto-design-thrust"/>
      <m:oMathPara>
        <m:oMathParaPr>
          <m:jc m:val="center"/>
        </m:oMathParaPr>
        <m:oMath>
          <m:sSub>
            <m:e>
              <m:r>
                <m:t>T</m:t>
              </m:r>
            </m:e>
            <m:sub>
              <m:r>
                <m:t>f</m:t>
              </m:r>
            </m:sub>
          </m:sSub>
          <m:r>
            <m:rPr>
              <m:sty m:val="p"/>
            </m:rPr>
            <m:t>=</m:t>
          </m:r>
          <m:sSub>
            <m:e>
              <m:r>
                <m:t>γ</m:t>
              </m:r>
            </m:e>
            <m:sub>
              <m:r>
                <m:t>D</m:t>
              </m:r>
            </m:sub>
          </m:sSub>
          <m:sSub>
            <m:e>
              <m:r>
                <m:t>T</m:t>
              </m:r>
            </m:e>
            <m:sub>
              <m:r>
                <m:t>D</m:t>
              </m:r>
            </m:sub>
          </m:sSub>
          <m:r>
            <m:rPr>
              <m:sty m:val="p"/>
            </m:rPr>
            <m:t>+</m:t>
          </m:r>
          <m:sSub>
            <m:e>
              <m:r>
                <m:t>γ</m:t>
              </m:r>
            </m:e>
            <m:sub>
              <m:r>
                <m:t>L</m:t>
              </m:r>
            </m:sub>
          </m:sSub>
          <m:sSub>
            <m:e>
              <m:r>
                <m:t>T</m:t>
              </m:r>
            </m:e>
            <m:sub>
              <m:r>
                <m:t>L</m:t>
              </m:r>
            </m:sub>
          </m:sSub>
          <m:r>
            <m:rPr>
              <m:sty m:val="p"/>
            </m:rPr>
            <m:t>,</m:t>
          </m:r>
          <m:r>
            <m:t>  </m:t>
          </m:r>
          <m:sSub>
            <m:e>
              <m:r>
                <m:t>T</m:t>
              </m:r>
            </m:e>
            <m:sub>
              <m:r>
                <m:t>u</m:t>
              </m:r>
            </m:sub>
          </m:sSub>
          <m:r>
            <m:rPr>
              <m:sty m:val="p"/>
            </m:rPr>
            <m:t>=</m:t>
          </m:r>
          <m:sSub>
            <m:e>
              <m:r>
                <m:t>η</m:t>
              </m:r>
            </m:e>
            <m:sub>
              <m:r>
                <m:t>c</m:t>
              </m:r>
              <m:r>
                <m:t>m</m:t>
              </m:r>
              <m:r>
                <m:t>p</m:t>
              </m:r>
            </m:sub>
          </m:sSub>
          <m:sSub>
            <m:e>
              <m:r>
                <m:t>T</m:t>
              </m:r>
            </m:e>
            <m:sub>
              <m:r>
                <m:t>f</m:t>
              </m:r>
            </m:sub>
          </m:sSub>
          <m:r>
            <m:rPr>
              <m:sty m:val="p"/>
            </m:rPr>
            <m:t>,</m:t>
          </m:r>
          <m:r>
            <m:t>  </m:t>
          </m:r>
          <m:r>
            <m:rPr>
              <m:sty m:val="p"/>
            </m:rPr>
            <m:t>(</m:t>
          </m:r>
          <m:r>
            <m:t>4.4</m:t>
          </m:r>
          <m:r>
            <m:rPr>
              <m:sty m:val="p"/>
            </m:rPr>
            <m:t>)</m:t>
          </m:r>
        </m:oMath>
      </m:oMathPara>
      <w:bookmarkEnd w:id="66"/>
    </w:p>
    <w:p>
      <w:pPr>
        <w:pStyle w:val="FirstParagraph"/>
      </w:pPr>
      <w:r>
        <w:t xml:space="preserve">donde</w:t>
      </w:r>
      <w:r>
        <w:t xml:space="preserve"> </w:t>
      </w:r>
      <m:oMath>
        <m:r>
          <m:t>S</m:t>
        </m:r>
      </m:oMath>
      <w:r>
        <w:t xml:space="preserve"> </w:t>
      </w:r>
      <w:r>
        <w:t xml:space="preserve">es la luz;</w:t>
      </w:r>
      <w:r>
        <w:t xml:space="preserve"> </w:t>
      </w:r>
      <m:oMath>
        <m:sSub>
          <m:e>
            <m:r>
              <m:t>P</m:t>
            </m:r>
          </m:e>
          <m:sub>
            <m:r>
              <m:t>L</m:t>
            </m:r>
          </m:sub>
        </m:sSub>
      </m:oMath>
      <w:r>
        <w:t xml:space="preserve">,</w:t>
      </w:r>
      <w:r>
        <w:t xml:space="preserve"> </w:t>
      </w:r>
      <m:oMath>
        <m:sSub>
          <m:e>
            <m:r>
              <m:t>C</m:t>
            </m:r>
          </m:e>
          <m:sub>
            <m:r>
              <m:t>L</m:t>
            </m:r>
          </m:sub>
        </m:sSub>
      </m:oMath>
      <w:r>
        <w:t xml:space="preserve"> </w:t>
      </w:r>
      <w:r>
        <w:t xml:space="preserve">y</w:t>
      </w:r>
      <w:r>
        <w:t xml:space="preserve"> </w:t>
      </w:r>
      <m:oMath>
        <m:sSub>
          <m:e>
            <m:r>
              <m:t>F</m:t>
            </m:r>
          </m:e>
          <m:sub>
            <m:r>
              <m:t>L</m:t>
            </m:r>
          </m:sub>
        </m:sSub>
      </m:oMath>
      <w:r>
        <w:t xml:space="preserve"> </w:t>
      </w:r>
      <w:r>
        <w:t xml:space="preserve">describen la carga móvil; y</w:t>
      </w:r>
      <w:r>
        <w:t xml:space="preserve"> </w:t>
      </w:r>
      <m:oMath>
        <m:sSub>
          <m:e>
            <m:r>
              <m:t>γ</m:t>
            </m:r>
          </m:e>
          <m:sub>
            <m:r>
              <m:t>D</m:t>
            </m:r>
          </m:sub>
        </m:sSub>
      </m:oMath>
      <w:r>
        <w:t xml:space="preserve">,</w:t>
      </w:r>
      <w:r>
        <w:t xml:space="preserve"> </w:t>
      </w:r>
      <m:oMath>
        <m:sSub>
          <m:e>
            <m:r>
              <m:t>γ</m:t>
            </m:r>
          </m:e>
          <m:sub>
            <m:r>
              <m:t>L</m:t>
            </m:r>
          </m:sub>
        </m:sSub>
      </m:oMath>
      <w:r>
        <w:t xml:space="preserve"> </w:t>
      </w:r>
      <w:r>
        <w:t xml:space="preserve">y</w:t>
      </w:r>
      <w:r>
        <w:t xml:space="preserve"> </w:t>
      </w:r>
      <m:oMath>
        <m:sSub>
          <m:e>
            <m:r>
              <m:t>η</m:t>
            </m:r>
          </m:e>
          <m:sub>
            <m:r>
              <m:t>c</m:t>
            </m:r>
            <m:r>
              <m:t>m</m:t>
            </m:r>
            <m:r>
              <m:t>p</m:t>
            </m:r>
          </m:sub>
        </m:sSub>
      </m:oMath>
      <w:r>
        <w:t xml:space="preserve"> </w:t>
      </w:r>
      <w:r>
        <w:t xml:space="preserve">son los factores de la base adoptada</w:t>
      </w:r>
      <w:r>
        <w:t xml:space="preserve"> </w:t>
      </w:r>
      <w:r>
        <w:t xml:space="preserve">(</w:t>
      </w:r>
      <w:hyperlink w:anchor="ref-USACE2020">
        <w:r>
          <w:rPr>
            <w:rStyle w:val="Hyperlink"/>
          </w:rPr>
          <w:t xml:space="preserve">U.S. Army Corps of Engineers 2020, sec. 4.12.3.1.1</w:t>
        </w:r>
      </w:hyperlink>
      <w:r>
        <w:t xml:space="preserve">, ec. 4-20;</w:t>
      </w:r>
      <w:r>
        <w:t xml:space="preserve"> </w:t>
      </w:r>
      <w:hyperlink w:anchor="ref-AndersonEtAl2023">
        <w:r>
          <w:rPr>
            <w:rStyle w:val="Hyperlink"/>
          </w:rPr>
          <w:t xml:space="preserve">Anderson et al. 2023, 164</w:t>
        </w:r>
      </w:hyperlink>
      <w:r>
        <w:t xml:space="preserve">)</w:t>
      </w:r>
      <w:r>
        <w:t xml:space="preserve">.</w:t>
      </w:r>
      <w:r>
        <w:t xml:space="preserve"> </w:t>
      </w:r>
      <w:r>
        <w:t xml:space="preserve">El escenario no incluye carga móvil, por lo que</w:t>
      </w:r>
      <w:r>
        <w:t xml:space="preserve"> </w:t>
      </w:r>
      <m:oMath>
        <m:sSub>
          <m:e>
            <m:r>
              <m:t>T</m:t>
            </m:r>
          </m:e>
          <m:sub>
            <m:r>
              <m:t>L</m:t>
            </m:r>
          </m:sub>
        </m:sSub>
        <m:r>
          <m:rPr>
            <m:sty m:val="p"/>
          </m:rPr>
          <m:t>=</m:t>
        </m:r>
        <m:r>
          <m:t>0</m:t>
        </m:r>
      </m:oMath>
      <w:r>
        <w:t xml:space="preserve">.</w:t>
      </w:r>
      <w:r>
        <w:t xml:space="preserve"> </w:t>
      </w:r>
      <w:r>
        <w:t xml:space="preserve">La</w:t>
      </w:r>
      <w:r>
        <w:t xml:space="preserve"> </w:t>
      </w:r>
      <w:hyperlink w:anchor="tbl-liner-aashto-inputs">
        <w:r>
          <w:rPr>
            <w:rStyle w:val="Hyperlink"/>
          </w:rPr>
          <w:t xml:space="preserve">tabla 4.4</w:t>
        </w:r>
      </w:hyperlink>
      <w:r>
        <w:t xml:space="preserve"> </w:t>
      </w:r>
      <w:r>
        <w:t xml:space="preserve">presenta la tapada,</w:t>
      </w:r>
      <w:r>
        <w:t xml:space="preserve"> </w:t>
      </w:r>
      <w:r>
        <w:t xml:space="preserve">la luz, los materiales, los factores y los límites utilizados. Estos valores</w:t>
      </w:r>
      <w:r>
        <w:t xml:space="preserve"> </w:t>
      </w:r>
      <w:r>
        <w:t xml:space="preserve">reproducen una base compuesta de USACE 2020, AASHTO LRFD 8.ª edición y la</w:t>
      </w:r>
      <w:r>
        <w:t xml:space="preserve"> </w:t>
      </w:r>
      <w:r>
        <w:t xml:space="preserve">recopilación de la 9.ª edición de Anderson et al. La evaluación contractual se</w:t>
      </w:r>
      <w:r>
        <w:t xml:space="preserve"> </w:t>
      </w:r>
      <w:r>
        <w:t xml:space="preserve">completará con la edición y los parámetros establecidos para el proyecto</w:t>
      </w:r>
      <w:r>
        <w:t xml:space="preserve"> </w:t>
      </w:r>
      <w:r>
        <w:t xml:space="preserve">(</w:t>
      </w:r>
      <w:hyperlink w:anchor="ref-USACE2020">
        <w:r>
          <w:rPr>
            <w:rStyle w:val="Hyperlink"/>
          </w:rPr>
          <w:t xml:space="preserve">U.S. Army Corps of Engineers 2020</w:t>
        </w:r>
      </w:hyperlink>
      <w:r>
        <w:t xml:space="preserve">;</w:t>
      </w:r>
      <w:r>
        <w:t xml:space="preserve"> </w:t>
      </w:r>
      <w:hyperlink w:anchor="ref-AndersonEtAl2023">
        <w:r>
          <w:rPr>
            <w:rStyle w:val="Hyperlink"/>
          </w:rPr>
          <w:t xml:space="preserve">Anderson et al. 2023</w:t>
        </w:r>
      </w:hyperlink>
      <w:r>
        <w:t xml:space="preserve">;</w:t>
      </w:r>
      <w:r>
        <w:t xml:space="preserve"> </w:t>
      </w:r>
      <w:hyperlink w:anchor="ref-AASHTO2024TOC">
        <w:r>
          <w:rPr>
            <w:rStyle w:val="Hyperlink"/>
          </w:rPr>
          <w:t xml:space="preserve">American Association of State Highway and Transportation Officials 2024</w:t>
        </w:r>
      </w:hyperlink>
      <w:r>
        <w:t xml:space="preserve">)</w:t>
      </w:r>
      <w:r>
        <w:t xml:space="preserve">.</w:t>
      </w:r>
      <w:r>
        <w:t xml:space="preserve"> </w:t>
      </w:r>
      <w:r>
        <w:t xml:space="preserve">El mismo empuje se incluye en la comparación de formulaciones de</w:t>
      </w:r>
      <w:r>
        <w:t xml:space="preserve"> </w:t>
      </w:r>
      <w:hyperlink w:anchor="sec-calculation-appendix-references">
        <w:r>
          <w:rPr>
            <w:rStyle w:val="Hyperlink"/>
          </w:rPr>
          <w:t xml:space="preserve">Apéndice B</w:t>
        </w:r>
      </w:hyperlink>
      <w:r>
        <w:t xml:space="preserve">.</w:t>
      </w:r>
    </w:p>
    <w:tbl>
      <w:tblPr>
        <w:tblStyle w:val="Table"/>
        <w:tblLayout w:type="autofit"/>
        <w:tblLook w:firstRow="0" w:lastRow="0" w:firstColumn="0" w:lastColumn="0" w:noHBand="0" w:noVBand="0" w:val="0000"/>
      </w:tblPr>
      <w:tblGrid>
        <w:gridCol w:w="7920"/>
      </w:tblGrid>
      <w:tr>
        <w:tc>
          <w:tcPr/>
          <w:bookmarkStart w:id="67" w:name="tbl-liner-aashto-inputs"/>
          <w:p>
            <w:pPr>
              <w:jc w:val="left"/>
              <w:pStyle w:val="ImageCaption"/>
            </w:pPr>
            <w:r>
              <w:t xml:space="preserve">Tabla 4.4: Datos adoptados para la comprobación del conducto corrugado.</w:t>
            </w:r>
            <w:r>
              <w:t xml:space="preserve"> </w:t>
            </w:r>
            <m:oMath>
              <m:sSub>
                <m:e>
                  <m:r>
                    <m:t>H</m:t>
                  </m:r>
                </m:e>
                <m:sub>
                  <m:r>
                    <m:t>0</m:t>
                  </m:r>
                </m:sub>
              </m:sSub>
            </m:oMath>
            <w:r>
              <w:t xml:space="preserve"> </w:t>
            </w:r>
            <w:r>
              <w:t xml:space="preserve">es la altura del relleno inferior sobre la clave;</w:t>
            </w:r>
            <w:r>
              <w:t xml:space="preserve"> </w:t>
            </w:r>
            <m:oMath>
              <m:r>
                <m:t>S</m:t>
              </m:r>
            </m:oMath>
            <w:r>
              <w:t xml:space="preserve">, la luz;</w:t>
            </w:r>
            <w:r>
              <w:t xml:space="preserve"> </w:t>
            </w:r>
            <m:oMath>
              <m:sSub>
                <m:e>
                  <m:r>
                    <m:t>γ</m:t>
                  </m:r>
                </m:e>
                <m:sub>
                  <m:r>
                    <m:t>D</m:t>
                  </m:r>
                  <m:r>
                    <m:t>L</m:t>
                  </m:r>
                </m:sub>
              </m:sSub>
            </m:oMath>
            <w:r>
              <w:t xml:space="preserve"> </w:t>
            </w:r>
            <w:r>
              <w:t xml:space="preserve">y</w:t>
            </w:r>
            <w:r>
              <w:t xml:space="preserve"> </w:t>
            </w:r>
            <m:oMath>
              <m:sSub>
                <m:e>
                  <m:r>
                    <m:t>γ</m:t>
                  </m:r>
                </m:e>
                <m:sub>
                  <m:r>
                    <m:t>L</m:t>
                  </m:r>
                  <m:r>
                    <m:t>L</m:t>
                  </m:r>
                </m:sub>
              </m:sSub>
            </m:oMath>
            <w:r>
              <w:t xml:space="preserve">, los factores de carga;</w:t>
            </w:r>
            <w:r>
              <w:t xml:space="preserve"> </w:t>
            </w:r>
            <m:oMath>
              <m:sSub>
                <m:e>
                  <m:r>
                    <m:t>η</m:t>
                  </m:r>
                </m:e>
                <m:sub>
                  <m:r>
                    <m:t>c</m:t>
                  </m:r>
                  <m:r>
                    <m:t>m</m:t>
                  </m:r>
                  <m:r>
                    <m:t>p</m:t>
                  </m:r>
                </m:sub>
              </m:sSub>
            </m:oMath>
            <w:r>
              <w:t xml:space="preserve">, el modificador de demanda;</w:t>
            </w:r>
            <w:r>
              <w:t xml:space="preserve"> </w:t>
            </w:r>
            <m:oMath>
              <m:sSub>
                <m:e>
                  <m:r>
                    <m:t>k</m:t>
                  </m:r>
                </m:e>
                <m:sub>
                  <m:r>
                    <m:t>s</m:t>
                  </m:r>
                </m:sub>
              </m:sSub>
            </m:oMath>
            <w:r>
              <w:t xml:space="preserve">, el factor de rigidez del suelo; y</w:t>
            </w:r>
            <w:r>
              <w:t xml:space="preserve"> </w:t>
            </w:r>
            <m:oMath>
              <m:sSub>
                <m:e>
                  <m:r>
                    <m:t>ϕ</m:t>
                  </m:r>
                </m:e>
                <m:sub>
                  <m:r>
                    <m:t>w</m:t>
                  </m:r>
                </m:sub>
              </m:sSub>
            </m:oMath>
            <w:r>
              <w:t xml:space="preserve"> </w:t>
            </w:r>
            <w:r>
              <w:t xml:space="preserve">y</w:t>
            </w:r>
            <w:r>
              <w:t xml:space="preserve"> </w:t>
            </w:r>
            <m:oMath>
              <m:sSub>
                <m:e>
                  <m:r>
                    <m:t>ϕ</m:t>
                  </m:r>
                </m:e>
                <m:sub>
                  <m:r>
                    <m:t>s</m:t>
                  </m:r>
                </m:sub>
              </m:sSub>
            </m:oMath>
            <w:r>
              <w:t xml:space="preserve">, los factores de resistencia de pared y costura.</w:t>
            </w:r>
            <w:r>
              <w:t xml:space="preserve"> </w:t>
            </w:r>
            <m:oMath>
              <m:sSub>
                <m:e>
                  <m:r>
                    <m:t>R</m:t>
                  </m:r>
                </m:e>
                <m:sub>
                  <m:r>
                    <m:t>n</m:t>
                  </m:r>
                  <m:r>
                    <m:rPr>
                      <m:sty m:val="p"/>
                    </m:rPr>
                    <m:t>,</m:t>
                  </m:r>
                  <m:r>
                    <m:t>0</m:t>
                  </m:r>
                </m:sub>
              </m:sSub>
            </m:oMath>
            <w:r>
              <w:t xml:space="preserve"> </w:t>
            </w:r>
            <w:r>
              <w:t xml:space="preserve">es la resistencia nominal publicada de la costura sin pérdida de diámetro;</w:t>
            </w:r>
            <w:r>
              <w:t xml:space="preserve"> </w:t>
            </w:r>
            <m:oMath>
              <m:sSub>
                <m:e>
                  <m:r>
                    <m:t>d</m:t>
                  </m:r>
                </m:e>
                <m:sub>
                  <m:r>
                    <m:t>0</m:t>
                  </m:r>
                </m:sub>
              </m:sSub>
            </m:oMath>
            <w:r>
              <w:t xml:space="preserve"> </w:t>
            </w:r>
            <w:r>
              <w:t xml:space="preserve">es el diámetro nominal informado del perno y</w:t>
            </w:r>
            <w:r>
              <w:t xml:space="preserve"> </w:t>
            </w:r>
            <m:oMath>
              <m:sSub>
                <m:e>
                  <m:r>
                    <m:t>δ</m:t>
                  </m:r>
                </m:e>
                <m:sub>
                  <m:r>
                    <m:t>d</m:t>
                  </m:r>
                </m:sub>
              </m:sSub>
            </m:oMath>
            <w:r>
              <w:t xml:space="preserve"> </w:t>
            </w:r>
            <w:r>
              <w:t xml:space="preserve">su pérdida relativa. La procedencia y la edición de estos parámetros se indican en el texto.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t>i</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v</m:t>
                        </m:r>
                      </m:e>
                      <m:sub>
                        <m:r>
                          <m:t>i</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i</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H</m:t>
                        </m:r>
                      </m:e>
                      <m:sub>
                        <m:r>
                          <m:t>0</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γ</m:t>
                        </m:r>
                      </m:e>
                      <m:sub>
                        <m:r>
                          <m:t>t</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D</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S</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F</m:t>
                        </m:r>
                      </m:e>
                      <m:sub>
                        <m:r>
                          <m:t>y</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F</m:t>
                        </m:r>
                      </m:e>
                      <m:sub>
                        <m:r>
                          <m:t>u</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E</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γ</m:t>
                        </m:r>
                      </m:e>
                      <m:sub>
                        <m:r>
                          <m:t>DL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γ</m:t>
                        </m:r>
                      </m:e>
                      <m:sub>
                        <m:r>
                          <m:t>LL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η</m:t>
                        </m:r>
                      </m:e>
                      <m:sub>
                        <m:r>
                          <m:t>cmp</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P</m:t>
                        </m:r>
                      </m:e>
                      <m:sub>
                        <m:r>
                          <m:t>FL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C</m:t>
                        </m:r>
                      </m:e>
                      <m:sub>
                        <m:r>
                          <m:t>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k</m:t>
                        </m:r>
                      </m:e>
                      <m:sub>
                        <m:r>
                          <m:t>s</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ϕ</m:t>
                        </m:r>
                      </m:e>
                      <m:sub>
                        <m:r>
                          <m:t>w</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ϕ</m:t>
                        </m:r>
                      </m:e>
                      <m:sub>
                        <m:r>
                          <m:t>s</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F</m:t>
                    </m:r>
                    <m:sSub>
                      <m:e>
                        <m:r>
                          <m:t>F</m:t>
                        </m:r>
                      </m:e>
                      <m:sub>
                        <m:r>
                          <m:t>lim</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0.1884349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mm/N</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R</m:t>
                        </m:r>
                      </m:e>
                      <m:sub>
                        <m:r>
                          <m:t>n,0</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d</m:t>
                        </m:r>
                      </m:e>
                      <m:sub>
                        <m:r>
                          <m:t>0</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δ</m:t>
                        </m:r>
                      </m:e>
                      <m:sub>
                        <m:r>
                          <m:t>d</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67"/>
          <w:p/>
        </w:tc>
      </w:tr>
    </w:tbl>
    <w:p>
      <w:pPr>
        <w:pStyle w:val="BodyText"/>
      </w:pPr>
      <w:r>
        <w:t xml:space="preserve">La pared corrugada se comprueba frente a fluencia y pandeo con la demanda</w:t>
      </w:r>
      <w:r>
        <w:t xml:space="preserve"> </w:t>
      </w:r>
      <m:oMath>
        <m:sSub>
          <m:e>
            <m:r>
              <m:t>T</m:t>
            </m:r>
          </m:e>
          <m:sub>
            <m:r>
              <m:t>u</m:t>
            </m:r>
          </m:sub>
        </m:sSub>
      </m:oMath>
      <w:r>
        <w:t xml:space="preserve">. Para el área</w:t>
      </w:r>
      <w:r>
        <w:t xml:space="preserve"> </w:t>
      </w:r>
      <m:oMath>
        <m:r>
          <m:t>A</m:t>
        </m:r>
      </m:oMath>
      <w:r>
        <w:t xml:space="preserve">, el momento de inercia</w:t>
      </w:r>
      <w:r>
        <w:t xml:space="preserve"> </w:t>
      </w:r>
      <m:oMath>
        <m:r>
          <m:t>I</m:t>
        </m:r>
      </m:oMath>
      <w:r>
        <w:t xml:space="preserve"> </w:t>
      </w:r>
      <w:r>
        <w:t xml:space="preserve">y el radio de giro</w:t>
      </w:r>
      <w:r>
        <w:t xml:space="preserve"> </w:t>
      </w:r>
      <m:oMath>
        <m:r>
          <m:t>r</m:t>
        </m:r>
        <m:r>
          <m:rPr>
            <m:sty m:val="p"/>
          </m:rPr>
          <m:t>=</m:t>
        </m:r>
        <m:rad>
          <m:radPr>
            <m:degHide m:val="on"/>
          </m:radPr>
          <m:deg/>
          <m:e>
            <m:r>
              <m:t>I</m:t>
            </m:r>
            <m:r>
              <m:rPr>
                <m:sty m:val="p"/>
              </m:rPr>
              <m:t>/</m:t>
            </m:r>
            <m:r>
              <m:t>A</m:t>
            </m:r>
          </m:e>
        </m:rad>
      </m:oMath>
      <w:r>
        <w:t xml:space="preserve"> </w:t>
      </w:r>
      <w:r>
        <w:t xml:space="preserve">por unidad de ancho, se calculan</w:t>
      </w:r>
    </w:p>
    <w:p>
      <w:pPr>
        <w:pStyle w:val="BodyText"/>
      </w:pPr>
      <w:bookmarkStart w:id="68" w:name="X88e78ce4e2e671ef2dfeb96261a01a638bd1c7b"/>
      <m:oMathPara>
        <m:oMathParaPr>
          <m:jc m:val="center"/>
        </m:oMathParaPr>
        <m:oMath>
          <m:sSub>
            <m:e>
              <m:r>
                <m:t>λ</m:t>
              </m:r>
            </m:e>
            <m:sub>
              <m:r>
                <m:t>b</m:t>
              </m:r>
            </m:sub>
          </m:sSub>
          <m:r>
            <m:rPr>
              <m:sty m:val="p"/>
            </m:rPr>
            <m:t>=</m:t>
          </m:r>
          <m:sSub>
            <m:e>
              <m:r>
                <m:t>k</m:t>
              </m:r>
            </m:e>
            <m:sub>
              <m:r>
                <m:t>s</m:t>
              </m:r>
            </m:sub>
          </m:sSub>
          <m:f>
            <m:fPr>
              <m:type m:val="bar"/>
            </m:fPr>
            <m:num>
              <m:r>
                <m:t>S</m:t>
              </m:r>
            </m:num>
            <m:den>
              <m:r>
                <m:t>r</m:t>
              </m:r>
            </m:den>
          </m:f>
          <m:r>
            <m:rPr>
              <m:sty m:val="p"/>
            </m:rPr>
            <m:t>,</m:t>
          </m:r>
          <m:r>
            <m:t>  </m:t>
          </m:r>
          <m:sSub>
            <m:e>
              <m:r>
                <m:t>S</m:t>
              </m:r>
            </m:e>
            <m:sub>
              <m:r>
                <m:t>t</m:t>
              </m:r>
              <m:r>
                <m:t>r</m:t>
              </m:r>
            </m:sub>
          </m:sSub>
          <m:r>
            <m:rPr>
              <m:sty m:val="p"/>
            </m:rPr>
            <m:t>=</m:t>
          </m:r>
          <m:f>
            <m:fPr>
              <m:type m:val="bar"/>
            </m:fPr>
            <m:num>
              <m:r>
                <m:t>r</m:t>
              </m:r>
            </m:num>
            <m:den>
              <m:sSub>
                <m:e>
                  <m:r>
                    <m:t>k</m:t>
                  </m:r>
                </m:e>
                <m:sub>
                  <m:r>
                    <m:t>s</m:t>
                  </m:r>
                </m:sub>
              </m:sSub>
            </m:den>
          </m:f>
          <m:rad>
            <m:radPr>
              <m:degHide m:val="on"/>
            </m:radPr>
            <m:deg/>
            <m:e>
              <m:f>
                <m:fPr>
                  <m:type m:val="bar"/>
                </m:fPr>
                <m:num>
                  <m:r>
                    <m:t>24</m:t>
                  </m:r>
                  <m:r>
                    <m:t>E</m:t>
                  </m:r>
                </m:num>
                <m:den>
                  <m:sSub>
                    <m:e>
                      <m:r>
                        <m:t>F</m:t>
                      </m:r>
                    </m:e>
                    <m:sub>
                      <m:r>
                        <m:t>u</m:t>
                      </m:r>
                    </m:sub>
                  </m:sSub>
                </m:den>
              </m:f>
            </m:e>
          </m:rad>
          <m:r>
            <m:rPr>
              <m:sty m:val="p"/>
            </m:rPr>
            <m:t>,</m:t>
          </m:r>
          <m:r>
            <m:t>  </m:t>
          </m:r>
          <m:r>
            <m:rPr>
              <m:sty m:val="p"/>
            </m:rPr>
            <m:t>(</m:t>
          </m:r>
          <m:r>
            <m:t>4.5</m:t>
          </m:r>
          <m:r>
            <m:rPr>
              <m:sty m:val="p"/>
            </m:rPr>
            <m:t>)</m:t>
          </m:r>
        </m:oMath>
      </m:oMathPara>
      <w:bookmarkEnd w:id="68"/>
    </w:p>
    <w:p>
      <w:pPr>
        <w:pStyle w:val="FirstParagraph"/>
      </w:pPr>
      <w:bookmarkStart w:id="69" w:name="eq-calculation-aashto-buckling-stress"/>
      <m:oMathPara>
        <m:oMathParaPr>
          <m:jc m:val="center"/>
        </m:oMathParaPr>
        <m:oMath>
          <m:sSub>
            <m:e>
              <m:r>
                <m:t>F</m:t>
              </m:r>
            </m:e>
            <m:sub>
              <m:r>
                <m:t>c</m:t>
              </m:r>
              <m:r>
                <m:t>r</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F</m:t>
                        </m:r>
                      </m:e>
                      <m:sub>
                        <m:r>
                          <m:t>u</m:t>
                        </m:r>
                      </m:sub>
                    </m:sSub>
                    <m:r>
                      <m:rPr>
                        <m:sty m:val="p"/>
                      </m:rPr>
                      <m:t>−</m:t>
                    </m:r>
                    <m:f>
                      <m:fPr>
                        <m:type m:val="bar"/>
                      </m:fPr>
                      <m:num>
                        <m:sSubSup>
                          <m:e>
                            <m:r>
                              <m:t>F</m:t>
                            </m:r>
                          </m:e>
                          <m:sub>
                            <m:r>
                              <m:t>u</m:t>
                            </m:r>
                          </m:sub>
                          <m:sup>
                            <m:r>
                              <m:t>2</m:t>
                            </m:r>
                          </m:sup>
                        </m:sSubSup>
                      </m:num>
                      <m:den>
                        <m:r>
                          <m:t>48</m:t>
                        </m:r>
                        <m:r>
                          <m:t>E</m:t>
                        </m:r>
                      </m:den>
                    </m:f>
                    <m:sSubSup>
                      <m:e>
                        <m:r>
                          <m:t>λ</m:t>
                        </m:r>
                      </m:e>
                      <m:sub>
                        <m:r>
                          <m:t>b</m:t>
                        </m:r>
                      </m:sub>
                      <m:sup>
                        <m:r>
                          <m:t>2</m:t>
                        </m:r>
                      </m:sup>
                    </m:sSubSup>
                    <m:r>
                      <m:rPr>
                        <m:sty m:val="p"/>
                      </m:rPr>
                      <m:t>,</m:t>
                    </m:r>
                  </m:e>
                  <m:e>
                    <m:r>
                      <m:t>S</m:t>
                    </m:r>
                    <m:r>
                      <m:rPr>
                        <m:sty m:val="p"/>
                      </m:rPr>
                      <m:t>≤</m:t>
                    </m:r>
                    <m:sSub>
                      <m:e>
                        <m:r>
                          <m:t>S</m:t>
                        </m:r>
                      </m:e>
                      <m:sub>
                        <m:r>
                          <m:t>t</m:t>
                        </m:r>
                        <m:r>
                          <m:t>r</m:t>
                        </m:r>
                      </m:sub>
                    </m:sSub>
                    <m:r>
                      <m:rPr>
                        <m:sty m:val="p"/>
                      </m:rPr>
                      <m:t>,</m:t>
                    </m:r>
                  </m:e>
                </m:mr>
                <m:mr>
                  <m:e>
                    <m:f>
                      <m:fPr>
                        <m:type m:val="bar"/>
                      </m:fPr>
                      <m:num>
                        <m:r>
                          <m:t>12</m:t>
                        </m:r>
                        <m:r>
                          <m:t>E</m:t>
                        </m:r>
                      </m:num>
                      <m:den>
                        <m:sSubSup>
                          <m:e>
                            <m:r>
                              <m:t>λ</m:t>
                            </m:r>
                          </m:e>
                          <m:sub>
                            <m:r>
                              <m:t>b</m:t>
                            </m:r>
                          </m:sub>
                          <m:sup>
                            <m:r>
                              <m:t>2</m:t>
                            </m:r>
                          </m:sup>
                        </m:sSubSup>
                      </m:den>
                    </m:f>
                    <m:r>
                      <m:rPr>
                        <m:sty m:val="p"/>
                      </m:rPr>
                      <m:t>,</m:t>
                    </m:r>
                  </m:e>
                  <m:e>
                    <m:r>
                      <m:t>S</m:t>
                    </m:r>
                    <m:r>
                      <m:rPr>
                        <m:sty m:val="p"/>
                      </m:rPr>
                      <m:t>&gt;</m:t>
                    </m:r>
                    <m:sSub>
                      <m:e>
                        <m:r>
                          <m:t>S</m:t>
                        </m:r>
                      </m:e>
                      <m:sub>
                        <m:r>
                          <m:t>t</m:t>
                        </m:r>
                        <m:r>
                          <m:t>r</m:t>
                        </m:r>
                      </m:sub>
                    </m:sSub>
                    <m:r>
                      <m:rPr>
                        <m:sty m:val="p"/>
                      </m:rPr>
                      <m:t>,</m:t>
                    </m:r>
                  </m:e>
                </m:mr>
              </m:m>
            </m:e>
          </m:d>
          <m:r>
            <m:t>  </m:t>
          </m:r>
          <m:r>
            <m:rPr>
              <m:sty m:val="p"/>
            </m:rPr>
            <m:t>(</m:t>
          </m:r>
          <m:r>
            <m:t>4.6</m:t>
          </m:r>
          <m:r>
            <m:rPr>
              <m:sty m:val="p"/>
            </m:rPr>
            <m:t>)</m:t>
          </m:r>
        </m:oMath>
      </m:oMathPara>
      <w:bookmarkEnd w:id="69"/>
    </w:p>
    <w:p>
      <w:pPr>
        <w:pStyle w:val="FirstParagraph"/>
      </w:pPr>
      <w:bookmarkStart w:id="70" w:name="eq-calculation-aashto-wall-resistance"/>
      <m:oMathPara>
        <m:oMathParaPr>
          <m:jc m:val="center"/>
        </m:oMathParaPr>
        <m:oMath>
          <m:sSub>
            <m:e>
              <m:r>
                <m:t>R</m:t>
              </m:r>
            </m:e>
            <m:sub>
              <m:r>
                <m:t>y</m:t>
              </m:r>
            </m:sub>
          </m:sSub>
          <m:r>
            <m:rPr>
              <m:sty m:val="p"/>
            </m:rPr>
            <m:t>=</m:t>
          </m:r>
          <m:sSub>
            <m:e>
              <m:r>
                <m:t>ϕ</m:t>
              </m:r>
            </m:e>
            <m:sub>
              <m:r>
                <m:t>w</m:t>
              </m:r>
            </m:sub>
          </m:sSub>
          <m:r>
            <m:t>A</m:t>
          </m:r>
          <m:sSub>
            <m:e>
              <m:r>
                <m:t>F</m:t>
              </m:r>
            </m:e>
            <m:sub>
              <m:r>
                <m:t>y</m:t>
              </m:r>
            </m:sub>
          </m:sSub>
          <m:r>
            <m:rPr>
              <m:sty m:val="p"/>
            </m:rPr>
            <m:t>,</m:t>
          </m:r>
          <m:r>
            <m:t>  </m:t>
          </m:r>
          <m:sSub>
            <m:e>
              <m:r>
                <m:t>R</m:t>
              </m:r>
            </m:e>
            <m:sub>
              <m:r>
                <m:t>b</m:t>
              </m:r>
            </m:sub>
          </m:sSub>
          <m:r>
            <m:rPr>
              <m:sty m:val="p"/>
            </m:rPr>
            <m:t>=</m:t>
          </m:r>
          <m:sSub>
            <m:e>
              <m:r>
                <m:t>ϕ</m:t>
              </m:r>
            </m:e>
            <m:sub>
              <m:r>
                <m:t>w</m:t>
              </m:r>
            </m:sub>
          </m:sSub>
          <m:r>
            <m:t>A</m:t>
          </m:r>
          <m:sSub>
            <m:e>
              <m:r>
                <m:t>F</m:t>
              </m:r>
            </m:e>
            <m:sub>
              <m:r>
                <m:t>c</m:t>
              </m:r>
              <m:r>
                <m:t>r</m:t>
              </m:r>
            </m:sub>
          </m:sSub>
          <m:r>
            <m:rPr>
              <m:sty m:val="p"/>
            </m:rPr>
            <m:t>.</m:t>
          </m:r>
          <m:r>
            <m:t>  </m:t>
          </m:r>
          <m:r>
            <m:rPr>
              <m:sty m:val="p"/>
            </m:rPr>
            <m:t>(</m:t>
          </m:r>
          <m:r>
            <m:t>4.7</m:t>
          </m:r>
          <m:r>
            <m:rPr>
              <m:sty m:val="p"/>
            </m:rPr>
            <m:t>)</m:t>
          </m:r>
        </m:oMath>
      </m:oMathPara>
      <w:bookmarkEnd w:id="70"/>
    </w:p>
    <w:p>
      <w:pPr>
        <w:pStyle w:val="FirstParagraph"/>
      </w:pPr>
      <m:oMath>
        <m:sSub>
          <m:e>
            <m:r>
              <m:t>k</m:t>
            </m:r>
          </m:e>
          <m:sub>
            <m:r>
              <m:t>s</m:t>
            </m:r>
          </m:sub>
        </m:sSub>
      </m:oMath>
      <w:r>
        <w:t xml:space="preserve"> </w:t>
      </w:r>
      <w:r>
        <w:t xml:space="preserve">es el factor de rigidez del suelo,</w:t>
      </w:r>
      <w:r>
        <w:t xml:space="preserve"> </w:t>
      </w:r>
      <m:oMath>
        <m:r>
          <m:t>E</m:t>
        </m:r>
      </m:oMath>
      <w:r>
        <w:t xml:space="preserve"> </w:t>
      </w:r>
      <w:r>
        <w:t xml:space="preserve">es el módulo del acero,</w:t>
      </w:r>
      <w:r>
        <w:t xml:space="preserve"> </w:t>
      </w:r>
      <m:oMath>
        <m:sSub>
          <m:e>
            <m:r>
              <m:t>F</m:t>
            </m:r>
          </m:e>
          <m:sub>
            <m:r>
              <m:t>y</m:t>
            </m:r>
          </m:sub>
        </m:sSub>
      </m:oMath>
      <w:r>
        <w:t xml:space="preserve"> </w:t>
      </w:r>
      <w:r>
        <w:t xml:space="preserve">y</w:t>
      </w:r>
      <w:r>
        <w:t xml:space="preserve"> </w:t>
      </w:r>
      <m:oMath>
        <m:sSub>
          <m:e>
            <m:r>
              <m:t>F</m:t>
            </m:r>
          </m:e>
          <m:sub>
            <m:r>
              <m:t>u</m:t>
            </m:r>
          </m:sub>
        </m:sSub>
      </m:oMath>
      <w:r>
        <w:t xml:space="preserve"> </w:t>
      </w:r>
      <w:r>
        <w:t xml:space="preserve">son sus resistencias de fluencia y tracción, y</w:t>
      </w:r>
      <w:r>
        <w:t xml:space="preserve"> </w:t>
      </w:r>
      <m:oMath>
        <m:sSub>
          <m:e>
            <m:r>
              <m:t>ϕ</m:t>
            </m:r>
          </m:e>
          <m:sub>
            <m:r>
              <m:t>w</m:t>
            </m:r>
          </m:sub>
        </m:sSub>
      </m:oMath>
      <w:r>
        <w:t xml:space="preserve"> </w:t>
      </w:r>
      <w:r>
        <w:t xml:space="preserve">es el factor de</w:t>
      </w:r>
      <w:r>
        <w:t xml:space="preserve"> </w:t>
      </w:r>
      <w:r>
        <w:t xml:space="preserve">resistencia de la pared. Estas expresiones alimentan directamente las filas de</w:t>
      </w:r>
      <w:r>
        <w:t xml:space="preserve"> </w:t>
      </w:r>
      <w:r>
        <w:t xml:space="preserve">fluencia y pandeo de la tabla de comprobaciones</w:t>
      </w:r>
      <w:r>
        <w:t xml:space="preserve"> </w:t>
      </w:r>
      <w:r>
        <w:t xml:space="preserve">(</w:t>
      </w:r>
      <w:hyperlink w:anchor="ref-USACE2020">
        <w:r>
          <w:rPr>
            <w:rStyle w:val="Hyperlink"/>
          </w:rPr>
          <w:t xml:space="preserve">U.S. Army Corps of Engineers 2020</w:t>
        </w:r>
      </w:hyperlink>
      <w:r>
        <w:t xml:space="preserve">, secs. 4.12.3.2–4.12.3.3;</w:t>
      </w:r>
      <w:r>
        <w:t xml:space="preserve"> </w:t>
      </w:r>
      <w:hyperlink w:anchor="ref-AndersonEtAl2023">
        <w:r>
          <w:rPr>
            <w:rStyle w:val="Hyperlink"/>
          </w:rPr>
          <w:t xml:space="preserve">Anderson et al. 2023, 164</w:t>
        </w:r>
      </w:hyperlink>
      <w:r>
        <w:t xml:space="preserve">)</w:t>
      </w:r>
      <w:r>
        <w:t xml:space="preserve">. La rama de</w:t>
      </w:r>
      <w:r>
        <w:t xml:space="preserve"> </w:t>
      </w:r>
      <w:r>
        <w:t xml:space="preserve">pandeo que corresponde al caso es</w:t>
      </w:r>
      <w:r>
        <w:t xml:space="preserve"> </w:t>
      </w:r>
      <w:r>
        <w:t xml:space="preserve">inelástica.</w:t>
      </w:r>
    </w:p>
    <w:p>
      <w:pPr>
        <w:pStyle w:val="BodyText"/>
      </w:pPr>
      <w:r>
        <w:t xml:space="preserve">Para la costura,</w:t>
      </w:r>
      <w:r>
        <w:t xml:space="preserve"> </w:t>
      </w:r>
      <m:oMath>
        <m:sSub>
          <m:e>
            <m:r>
              <m:t>d</m:t>
            </m:r>
          </m:e>
          <m:sub>
            <m:r>
              <m:t>0</m:t>
            </m:r>
          </m:sub>
        </m:sSub>
      </m:oMath>
      <w:r>
        <w:t xml:space="preserve"> </w:t>
      </w:r>
      <w:r>
        <w:t xml:space="preserve">es el diámetro nominal del perno,</w:t>
      </w:r>
      <w:r>
        <w:t xml:space="preserve"> </w:t>
      </w:r>
      <m:oMath>
        <m:sSub>
          <m:e>
            <m:r>
              <m:t>d</m:t>
            </m:r>
          </m:e>
          <m:sub>
            <m:r>
              <m:t>r</m:t>
            </m:r>
          </m:sub>
        </m:sSub>
      </m:oMath>
      <w:r>
        <w:t xml:space="preserve"> </w:t>
      </w:r>
      <w:r>
        <w:t xml:space="preserve">su diámetro</w:t>
      </w:r>
      <w:r>
        <w:t xml:space="preserve"> </w:t>
      </w:r>
      <w:r>
        <w:t xml:space="preserve">remanente y</w:t>
      </w:r>
      <w:r>
        <w:t xml:space="preserve"> </w:t>
      </w:r>
      <m:oMath>
        <m:sSub>
          <m:e>
            <m:r>
              <m:t>δ</m:t>
            </m:r>
          </m:e>
          <m:sub>
            <m:r>
              <m:t>d</m:t>
            </m:r>
          </m:sub>
        </m:sSub>
      </m:oMath>
      <w:r>
        <w:t xml:space="preserve"> </w:t>
      </w:r>
      <w:r>
        <w:t xml:space="preserve">la pérdida relativa. La resistencia de referencia se</w:t>
      </w:r>
      <w:r>
        <w:t xml:space="preserve"> </w:t>
      </w:r>
      <w:r>
        <w:t xml:space="preserve">reduce en proporción al área remanente:</w:t>
      </w:r>
    </w:p>
    <w:p>
      <w:pPr>
        <w:pStyle w:val="BodyText"/>
      </w:pPr>
      <w:bookmarkStart w:id="71" w:name="eq-calculation-aashto-seam-resistance"/>
      <m:oMathPara>
        <m:oMathParaPr>
          <m:jc m:val="center"/>
        </m:oMathParaPr>
        <m:oMath>
          <m:sSub>
            <m:e>
              <m:r>
                <m:t>d</m:t>
              </m:r>
            </m:e>
            <m:sub>
              <m:r>
                <m:t>r</m:t>
              </m:r>
            </m:sub>
          </m:sSub>
          <m:r>
            <m:rPr>
              <m:sty m:val="p"/>
            </m:rPr>
            <m:t>=</m:t>
          </m:r>
          <m:sSub>
            <m:e>
              <m:r>
                <m:t>d</m:t>
              </m:r>
            </m:e>
            <m:sub>
              <m:r>
                <m:t>0</m:t>
              </m:r>
            </m:sub>
          </m:sSub>
          <m:r>
            <m:rPr>
              <m:sty m:val="p"/>
            </m:rPr>
            <m:t>(</m:t>
          </m:r>
          <m:r>
            <m:t>1</m:t>
          </m:r>
          <m:r>
            <m:rPr>
              <m:sty m:val="p"/>
            </m:rPr>
            <m:t>−</m:t>
          </m:r>
          <m:sSub>
            <m:e>
              <m:r>
                <m:t>δ</m:t>
              </m:r>
            </m:e>
            <m:sub>
              <m:r>
                <m:t>d</m:t>
              </m:r>
            </m:sub>
          </m:sSub>
          <m:r>
            <m:rPr>
              <m:sty m:val="p"/>
            </m:rPr>
            <m:t>)</m:t>
          </m:r>
          <m:r>
            <m:rPr>
              <m:sty m:val="p"/>
            </m:rPr>
            <m:t>,</m:t>
          </m:r>
          <m:r>
            <m:t>  </m:t>
          </m:r>
          <m:sSub>
            <m:e>
              <m:r>
                <m:t>R</m:t>
              </m:r>
            </m:e>
            <m:sub>
              <m:r>
                <m:t>s</m:t>
              </m:r>
            </m:sub>
          </m:sSub>
          <m:r>
            <m:rPr>
              <m:sty m:val="p"/>
            </m:rPr>
            <m:t>(</m:t>
          </m:r>
          <m:sSub>
            <m:e>
              <m:r>
                <m:t>δ</m:t>
              </m:r>
            </m:e>
            <m:sub>
              <m:r>
                <m:t>d</m:t>
              </m:r>
            </m:sub>
          </m:sSub>
          <m:r>
            <m:rPr>
              <m:sty m:val="p"/>
            </m:rPr>
            <m:t>)</m:t>
          </m:r>
          <m:r>
            <m:rPr>
              <m:sty m:val="p"/>
            </m:rPr>
            <m:t>=</m:t>
          </m:r>
          <m:sSub>
            <m:e>
              <m:r>
                <m:t>ϕ</m:t>
              </m:r>
            </m:e>
            <m:sub>
              <m:r>
                <m:t>s</m:t>
              </m:r>
            </m:sub>
          </m:sSub>
          <m:sSub>
            <m:e>
              <m:r>
                <m:t>R</m:t>
              </m:r>
            </m:e>
            <m:sub>
              <m:r>
                <m:t>n</m:t>
              </m:r>
              <m:r>
                <m:rPr>
                  <m:sty m:val="p"/>
                </m:rPr>
                <m:t>,</m:t>
              </m:r>
              <m:r>
                <m:t>0</m:t>
              </m:r>
            </m:sub>
          </m:sSub>
          <m:r>
            <m:rPr>
              <m:sty m:val="p"/>
            </m:rPr>
            <m:t>(</m:t>
          </m:r>
          <m:r>
            <m:t>1</m:t>
          </m:r>
          <m:r>
            <m:rPr>
              <m:sty m:val="p"/>
            </m:rPr>
            <m:t>−</m:t>
          </m:r>
          <m:sSub>
            <m:e>
              <m:r>
                <m:t>δ</m:t>
              </m:r>
            </m:e>
            <m:sub>
              <m:r>
                <m:t>d</m:t>
              </m:r>
            </m:sub>
          </m:sSub>
          <m:sSup>
            <m:e>
              <m:r>
                <m:rPr>
                  <m:sty m:val="p"/>
                </m:rPr>
                <m:t>)</m:t>
              </m:r>
            </m:e>
            <m:sup>
              <m:r>
                <m:t>2</m:t>
              </m:r>
            </m:sup>
          </m:sSup>
          <m:r>
            <m:rPr>
              <m:sty m:val="p"/>
            </m:rPr>
            <m:t>,</m:t>
          </m:r>
          <m:r>
            <m:t>  </m:t>
          </m:r>
          <m:sSub>
            <m:e>
              <m:r>
                <m:t>U</m:t>
              </m:r>
            </m:e>
            <m:sub>
              <m:r>
                <m:t>s</m:t>
              </m:r>
            </m:sub>
          </m:sSub>
          <m:r>
            <m:rPr>
              <m:sty m:val="p"/>
            </m:rPr>
            <m:t>(</m:t>
          </m:r>
          <m:sSub>
            <m:e>
              <m:r>
                <m:t>δ</m:t>
              </m:r>
            </m:e>
            <m:sub>
              <m:r>
                <m:t>d</m:t>
              </m:r>
            </m:sub>
          </m:sSub>
          <m:r>
            <m:rPr>
              <m:sty m:val="p"/>
            </m:rPr>
            <m:t>)</m:t>
          </m:r>
          <m:r>
            <m:rPr>
              <m:sty m:val="p"/>
            </m:rPr>
            <m:t>=</m:t>
          </m:r>
          <m:f>
            <m:fPr>
              <m:type m:val="bar"/>
            </m:fPr>
            <m:num>
              <m:sSub>
                <m:e>
                  <m:r>
                    <m:t>T</m:t>
                  </m:r>
                </m:e>
                <m:sub>
                  <m:r>
                    <m:t>u</m:t>
                  </m:r>
                </m:sub>
              </m:sSub>
            </m:num>
            <m:den>
              <m:sSub>
                <m:e>
                  <m:r>
                    <m:t>R</m:t>
                  </m:r>
                </m:e>
                <m:sub>
                  <m:r>
                    <m:t>s</m:t>
                  </m:r>
                </m:sub>
              </m:sSub>
              <m:r>
                <m:rPr>
                  <m:sty m:val="p"/>
                </m:rPr>
                <m:t>(</m:t>
              </m:r>
              <m:sSub>
                <m:e>
                  <m:r>
                    <m:t>δ</m:t>
                  </m:r>
                </m:e>
                <m:sub>
                  <m:r>
                    <m:t>d</m:t>
                  </m:r>
                </m:sub>
              </m:sSub>
              <m:r>
                <m:rPr>
                  <m:sty m:val="p"/>
                </m:rPr>
                <m:t>)</m:t>
              </m:r>
            </m:den>
          </m:f>
          <m:r>
            <m:rPr>
              <m:sty m:val="p"/>
            </m:rPr>
            <m:t>.</m:t>
          </m:r>
          <m:r>
            <m:t>  </m:t>
          </m:r>
          <m:r>
            <m:rPr>
              <m:sty m:val="p"/>
            </m:rPr>
            <m:t>(</m:t>
          </m:r>
          <m:r>
            <m:t>4.8</m:t>
          </m:r>
          <m:r>
            <m:rPr>
              <m:sty m:val="p"/>
            </m:rPr>
            <m:t>)</m:t>
          </m:r>
        </m:oMath>
      </m:oMathPara>
      <w:bookmarkEnd w:id="71"/>
    </w:p>
    <w:p>
      <w:pPr>
        <w:pStyle w:val="FirstParagraph"/>
      </w:pPr>
      <w:r>
        <w:t xml:space="preserve">Cuando</w:t>
      </w:r>
      <w:r>
        <w:t xml:space="preserve"> </w:t>
      </w:r>
      <m:oMath>
        <m:sSub>
          <m:e>
            <m:r>
              <m:t>T</m:t>
            </m:r>
          </m:e>
          <m:sub>
            <m:r>
              <m:t>u</m:t>
            </m:r>
          </m:sub>
        </m:sSub>
        <m:r>
          <m:rPr>
            <m:sty m:val="p"/>
          </m:rPr>
          <m:t>≤</m:t>
        </m:r>
        <m:sSub>
          <m:e>
            <m:r>
              <m:t>ϕ</m:t>
            </m:r>
          </m:e>
          <m:sub>
            <m:r>
              <m:t>s</m:t>
            </m:r>
          </m:sub>
        </m:sSub>
        <m:sSub>
          <m:e>
            <m:r>
              <m:t>R</m:t>
            </m:r>
          </m:e>
          <m:sub>
            <m:r>
              <m:t>n</m:t>
            </m:r>
            <m:r>
              <m:rPr>
                <m:sty m:val="p"/>
              </m:rPr>
              <m:t>,</m:t>
            </m:r>
            <m:r>
              <m:t>0</m:t>
            </m:r>
          </m:sub>
        </m:sSub>
      </m:oMath>
      <w:r>
        <w:t xml:space="preserve">, la pérdida que iguala demanda y resistencia es</w:t>
      </w:r>
    </w:p>
    <w:p>
      <w:pPr>
        <w:pStyle w:val="BodyText"/>
      </w:pPr>
      <w:bookmarkStart w:id="72" w:name="eq-calculation-aashto-seam-loss-limit"/>
      <m:oMathPara>
        <m:oMathParaPr>
          <m:jc m:val="center"/>
        </m:oMathParaPr>
        <m:oMath>
          <m:sSub>
            <m:e>
              <m:r>
                <m:t>δ</m:t>
              </m:r>
            </m:e>
            <m:sub>
              <m:r>
                <m:t>d</m:t>
              </m:r>
              <m:r>
                <m:rPr>
                  <m:sty m:val="p"/>
                </m:rPr>
                <m:t>,</m:t>
              </m:r>
              <m:r>
                <m:t>l</m:t>
              </m:r>
              <m:r>
                <m:t>i</m:t>
              </m:r>
              <m:r>
                <m:t>m</m:t>
              </m:r>
            </m:sub>
          </m:sSub>
          <m:r>
            <m:rPr>
              <m:sty m:val="p"/>
            </m:rPr>
            <m:t>=</m:t>
          </m:r>
          <m:r>
            <m:t>1</m:t>
          </m:r>
          <m:r>
            <m:rPr>
              <m:sty m:val="p"/>
            </m:rPr>
            <m:t>−</m:t>
          </m:r>
          <m:rad>
            <m:radPr>
              <m:degHide m:val="on"/>
            </m:radPr>
            <m:deg/>
            <m:e>
              <m:f>
                <m:fPr>
                  <m:type m:val="bar"/>
                </m:fPr>
                <m:num>
                  <m:sSub>
                    <m:e>
                      <m:r>
                        <m:t>T</m:t>
                      </m:r>
                    </m:e>
                    <m:sub>
                      <m:r>
                        <m:t>u</m:t>
                      </m:r>
                    </m:sub>
                  </m:sSub>
                </m:num>
                <m:den>
                  <m:sSub>
                    <m:e>
                      <m:r>
                        <m:t>ϕ</m:t>
                      </m:r>
                    </m:e>
                    <m:sub>
                      <m:r>
                        <m:t>s</m:t>
                      </m:r>
                    </m:sub>
                  </m:sSub>
                  <m:sSub>
                    <m:e>
                      <m:r>
                        <m:t>R</m:t>
                      </m:r>
                    </m:e>
                    <m:sub>
                      <m:r>
                        <m:t>n</m:t>
                      </m:r>
                      <m:r>
                        <m:rPr>
                          <m:sty m:val="p"/>
                        </m:rPr>
                        <m:t>,</m:t>
                      </m:r>
                      <m:r>
                        <m:t>0</m:t>
                      </m:r>
                    </m:sub>
                  </m:sSub>
                </m:den>
              </m:f>
            </m:e>
          </m:rad>
          <m:r>
            <m:rPr>
              <m:sty m:val="p"/>
            </m:rPr>
            <m:t>.</m:t>
          </m:r>
          <m:r>
            <m:t>  </m:t>
          </m:r>
          <m:r>
            <m:rPr>
              <m:sty m:val="p"/>
            </m:rPr>
            <m:t>(</m:t>
          </m:r>
          <m:r>
            <m:t>4.9</m:t>
          </m:r>
          <m:r>
            <m:rPr>
              <m:sty m:val="p"/>
            </m:rPr>
            <m:t>)</m:t>
          </m:r>
        </m:oMath>
      </m:oMathPara>
      <w:bookmarkEnd w:id="72"/>
    </w:p>
    <w:p>
      <w:pPr>
        <w:pStyle w:val="FirstParagraph"/>
      </w:pPr>
      <m:oMath>
        <m:sSub>
          <m:e>
            <m:r>
              <m:t>R</m:t>
            </m:r>
          </m:e>
          <m:sub>
            <m:r>
              <m:t>n</m:t>
            </m:r>
            <m:r>
              <m:rPr>
                <m:sty m:val="p"/>
              </m:rPr>
              <m:t>,</m:t>
            </m:r>
            <m:r>
              <m:t>0</m:t>
            </m:r>
          </m:sub>
        </m:sSub>
      </m:oMath>
      <w:r>
        <w:t xml:space="preserve"> </w:t>
      </w:r>
      <w:r>
        <w:t xml:space="preserve">es la resistencia nominal publicada de la costura de referencia y</w:t>
      </w:r>
      <w:r>
        <w:t xml:space="preserve"> </w:t>
      </w:r>
      <m:oMath>
        <m:sSub>
          <m:e>
            <m:r>
              <m:t>ϕ</m:t>
            </m:r>
          </m:e>
          <m:sub>
            <m:r>
              <m:t>s</m:t>
            </m:r>
          </m:sub>
        </m:sSub>
      </m:oMath>
      <w:r>
        <w:t xml:space="preserve"> </w:t>
      </w:r>
      <w:r>
        <w:t xml:space="preserve">su factor de resistencia</w:t>
      </w:r>
      <w:r>
        <w:t xml:space="preserve"> </w:t>
      </w:r>
      <w:r>
        <w:t xml:space="preserve">(</w:t>
      </w:r>
      <w:hyperlink w:anchor="ref-CSPIHandbookChapter6">
        <w:r>
          <w:rPr>
            <w:rStyle w:val="Hyperlink"/>
          </w:rPr>
          <w:t xml:space="preserve">Corrugated Steel Pipe Institute, s. f.-b</w:t>
        </w:r>
      </w:hyperlink>
      <w:r>
        <w:t xml:space="preserve">;</w:t>
      </w:r>
      <w:r>
        <w:t xml:space="preserve"> </w:t>
      </w:r>
      <w:hyperlink w:anchor="ref-CIRSOC8044">
        <w:r>
          <w:rPr>
            <w:rStyle w:val="Hyperlink"/>
          </w:rPr>
          <w:t xml:space="preserve">INTI-CIRSOC 2023</w:t>
        </w:r>
      </w:hyperlink>
      <w:r>
        <w:t xml:space="preserve">)</w:t>
      </w:r>
      <w:r>
        <w:t xml:space="preserve">.</w:t>
      </w:r>
    </w:p>
    <w:p>
      <w:pPr>
        <w:pStyle w:val="BodyText"/>
      </w:pPr>
      <w:r>
        <w:t xml:space="preserve">El factor de flexibilidad caracteriza la deformabilidad de la chapa durante la</w:t>
      </w:r>
      <w:r>
        <w:t xml:space="preserve"> </w:t>
      </w:r>
      <w:r>
        <w:t xml:space="preserve">manipulación e instalación, y la relación de tapada mínima establece el límite</w:t>
      </w:r>
      <w:r>
        <w:t xml:space="preserve"> </w:t>
      </w:r>
      <w:r>
        <w:t xml:space="preserve">geométrico correspondiente:</w:t>
      </w:r>
    </w:p>
    <w:p>
      <w:pPr>
        <w:pStyle w:val="BodyText"/>
      </w:pPr>
      <w:bookmarkStart w:id="73" w:name="eq-calculation-aashto-service-limits"/>
      <m:oMathPara>
        <m:oMathParaPr>
          <m:jc m:val="center"/>
        </m:oMathParaPr>
        <m:oMath>
          <m:r>
            <m:t>F</m:t>
          </m:r>
          <m:r>
            <m:t>F</m:t>
          </m:r>
          <m:r>
            <m:rPr>
              <m:sty m:val="p"/>
            </m:rPr>
            <m:t>=</m:t>
          </m:r>
          <m:f>
            <m:fPr>
              <m:type m:val="bar"/>
            </m:fPr>
            <m:num>
              <m:sSup>
                <m:e>
                  <m:r>
                    <m:t>S</m:t>
                  </m:r>
                </m:e>
                <m:sup>
                  <m:r>
                    <m:t>2</m:t>
                  </m:r>
                </m:sup>
              </m:sSup>
            </m:num>
            <m:den>
              <m:r>
                <m:t>E</m:t>
              </m:r>
              <m:r>
                <m:t>I</m:t>
              </m:r>
            </m:den>
          </m:f>
          <m:r>
            <m:rPr>
              <m:sty m:val="p"/>
            </m:rPr>
            <m:t>,</m:t>
          </m:r>
          <m:r>
            <m:t>  </m:t>
          </m:r>
          <m:sSub>
            <m:e>
              <m:r>
                <m:t>H</m:t>
              </m:r>
            </m:e>
            <m:sub>
              <m:r>
                <m:t>m</m:t>
              </m:r>
              <m:r>
                <m:t>i</m:t>
              </m:r>
              <m:r>
                <m:t>n</m:t>
              </m:r>
            </m:sub>
          </m:sSub>
          <m:r>
            <m:rPr>
              <m:sty m:val="p"/>
            </m:rPr>
            <m:t>=</m:t>
          </m:r>
          <m:r>
            <m:rPr>
              <m:sty m:val="p"/>
            </m:rPr>
            <m:t>max</m:t>
          </m:r>
          <m:d>
            <m:dPr>
              <m:begChr m:val="("/>
              <m:sepChr m:val=""/>
              <m:endChr m:val=")"/>
              <m:grow/>
            </m:dPr>
            <m:e>
              <m:f>
                <m:fPr>
                  <m:type m:val="bar"/>
                </m:fPr>
                <m:num>
                  <m:r>
                    <m:t>S</m:t>
                  </m:r>
                </m:num>
                <m:den>
                  <m:r>
                    <m:t>8</m:t>
                  </m:r>
                </m:den>
              </m:f>
              <m:r>
                <m:rPr>
                  <m:sty m:val="p"/>
                </m:rPr>
                <m:t>,</m:t>
              </m:r>
              <m:r>
                <m:t> </m:t>
              </m:r>
              <m:r>
                <m:t>0.3048</m:t>
              </m:r>
              <m:r>
                <m:t> </m:t>
              </m:r>
              <m:r>
                <m:rPr>
                  <m:sty m:val="p"/>
                </m:rPr>
                <m:t>m</m:t>
              </m:r>
            </m:e>
          </m:d>
          <m:r>
            <m:rPr>
              <m:sty m:val="p"/>
            </m:rPr>
            <m:t>.</m:t>
          </m:r>
          <m:r>
            <m:t>  </m:t>
          </m:r>
          <m:r>
            <m:rPr>
              <m:sty m:val="p"/>
            </m:rPr>
            <m:t>(</m:t>
          </m:r>
          <m:r>
            <m:t>4.10</m:t>
          </m:r>
          <m:r>
            <m:rPr>
              <m:sty m:val="p"/>
            </m:rPr>
            <m:t>)</m:t>
          </m:r>
        </m:oMath>
      </m:oMathPara>
      <w:bookmarkEnd w:id="73"/>
    </w:p>
    <w:p>
      <w:pPr>
        <w:pStyle w:val="FirstParagraph"/>
      </w:pPr>
      <w:r>
        <w:t xml:space="preserve">Para</w:t>
      </w:r>
      <w:r>
        <w:t xml:space="preserve"> </w:t>
      </w:r>
      <m:oMath>
        <m:r>
          <m:t>F</m:t>
        </m:r>
        <m:r>
          <m:t>F</m:t>
        </m:r>
      </m:oMath>
      <w:r>
        <w:t xml:space="preserve">,</w:t>
      </w:r>
      <w:r>
        <w:t xml:space="preserve"> </w:t>
      </w:r>
      <m:oMath>
        <m:r>
          <m:t>S</m:t>
        </m:r>
      </m:oMath>
      <w:r>
        <w:t xml:space="preserve"> </w:t>
      </w:r>
      <w:r>
        <w:t xml:space="preserve">se expresa en mm,</w:t>
      </w:r>
      <w:r>
        <w:t xml:space="preserve"> </w:t>
      </w:r>
      <m:oMath>
        <m:r>
          <m:t>E</m:t>
        </m:r>
      </m:oMath>
      <w:r>
        <w:t xml:space="preserve"> </w:t>
      </w:r>
      <w:r>
        <w:t xml:space="preserve">en MPa e</w:t>
      </w:r>
      <w:r>
        <w:t xml:space="preserve"> </w:t>
      </w:r>
      <m:oMath>
        <m:r>
          <m:t>I</m:t>
        </m:r>
      </m:oMath>
      <w:r>
        <w:t xml:space="preserve"> </w:t>
      </w:r>
      <w:r>
        <w:t xml:space="preserve">en mm</w:t>
      </w:r>
      <m:oMath>
        <m:sSup>
          <m:e>
            <m:r>
              <m:t>​</m:t>
            </m:r>
          </m:e>
          <m:sup>
            <m:r>
              <m:t>4</m:t>
            </m:r>
          </m:sup>
        </m:sSup>
      </m:oMath>
      <w:r>
        <w:t xml:space="preserve">/mm; el resultado</w:t>
      </w:r>
      <w:r>
        <w:t xml:space="preserve"> </w:t>
      </w:r>
      <w:r>
        <w:t xml:space="preserve">se obtiene en mm/N</w:t>
      </w:r>
      <w:r>
        <w:t xml:space="preserve"> </w:t>
      </w:r>
      <w:r>
        <w:t xml:space="preserve">(</w:t>
      </w:r>
      <w:hyperlink w:anchor="ref-USACE2020">
        <w:r>
          <w:rPr>
            <w:rStyle w:val="Hyperlink"/>
          </w:rPr>
          <w:t xml:space="preserve">U.S. Army Corps of Engineers 2020</w:t>
        </w:r>
      </w:hyperlink>
      <w:r>
        <w:t xml:space="preserve">, secs. 4.12.4–4.12.5;</w:t>
      </w:r>
      <w:r>
        <w:t xml:space="preserve"> </w:t>
      </w:r>
      <w:hyperlink w:anchor="ref-AndersonEtAl2023">
        <w:r>
          <w:rPr>
            <w:rStyle w:val="Hyperlink"/>
          </w:rPr>
          <w:t xml:space="preserve">Anderson et al. 2023, 133</w:t>
        </w:r>
      </w:hyperlink>
      <w:r>
        <w:t xml:space="preserve">)</w:t>
      </w:r>
      <w:r>
        <w:t xml:space="preserve">. La</w:t>
      </w:r>
      <w:r>
        <w:t xml:space="preserve"> </w:t>
      </w:r>
      <w:hyperlink w:anchor="tbl-liner-aashto-checks">
        <w:r>
          <w:rPr>
            <w:rStyle w:val="Hyperlink"/>
          </w:rPr>
          <w:t xml:space="preserve">tabla 4.5</w:t>
        </w:r>
      </w:hyperlink>
      <w:r>
        <w:t xml:space="preserve"> </w:t>
      </w:r>
      <w:r>
        <w:t xml:space="preserve">presenta la demanda, la resistencia o límite y la</w:t>
      </w:r>
      <w:r>
        <w:t xml:space="preserve"> </w:t>
      </w:r>
      <w:r>
        <w:t xml:space="preserve">relación entre ambas</w:t>
      </w:r>
      <w:r>
        <w:t xml:space="preserve"> </w:t>
      </w:r>
      <w:r>
        <w:t xml:space="preserve">(</w:t>
      </w:r>
      <w:hyperlink w:anchor="ref-USACE2020">
        <w:r>
          <w:rPr>
            <w:rStyle w:val="Hyperlink"/>
          </w:rPr>
          <w:t xml:space="preserve">U.S. Army Corps of Engineers 2020</w:t>
        </w:r>
      </w:hyperlink>
      <w:r>
        <w:t xml:space="preserve">, secs. 4.12.3–4.12.5;</w:t>
      </w:r>
      <w:r>
        <w:t xml:space="preserve"> </w:t>
      </w:r>
      <w:hyperlink w:anchor="ref-AndersonEtAl2023">
        <w:r>
          <w:rPr>
            <w:rStyle w:val="Hyperlink"/>
          </w:rPr>
          <w:t xml:space="preserve">Anderson et al. 2023, 133, 164</w:t>
        </w:r>
      </w:hyperlink>
      <w:r>
        <w:t xml:space="preserve">)</w:t>
      </w:r>
      <w:r>
        <w:t xml:space="preserve">.</w:t>
      </w:r>
    </w:p>
    <w:tbl>
      <w:tblPr>
        <w:tblStyle w:val="Table"/>
        <w:tblLayout w:type="autofit"/>
        <w:tblLook w:firstRow="0" w:lastRow="0" w:firstColumn="0" w:lastColumn="0" w:noHBand="0" w:noVBand="0" w:val="0000"/>
      </w:tblPr>
      <w:tblGrid>
        <w:gridCol w:w="7920"/>
      </w:tblGrid>
      <w:tr>
        <w:tc>
          <w:tcPr/>
          <w:bookmarkStart w:id="74" w:name="tbl-liner-aashto-checks"/>
          <w:p>
            <w:pPr>
              <w:jc w:val="left"/>
              <w:pStyle w:val="ImageCaption"/>
            </w:pPr>
            <w:r>
              <w:t xml:space="preserve">Tabla 4.5: Verificación del liner de acero. Los códigos de</w:t>
            </w:r>
            <w:r>
              <w:t xml:space="preserve"> </w:t>
            </w:r>
            <m:oMath>
              <m:r>
                <m:t>i</m:t>
              </m:r>
            </m:oMath>
            <w:r>
              <w:t xml:space="preserve"> </w:t>
            </w:r>
            <w:r>
              <w:t xml:space="preserve">son:</w:t>
            </w:r>
            <w:r>
              <w:t xml:space="preserve"> </w:t>
            </w:r>
            <w:r>
              <w:rPr>
                <w:rStyle w:val="VerbatimChar"/>
              </w:rPr>
              <w:t xml:space="preserve">A</w:t>
            </w:r>
            <w:r>
              <w:t xml:space="preserve">, fluencia de pared;</w:t>
            </w:r>
            <w:r>
              <w:t xml:space="preserve"> </w:t>
            </w:r>
            <w:r>
              <w:rPr>
                <w:rStyle w:val="VerbatimChar"/>
              </w:rPr>
              <w:t xml:space="preserve">B</w:t>
            </w:r>
            <w:r>
              <w:t xml:space="preserve">, pandeo de pared;</w:t>
            </w:r>
            <w:r>
              <w:t xml:space="preserve"> </w:t>
            </w:r>
            <w:r>
              <w:rPr>
                <w:rStyle w:val="VerbatimChar"/>
              </w:rPr>
              <w:t xml:space="preserve">C</w:t>
            </w:r>
            <w:r>
              <w:t xml:space="preserve">, costura;</w:t>
            </w:r>
            <w:r>
              <w:t xml:space="preserve"> </w:t>
            </w:r>
            <w:r>
              <w:rPr>
                <w:rStyle w:val="VerbatimChar"/>
              </w:rPr>
              <w:t xml:space="preserve">D</w:t>
            </w:r>
            <w:r>
              <w:t xml:space="preserve">, flexibilidad; y</w:t>
            </w:r>
            <w:r>
              <w:t xml:space="preserve"> </w:t>
            </w:r>
            <w:r>
              <w:rPr>
                <w:rStyle w:val="VerbatimChar"/>
              </w:rPr>
              <w:t xml:space="preserve">E</w:t>
            </w:r>
            <w:r>
              <w:t xml:space="preserve">, tapada mínima.</w:t>
            </w:r>
            <w:r>
              <w:t xml:space="preserve"> </w:t>
            </w:r>
            <m:oMath>
              <m:r>
                <m:t>D</m:t>
              </m:r>
            </m:oMath>
            <w:r>
              <w:t xml:space="preserve"> </w:t>
            </w:r>
            <w:r>
              <w:t xml:space="preserve">es la demanda o el valor calculado,</w:t>
            </w:r>
            <w:r>
              <w:t xml:space="preserve"> </w:t>
            </w:r>
            <m:oMath>
              <m:r>
                <m:t>R</m:t>
              </m:r>
            </m:oMath>
            <w:r>
              <w:t xml:space="preserve"> </w:t>
            </w:r>
            <w:r>
              <w:t xml:space="preserve">la resistencia o el límite,</w:t>
            </w:r>
            <w:r>
              <w:t xml:space="preserve"> </w:t>
            </w:r>
            <m:oMath>
              <m:r>
                <m:t>U</m:t>
              </m:r>
              <m:r>
                <m:rPr>
                  <m:sty m:val="p"/>
                </m:rPr>
                <m:t>=</m:t>
              </m:r>
              <m:r>
                <m:t>D</m:t>
              </m:r>
              <m:r>
                <m:rPr>
                  <m:sty m:val="p"/>
                </m:rPr>
                <m:t>/</m:t>
              </m:r>
              <m:r>
                <m:t>R</m:t>
              </m:r>
            </m:oMath>
            <w:r>
              <w:t xml:space="preserve"> </w:t>
            </w:r>
            <w:r>
              <w:t xml:space="preserve">y</w:t>
            </w:r>
            <w:r>
              <w:t xml:space="preserve"> </w:t>
            </w:r>
            <m:oMath>
              <m:r>
                <m:t>u</m:t>
              </m:r>
            </m:oMath>
            <w:r>
              <w:t xml:space="preserve"> </w:t>
            </w:r>
            <w:r>
              <w:t xml:space="preserve">la unidad. El estado</w:t>
            </w:r>
            <w:r>
              <w:t xml:space="preserve"> </w:t>
            </w:r>
            <m:oMath>
              <m:r>
                <m:t>E</m:t>
              </m:r>
            </m:oMath>
            <w:r>
              <w:t xml:space="preserve"> </w:t>
            </w:r>
            <w:r>
              <w:t xml:space="preserve">es</w:t>
            </w:r>
            <w:r>
              <w:t xml:space="preserve"> </w:t>
            </w:r>
            <w:r>
              <w:rPr>
                <w:rStyle w:val="VerbatimChar"/>
              </w:rPr>
              <w:t xml:space="preserve">OK</w:t>
            </w:r>
            <w:r>
              <w:t xml:space="preserve"> </w:t>
            </w:r>
            <w:r>
              <w:t xml:space="preserve">para</w:t>
            </w:r>
            <w:r>
              <w:t xml:space="preserve"> </w:t>
            </w:r>
            <m:oMath>
              <m:r>
                <m:t>U</m:t>
              </m:r>
              <m:r>
                <m:rPr>
                  <m:sty m:val="p"/>
                </m:rPr>
                <m:t>≤</m:t>
              </m:r>
              <m:r>
                <m:t>1</m:t>
              </m:r>
            </m:oMath>
            <w:r>
              <w:t xml:space="preserve">,</w:t>
            </w:r>
            <w:r>
              <w:t xml:space="preserve"> </w:t>
            </w:r>
            <w:r>
              <w:rPr>
                <w:rStyle w:val="VerbatimChar"/>
              </w:rPr>
              <w:t xml:space="preserve">FAIL</w:t>
            </w:r>
            <w:r>
              <w:t xml:space="preserve"> </w:t>
            </w:r>
            <w:r>
              <w:t xml:space="preserve">para</w:t>
            </w:r>
            <w:r>
              <w:t xml:space="preserve"> </w:t>
            </w:r>
            <m:oMath>
              <m:r>
                <m:t>U</m:t>
              </m:r>
              <m:r>
                <m:rPr>
                  <m:sty m:val="p"/>
                </m:rPr>
                <m:t>&gt;</m:t>
              </m:r>
              <m:r>
                <m:t>1</m:t>
              </m:r>
            </m:oMath>
            <w:r>
              <w:t xml:space="preserve"> </w:t>
            </w:r>
            <w:r>
              <w:t xml:space="preserve">y</w:t>
            </w:r>
            <w:r>
              <w:t xml:space="preserve"> </w:t>
            </w:r>
            <w:r>
              <w:rPr>
                <w:rStyle w:val="VerbatimChar"/>
              </w:rPr>
              <w:t xml:space="preserve">N/A</w:t>
            </w:r>
            <w:r>
              <w:t xml:space="preserve"> </w:t>
            </w:r>
            <w:r>
              <w:t xml:space="preserve">cuando no fue evaluado. La costura utiliza la resistencia publicada para una unión doble de la familia de perfil adoptada; la inspección determinará la resistencia aplicable a la unión existente.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D</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R</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U=D</m:t>
                    </m:r>
                    <m:r>
                      <m:rPr>
                        <m:sty m:val="p"/>
                      </m:rPr>
                      <m:t>/</m:t>
                    </m:r>
                    <m:r>
                      <m:t>R</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u</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933.4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0.554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mm/N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bl>
          <w:bookmarkEnd w:id="74"/>
          <w:p/>
        </w:tc>
      </w:tr>
    </w:tbl>
    <w:p>
      <w:pPr>
        <w:pStyle w:val="BodyText"/>
      </w:pPr>
      <w:r>
        <w:t xml:space="preserve">La tabla identifica las comparaciones que exceden los límites adoptados.</w:t>
      </w:r>
      <w:r>
        <w:t xml:space="preserve"> </w:t>
      </w:r>
      <w:r>
        <w:t xml:space="preserve">La fuerza circunferencial de diseño es</w:t>
      </w:r>
      <w:r>
        <w:t xml:space="preserve"> </w:t>
      </w:r>
      <w:r>
        <w:t xml:space="preserve">517.3</w:t>
      </w:r>
      <w:r>
        <w:t xml:space="preserve"> </w:t>
      </w:r>
      <w:r>
        <w:t xml:space="preserve">kN/m. Para la costura se obtiene esa demanda frente a una resistencia de</w:t>
      </w:r>
      <w:r>
        <w:t xml:space="preserve"> </w:t>
      </w:r>
      <w:r>
        <w:t xml:space="preserve">referencia factorizada de</w:t>
      </w:r>
      <w:r>
        <w:t xml:space="preserve"> </w:t>
      </w:r>
      <w:r>
        <w:t xml:space="preserve">515.2 kN/m y</w:t>
      </w:r>
      <w:r>
        <w:t xml:space="preserve"> </w:t>
      </w:r>
      <w:r>
        <w:t xml:space="preserve">una utilización de</w:t>
      </w:r>
      <w:r>
        <w:t xml:space="preserve"> </w:t>
      </w:r>
      <w:r>
        <w:t xml:space="preserve">1.004. Con</w:t>
      </w:r>
      <w:r>
        <w:t xml:space="preserve"> </w:t>
      </w:r>
      <w:r>
        <w:t xml:space="preserve">pérdida nula de diámetro, la igualdad entre demanda y resistencia se alcanzaría</w:t>
      </w:r>
      <w:r>
        <w:t xml:space="preserve"> </w:t>
      </w:r>
      <w:r>
        <w:t xml:space="preserve">alrededor de una pérdida de</w:t>
      </w:r>
      <w:r>
        <w:t xml:space="preserve"> </w:t>
      </w:r>
      <w:r>
        <w:t xml:space="preserve">0 %.</w:t>
      </w:r>
      <w:r>
        <w:t xml:space="preserve"> </w:t>
      </w:r>
      <w:r>
        <w:t xml:space="preserve">Esta sensibilidad cuantifica el efecto de la pérdida de diámetro de los pernos.</w:t>
      </w:r>
      <w:r>
        <w:t xml:space="preserve"> </w:t>
      </w:r>
      <w:r>
        <w:t xml:space="preserve">La resistencia publicada corresponde a una costura doble de la familia de</w:t>
      </w:r>
      <w:r>
        <w:t xml:space="preserve"> </w:t>
      </w:r>
      <w:r>
        <w:t xml:space="preserve">perfil adoptada</w:t>
      </w:r>
      <w:r>
        <w:t xml:space="preserve"> </w:t>
      </w:r>
      <w:r>
        <w:t xml:space="preserve">(</w:t>
      </w:r>
      <w:hyperlink w:anchor="ref-CSPIHandbookChapter6">
        <w:r>
          <w:rPr>
            <w:rStyle w:val="Hyperlink"/>
          </w:rPr>
          <w:t xml:space="preserve">Corrugated Steel Pipe Institute, s. f.-b</w:t>
        </w:r>
      </w:hyperlink>
      <w:r>
        <w:t xml:space="preserve">;</w:t>
      </w:r>
      <w:r>
        <w:t xml:space="preserve"> </w:t>
      </w:r>
      <w:hyperlink w:anchor="ref-CIRSOC8044">
        <w:r>
          <w:rPr>
            <w:rStyle w:val="Hyperlink"/>
          </w:rPr>
          <w:t xml:space="preserve">INTI-CIRSOC 2023</w:t>
        </w:r>
      </w:hyperlink>
      <w:r>
        <w:t xml:space="preserve">)</w:t>
      </w:r>
      <w:r>
        <w:t xml:space="preserve">. La inspección identificará</w:t>
      </w:r>
      <w:r>
        <w:t xml:space="preserve"> </w:t>
      </w:r>
      <w:r>
        <w:t xml:space="preserve">la configuración de la unión existente y permitirá establecer su</w:t>
      </w:r>
      <w:r>
        <w:t xml:space="preserve"> </w:t>
      </w:r>
      <w:r>
        <w:t xml:space="preserve">correspondencia con esa referencia.</w:t>
      </w:r>
    </w:p>
    <w:p>
      <w:pPr>
        <w:pStyle w:val="BodyText"/>
      </w:pPr>
      <w:r>
        <w:t xml:space="preserve">En síntesis, las resultantes angulares del modelo híbrido describen la demanda</w:t>
      </w:r>
      <w:r>
        <w:t xml:space="preserve"> </w:t>
      </w:r>
      <w:r>
        <w:t xml:space="preserve">estructural del anillo y la rama AASHTO/USACE compara el empuje circunferencial</w:t>
      </w:r>
      <w:r>
        <w:t xml:space="preserve"> </w:t>
      </w:r>
      <w:r>
        <w:t xml:space="preserve">escalar con los cinco límites de referencia de la</w:t>
      </w:r>
      <w:r>
        <w:t xml:space="preserve"> </w:t>
      </w:r>
      <w:hyperlink w:anchor="tbl-liner-aashto-checks">
        <w:r>
          <w:rPr>
            <w:rStyle w:val="Hyperlink"/>
          </w:rPr>
          <w:t xml:space="preserve">tabla 4.5</w:t>
        </w:r>
      </w:hyperlink>
      <w:r>
        <w:t xml:space="preserve">.</w:t>
      </w:r>
      <w:r>
        <w:t xml:space="preserve"> </w:t>
      </w:r>
      <w:r>
        <w:t xml:space="preserve">Las comparaciones de fluencia, pandeo, flexibilidad y tapada mínima satisfacen sus límites; la costura de referencia no satisface.</w:t>
      </w:r>
      <w:r>
        <w:t xml:space="preserve"> </w:t>
      </w:r>
      <w:r>
        <w:t xml:space="preserve">El resultado depende directamente del espesor remanente, de las propiedades</w:t>
      </w:r>
      <w:r>
        <w:t xml:space="preserve"> </w:t>
      </w:r>
      <w:r>
        <w:t xml:space="preserve">del acero y de la configuración resistente de la unión; la inspección debe</w:t>
      </w:r>
      <w:r>
        <w:t xml:space="preserve"> </w:t>
      </w:r>
      <w:r>
        <w:t xml:space="preserve">establecer esos valores para la evaluación definitiva del liner existente.</w:t>
      </w:r>
    </w:p>
    <w:bookmarkEnd w:id="75"/>
    <w:bookmarkStart w:id="117" w:name="sec-calculation-concrete"/>
    <w:p>
      <w:pPr>
        <w:pStyle w:val="Heading1"/>
      </w:pPr>
      <w:r>
        <w:t xml:space="preserve">Verificación del liner de shotcrete</w:t>
      </w:r>
    </w:p>
    <w:p>
      <w:pPr>
        <w:pStyle w:val="FirstParagraph"/>
      </w:pPr>
      <w:r>
        <w:t xml:space="preserve">Este capítulo evalúa el shotcrete como revestimiento estructural independiente</w:t>
      </w:r>
      <w:r>
        <w:t xml:space="preserve"> </w:t>
      </w:r>
      <w:r>
        <w:t xml:space="preserve">de la chapa. Para las secciones de 100 y 150 mm comprueba la respuesta del</w:t>
      </w:r>
      <w:r>
        <w:t xml:space="preserve"> </w:t>
      </w:r>
      <w:r>
        <w:t xml:space="preserve">hormigón simple y compara familias resistentes P–M</w:t>
      </w:r>
      <w:r>
        <w:t xml:space="preserve"> </w:t>
      </w:r>
      <w:r>
        <w:t xml:space="preserve">con mallas Ø8/150, Ø10/150 y Ø12/150 en ambas caras, además del caso compuesto</w:t>
      </w:r>
      <w:r>
        <w:t xml:space="preserve"> </w:t>
      </w:r>
      <w:r>
        <w:t xml:space="preserve">con chapa exterior y malla interior. El objetivo es determinar, sin adoptar</w:t>
      </w:r>
      <w:r>
        <w:t xml:space="preserve"> </w:t>
      </w:r>
      <w:r>
        <w:t xml:space="preserve">una armadura final, qué configuraciones satisfacen por separado la</w:t>
      </w:r>
      <w:r>
        <w:t xml:space="preserve"> </w:t>
      </w:r>
      <w:r>
        <w:t xml:space="preserve">flexocompresión, el corte unidireccional y el desprendimiento radial.</w:t>
      </w:r>
    </w:p>
    <w:bookmarkStart w:id="93" w:name="alternativa-de-hormigón-simple"/>
    <w:p>
      <w:pPr>
        <w:pStyle w:val="Heading2"/>
      </w:pPr>
      <w:r>
        <w:t xml:space="preserve">Alternativa de hormigón simple</w:t>
      </w:r>
    </w:p>
    <w:p>
      <w:pPr>
        <w:pStyle w:val="FirstParagraph"/>
      </w:pPr>
      <w:r>
        <w:t xml:space="preserve">Las alternativas de hormigón proyectado simple se calculan como revestimientos</w:t>
      </w:r>
      <w:r>
        <w:t xml:space="preserve"> </w:t>
      </w:r>
      <w:r>
        <w:t xml:space="preserve">independientes de la chapa, con espesores de</w:t>
      </w:r>
      <w:r>
        <w:t xml:space="preserve"> </w:t>
      </w:r>
      <w:r>
        <w:t xml:space="preserve">100</w:t>
      </w:r>
      <w:r>
        <w:t xml:space="preserve"> </w:t>
      </w:r>
      <w:r>
        <w:t xml:space="preserve">y</w:t>
      </w:r>
      <w:r>
        <w:t xml:space="preserve"> </w:t>
      </w:r>
      <w:r>
        <w:t xml:space="preserve">150</w:t>
      </w:r>
      <w:r>
        <w:t xml:space="preserve"> </w:t>
      </w:r>
      <w:r>
        <w:t xml:space="preserve">mm y una resistencia especificada</w:t>
      </w:r>
      <w:r>
        <w:t xml:space="preserve"> </w:t>
      </w:r>
      <m:oMath>
        <m:sSubSup>
          <m:e>
            <m:r>
              <m:t>f</m:t>
            </m:r>
          </m:e>
          <m:sub>
            <m:r>
              <m:t>c</m:t>
            </m:r>
          </m:sub>
          <m:sup>
            <m:r>
              <m:rPr>
                <m:sty m:val="p"/>
              </m:rPr>
              <m:t>′</m:t>
            </m:r>
          </m:sup>
        </m:sSubSup>
        <m:r>
          <m:rPr>
            <m:sty m:val="p"/>
          </m:rPr>
          <m:t>=</m:t>
        </m:r>
        <m:r>
          <m:t>30</m:t>
        </m:r>
      </m:oMath>
      <w:r>
        <w:t xml:space="preserve"> </w:t>
      </w:r>
      <w:r>
        <w:t xml:space="preserve">MPa. Cada espesor se analiza con su propio radio baricéntrico y sus propias</w:t>
      </w:r>
      <w:r>
        <w:t xml:space="preserve"> </w:t>
      </w:r>
      <w:r>
        <w:t xml:space="preserve">rigideces.</w:t>
      </w:r>
      <w:r>
        <w:t xml:space="preserve"> </w:t>
      </w:r>
      <w:r>
        <w:t xml:space="preserve">Para el análisis elástico de corto plazo se adopta hormigón de peso normal, con</w:t>
      </w:r>
    </w:p>
    <w:p>
      <w:pPr>
        <w:pStyle w:val="BodyText"/>
      </w:pPr>
      <w:bookmarkStart w:id="76" w:name="eq-calculation-shotcrete-modulus"/>
      <m:oMathPara>
        <m:oMathParaPr>
          <m:jc m:val="center"/>
        </m:oMathParaPr>
        <m:oMath>
          <m:sSub>
            <m:e>
              <m:r>
                <m:t>E</m:t>
              </m:r>
            </m:e>
            <m:sub>
              <m:r>
                <m:t>c</m:t>
              </m:r>
            </m:sub>
          </m:sSub>
          <m:r>
            <m:rPr>
              <m:sty m:val="p"/>
            </m:rPr>
            <m:t>=</m:t>
          </m:r>
          <m:r>
            <m:t>4700</m:t>
          </m:r>
          <m:rad>
            <m:radPr>
              <m:degHide m:val="on"/>
            </m:radPr>
            <m:deg/>
            <m:e>
              <m:sSubSup>
                <m:e>
                  <m:r>
                    <m:t>f</m:t>
                  </m:r>
                </m:e>
                <m:sub>
                  <m:r>
                    <m:t>c</m:t>
                  </m:r>
                </m:sub>
                <m:sup>
                  <m:r>
                    <m:rPr>
                      <m:sty m:val="p"/>
                    </m:rPr>
                    <m:t>′</m:t>
                  </m:r>
                </m:sup>
              </m:sSubSup>
            </m:e>
          </m:rad>
          <m:r>
            <m:rPr>
              <m:sty m:val="p"/>
            </m:rPr>
            <m:t>=</m:t>
          </m:r>
          <m:r>
            <m:t>25743</m:t>
          </m:r>
          <m:r>
            <m:t> </m:t>
          </m:r>
          <m:r>
            <m:rPr>
              <m:sty m:val="p"/>
            </m:rPr>
            <m:t>M</m:t>
          </m:r>
          <m:r>
            <m:rPr>
              <m:sty m:val="p"/>
            </m:rPr>
            <m:t>P</m:t>
          </m:r>
          <m:r>
            <m:rPr>
              <m:sty m:val="p"/>
            </m:rPr>
            <m:t>a</m:t>
          </m:r>
          <m:r>
            <m:rPr>
              <m:sty m:val="p"/>
            </m:rPr>
            <m:t>,</m:t>
          </m:r>
          <m:r>
            <m:t>  </m:t>
          </m:r>
          <m:sSub>
            <m:e>
              <m:r>
                <m:t>ν</m:t>
              </m:r>
            </m:e>
            <m:sub>
              <m:r>
                <m:t>c</m:t>
              </m:r>
            </m:sub>
          </m:sSub>
          <m:r>
            <m:rPr>
              <m:sty m:val="p"/>
            </m:rPr>
            <m:t>=</m:t>
          </m:r>
          <m:r>
            <m:t>0.2</m:t>
          </m:r>
          <m:r>
            <m:rPr>
              <m:sty m:val="p"/>
            </m:rPr>
            <m:t>.</m:t>
          </m:r>
          <m:r>
            <m:t>  </m:t>
          </m:r>
          <m:r>
            <m:rPr>
              <m:sty m:val="p"/>
            </m:rPr>
            <m:t>(</m:t>
          </m:r>
          <m:r>
            <m:t>5.1</m:t>
          </m:r>
          <m:r>
            <m:rPr>
              <m:sty m:val="p"/>
            </m:rPr>
            <m:t>)</m:t>
          </m:r>
        </m:oMath>
      </m:oMathPara>
      <w:bookmarkEnd w:id="76"/>
    </w:p>
    <w:p>
      <w:pPr>
        <w:pStyle w:val="FirstParagraph"/>
      </w:pPr>
      <w:r>
        <w:t xml:space="preserve">Las secciones conservan el área axial bruta y adoptan</w:t>
      </w:r>
      <w:r>
        <w:t xml:space="preserve"> </w:t>
      </w:r>
      <m:oMath>
        <m:sSub>
          <m:e>
            <m:r>
              <m:t>I</m:t>
            </m:r>
          </m:e>
          <m:sub>
            <m:r>
              <m:t>e</m:t>
            </m:r>
          </m:sub>
        </m:sSub>
        <m:r>
          <m:rPr>
            <m:sty m:val="p"/>
          </m:rPr>
          <m:t>=</m:t>
        </m:r>
        <m:r>
          <m:t>0.35</m:t>
        </m:r>
        <m:sSub>
          <m:e>
            <m:r>
              <m:t>I</m:t>
            </m:r>
          </m:e>
          <m:sub>
            <m:r>
              <m:t>g</m:t>
            </m:r>
          </m:sub>
        </m:sSub>
      </m:oMath>
      <w:r>
        <w:t xml:space="preserve"> </w:t>
      </w:r>
      <w:r>
        <w:t xml:space="preserve">para la</w:t>
      </w:r>
      <w:r>
        <w:t xml:space="preserve"> </w:t>
      </w:r>
      <w:r>
        <w:t xml:space="preserve">flexión. Las rigideces resultantes son</w:t>
      </w:r>
    </w:p>
    <w:p>
      <w:pPr>
        <w:pStyle w:val="BodyText"/>
      </w:pPr>
      <m:oMathPara>
        <m:oMathParaPr>
          <m:jc m:val="center"/>
        </m:oMathParaPr>
        <m:oMath>
          <m:r>
            <m:t>E</m:t>
          </m:r>
          <m:sSub>
            <m:e>
              <m:r>
                <m:t>A</m:t>
              </m:r>
            </m:e>
            <m:sub>
              <m:r>
                <m:t>100</m:t>
              </m:r>
            </m:sub>
          </m:sSub>
          <m:r>
            <m:rPr>
              <m:sty m:val="p"/>
            </m:rPr>
            <m:t>=</m:t>
          </m:r>
          <m:r>
            <m:t>2574296.0</m:t>
          </m:r>
          <m:r>
            <m:t> </m:t>
          </m:r>
          <m:r>
            <m:rPr>
              <m:sty m:val="p"/>
            </m:rPr>
            <m:t>k</m:t>
          </m:r>
          <m:r>
            <m:rPr>
              <m:sty m:val="p"/>
            </m:rPr>
            <m:t>N</m:t>
          </m:r>
          <m:r>
            <m:rPr>
              <m:sty m:val="p"/>
            </m:rPr>
            <m:t>/</m:t>
          </m:r>
          <m:r>
            <m:rPr>
              <m:sty m:val="p"/>
            </m:rPr>
            <m:t>m</m:t>
          </m:r>
          <m:r>
            <m:rPr>
              <m:sty m:val="p"/>
            </m:rPr>
            <m:t>,</m:t>
          </m:r>
          <m:r>
            <m:t>  </m:t>
          </m:r>
          <m:r>
            <m:t>E</m:t>
          </m:r>
          <m:sSub>
            <m:e>
              <m:r>
                <m:t>I</m:t>
              </m:r>
            </m:e>
            <m:sub>
              <m:r>
                <m:t>100</m:t>
              </m:r>
            </m:sub>
          </m:sSub>
          <m:r>
            <m:rPr>
              <m:sty m:val="p"/>
            </m:rPr>
            <m:t>=</m:t>
          </m:r>
          <m:r>
            <m:t>750.8</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oMath>
      </m:oMathPara>
    </w:p>
    <w:p>
      <w:pPr>
        <w:pStyle w:val="FirstParagraph"/>
      </w:pPr>
      <w:bookmarkStart w:id="77" w:name="eq-calculation-shotcrete-rigidities"/>
      <m:oMathPara>
        <m:oMathParaPr>
          <m:jc m:val="center"/>
        </m:oMathParaPr>
        <m:oMath>
          <m:r>
            <m:t>E</m:t>
          </m:r>
          <m:sSub>
            <m:e>
              <m:r>
                <m:t>A</m:t>
              </m:r>
            </m:e>
            <m:sub>
              <m:r>
                <m:t>150</m:t>
              </m:r>
            </m:sub>
          </m:sSub>
          <m:r>
            <m:rPr>
              <m:sty m:val="p"/>
            </m:rPr>
            <m:t>=</m:t>
          </m:r>
          <m:r>
            <m:t>3861444.0</m:t>
          </m:r>
          <m:r>
            <m:t> </m:t>
          </m:r>
          <m:r>
            <m:rPr>
              <m:sty m:val="p"/>
            </m:rPr>
            <m:t>k</m:t>
          </m:r>
          <m:r>
            <m:rPr>
              <m:sty m:val="p"/>
            </m:rPr>
            <m:t>N</m:t>
          </m:r>
          <m:r>
            <m:rPr>
              <m:sty m:val="p"/>
            </m:rPr>
            <m:t>/</m:t>
          </m:r>
          <m:r>
            <m:rPr>
              <m:sty m:val="p"/>
            </m:rPr>
            <m:t>m</m:t>
          </m:r>
          <m:r>
            <m:rPr>
              <m:sty m:val="p"/>
            </m:rPr>
            <m:t>,</m:t>
          </m:r>
          <m:r>
            <m:t>  </m:t>
          </m:r>
          <m:r>
            <m:t>E</m:t>
          </m:r>
          <m:sSub>
            <m:e>
              <m:r>
                <m:t>I</m:t>
              </m:r>
            </m:e>
            <m:sub>
              <m:r>
                <m:t>150</m:t>
              </m:r>
            </m:sub>
          </m:sSub>
          <m:r>
            <m:rPr>
              <m:sty m:val="p"/>
            </m:rPr>
            <m:t>=</m:t>
          </m:r>
          <m:r>
            <m:t>2534.1</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r>
            <m:t>  </m:t>
          </m:r>
          <m:r>
            <m:rPr>
              <m:sty m:val="p"/>
            </m:rPr>
            <m:t>(</m:t>
          </m:r>
          <m:r>
            <m:t>5.2</m:t>
          </m:r>
          <m:r>
            <m:rPr>
              <m:sty m:val="p"/>
            </m:rPr>
            <m:t>)</m:t>
          </m:r>
        </m:oMath>
      </m:oMathPara>
      <w:bookmarkEnd w:id="77"/>
    </w:p>
    <w:p>
      <w:pPr>
        <w:pStyle w:val="FirstParagraph"/>
      </w:pPr>
      <w:r>
        <w:t xml:space="preserve">La</w:t>
      </w:r>
      <w:r>
        <w:t xml:space="preserve"> </w:t>
      </w:r>
      <w:hyperlink w:anchor="X32bf5f91d2c7ee0dfceb8cb545218de3a003f71">
        <w:r>
          <w:rPr>
            <w:rStyle w:val="Hyperlink"/>
          </w:rPr>
          <w:t xml:space="preserve">tabla 5.1</w:t>
        </w:r>
      </w:hyperlink>
      <w:r>
        <w:t xml:space="preserve"> </w:t>
      </w:r>
      <w:r>
        <w:t xml:space="preserve">reúne las razones de rigidez y</w:t>
      </w:r>
      <w:r>
        <w:t xml:space="preserve"> </w:t>
      </w:r>
      <w:r>
        <w:t xml:space="preserve">las amplitudes de Schwartz–Einstein de esta alternativa; la</w:t>
      </w:r>
      <w:r>
        <w:t xml:space="preserve"> </w:t>
      </w:r>
      <w:hyperlink w:anchor="tbl-liner-rehabilitation-plain-extrema">
        <w:r>
          <w:rPr>
            <w:rStyle w:val="Hyperlink"/>
          </w:rPr>
          <w:t xml:space="preserve">tabla 5.2</w:t>
        </w:r>
      </w:hyperlink>
      <w:r>
        <w:t xml:space="preserve"> </w:t>
      </w:r>
      <w:r>
        <w:t xml:space="preserve">presenta sus extremos para factores de</w:t>
      </w:r>
      <w:r>
        <w:t xml:space="preserve"> </w:t>
      </w:r>
      <w:r>
        <w:t xml:space="preserve">carga unitarios.</w:t>
      </w:r>
    </w:p>
    <w:tbl>
      <w:tblPr>
        <w:tblStyle w:val="Table"/>
        <w:tblLayout w:type="autofit"/>
        <w:tblLook w:firstRow="0" w:lastRow="0" w:firstColumn="0" w:lastColumn="0" w:noHBand="0" w:noVBand="0" w:val="0000"/>
      </w:tblPr>
      <w:tblGrid>
        <w:gridCol w:w="7920"/>
      </w:tblGrid>
      <w:tr>
        <w:tc>
          <w:tcPr/>
          <w:bookmarkStart w:id="78" w:name="X32bf5f91d2c7ee0dfceb8cb545218de3a003f71"/>
          <w:p>
            <w:pPr>
              <w:jc w:val="left"/>
              <w:pStyle w:val="ImageCaption"/>
            </w:pPr>
            <w:r>
              <w:t xml:space="preserve">Tabla 5.1: Razones de rigidez, coeficientes y amplitudes de la solución de carga externa de Schwartz–Einstein para el hormigón proyectado simple.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 Los dos límites se recalculan con el radio y las rigideces de esta alternativa.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C</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F</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0</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Q</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0.0151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1.0793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0.0338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0.0338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1.0793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0.3363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r>
          </w:tbl>
          <w:bookmarkEnd w:id="78"/>
          <w:p/>
        </w:tc>
      </w:tr>
    </w:tbl>
    <w:tbl>
      <w:tblPr>
        <w:tblStyle w:val="Table"/>
        <w:tblLayout w:type="autofit"/>
        <w:tblLook w:firstRow="0" w:lastRow="0" w:firstColumn="0" w:lastColumn="0" w:noHBand="0" w:noVBand="0" w:val="0000"/>
      </w:tblPr>
      <w:tblGrid>
        <w:gridCol w:w="7920"/>
      </w:tblGrid>
      <w:tr>
        <w:tc>
          <w:tcPr/>
          <w:bookmarkStart w:id="79" w:name="tbl-liner-rehabilitation-plain-extrema"/>
          <w:p>
            <w:pPr>
              <w:jc w:val="left"/>
              <w:pStyle w:val="ImageCaption"/>
            </w:pPr>
            <w:r>
              <w:t xml:space="preserve">Tabla 5.2: Extremos de las resultantes del modelo híbrido para el hormigón proyectado simple.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r>
                <m:t>X</m:t>
              </m:r>
            </m:oMath>
            <w:r>
              <w:t xml:space="preserve"> </w:t>
            </w:r>
            <w:r>
              <w:t xml:space="preserve">identifica</w:t>
            </w:r>
            <w:r>
              <w:t xml:space="preserve"> </w:t>
            </w:r>
            <m:oMath>
              <m:sSub>
                <m:e>
                  <m:r>
                    <m:t>N</m:t>
                  </m:r>
                </m:e>
                <m:sub>
                  <m:r>
                    <m:t>θ</m:t>
                  </m:r>
                </m:sub>
              </m:sSub>
            </m:oMath>
            <w:r>
              <w:t xml:space="preserve">,</w:t>
            </w:r>
            <w:r>
              <w:t xml:space="preserve"> </w:t>
            </w:r>
            <m:oMath>
              <m:sSub>
                <m:e>
                  <m:r>
                    <m:t>M</m:t>
                  </m:r>
                </m:e>
                <m:sub>
                  <m:r>
                    <m:t>θ</m:t>
                  </m:r>
                </m:sub>
              </m:sSub>
            </m:oMath>
            <w:r>
              <w:t xml:space="preserve"> </w:t>
            </w:r>
            <w:r>
              <w:t xml:space="preserve">o</w:t>
            </w:r>
            <w:r>
              <w:t xml:space="preserve"> </w:t>
            </w:r>
            <m:oMath>
              <m:sSub>
                <m:e>
                  <m:r>
                    <m:t>Q</m:t>
                  </m:r>
                </m:e>
                <m:sub>
                  <m:r>
                    <m:t>θ</m:t>
                  </m:r>
                </m:sub>
              </m:sSub>
            </m:oMath>
            <w:r>
              <w:t xml:space="preserve">;</w:t>
            </w:r>
            <w:r>
              <w:t xml:space="preserve"> </w:t>
            </w:r>
            <m:oMath>
              <m:sSub>
                <m:e>
                  <m:r>
                    <m:t>θ</m:t>
                  </m:r>
                </m:e>
                <m:sub>
                  <m:r>
                    <m:rPr>
                      <m:sty m:val="p"/>
                    </m:rPr>
                    <m:t>*</m:t>
                  </m:r>
                </m:sub>
              </m:sSub>
            </m:oMath>
            <w:r>
              <w:t xml:space="preserve"> </w:t>
            </w:r>
            <w:r>
              <w:t xml:space="preserve">es la posición del máximo absoluto. Los ángulos se miden desde la clave en sentido horario;</w:t>
            </w:r>
            <w:r>
              <w:t xml:space="preserve"> </w:t>
            </w:r>
            <m:oMath>
              <m:sSub>
                <m:e>
                  <m:r>
                    <m:t>u</m:t>
                  </m:r>
                </m:e>
                <m:sub>
                  <m:r>
                    <m:t>X</m:t>
                  </m:r>
                </m:sub>
              </m:sSub>
            </m:oMath>
            <w:r>
              <w:t xml:space="preserve"> </w:t>
            </w:r>
            <w:r>
              <w:t xml:space="preserve">indica kN/m para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y kN·m/m para</w:t>
            </w:r>
            <w:r>
              <w:t xml:space="preserve"> </w:t>
            </w:r>
            <m:oMath>
              <m:sSub>
                <m:e>
                  <m:r>
                    <m:t>M</m:t>
                  </m:r>
                </m:e>
                <m:sub>
                  <m:r>
                    <m:t>θ</m:t>
                  </m:r>
                </m:sub>
              </m:sSub>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sSub>
                      <m:e>
                        <m: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93.0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93.0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bl>
          <w:bookmarkEnd w:id="79"/>
          <w:p/>
        </w:tc>
      </w:tr>
    </w:tbl>
    <w:p>
      <w:pPr>
        <w:pStyle w:val="BodyText"/>
      </w:pPr>
      <w:r>
        <w:t xml:space="preserve">Para Slip (S), los máximos absolutos calculados son</w:t>
      </w:r>
      <w:r>
        <w:t xml:space="preserve"> </w:t>
      </w:r>
      <w:r>
        <w:t xml:space="preserve">305.8</w:t>
      </w:r>
      <w:r>
        <w:t xml:space="preserve"> </w:t>
      </w:r>
      <w:r>
        <w:t xml:space="preserve">kN/m de fuerza circunferencial,</w:t>
      </w:r>
      <w:r>
        <w:t xml:space="preserve"> </w:t>
      </w:r>
      <w:r>
        <w:t xml:space="preserve">12.6</w:t>
      </w:r>
      <w:r>
        <w:t xml:space="preserve"> </w:t>
      </w:r>
      <w:r>
        <w:t xml:space="preserve">kN·m/m de momento y</w:t>
      </w:r>
      <w:r>
        <w:t xml:space="preserve"> </w:t>
      </w:r>
      <w:r>
        <w:t xml:space="preserve">20.1</w:t>
      </w:r>
      <w:r>
        <w:t xml:space="preserve"> </w:t>
      </w:r>
      <w:r>
        <w:t xml:space="preserve">kN/m de corte. Para No Slip (NS), los máximos</w:t>
      </w:r>
      <w:r>
        <w:t xml:space="preserve"> </w:t>
      </w:r>
      <w:r>
        <w:t xml:space="preserve">son</w:t>
      </w:r>
      <w:r>
        <w:t xml:space="preserve"> </w:t>
      </w:r>
      <w:r>
        <w:t xml:space="preserve">388.8</w:t>
      </w:r>
      <w:r>
        <w:t xml:space="preserve"> </w:t>
      </w:r>
      <w:r>
        <w:t xml:space="preserve">kN/m,</w:t>
      </w:r>
      <w:r>
        <w:t xml:space="preserve"> </w:t>
      </w:r>
      <w:r>
        <w:t xml:space="preserve">10.4</w:t>
      </w:r>
      <w:r>
        <w:t xml:space="preserve"> </w:t>
      </w:r>
      <w:r>
        <w:t xml:space="preserve">kN·m/m y</w:t>
      </w:r>
      <w:r>
        <w:t xml:space="preserve"> </w:t>
      </w:r>
      <w:r>
        <w:t xml:space="preserve">16.6</w:t>
      </w:r>
      <w:r>
        <w:t xml:space="preserve"> </w:t>
      </w:r>
      <w:r>
        <w:t xml:space="preserve">kN/m, respectivamente.</w:t>
      </w:r>
    </w:p>
    <w:p>
      <w:pPr>
        <w:pStyle w:val="BodyText"/>
      </w:pPr>
      <w:r>
        <w:t xml:space="preserve">Las distribuciones completas de fuerza circunferencial, momento y corte se</w:t>
      </w:r>
      <w:r>
        <w:t xml:space="preserve"> </w:t>
      </w:r>
      <w:r>
        <w:t xml:space="preserve">presentan para ambos espesores en figuras de tres paneles, con una escala</w:t>
      </w:r>
      <w:r>
        <w:t xml:space="preserve"> </w:t>
      </w:r>
      <w:r>
        <w:t xml:space="preserve">radial propia para cada resultante.</w:t>
      </w:r>
    </w:p>
    <w:tbl>
      <w:tblPr>
        <w:tblStyle w:val="Table"/>
        <w:tblLayout w:type="autofit"/>
        <w:tblLook w:firstRow="0" w:lastRow="0" w:firstColumn="0" w:lastColumn="0" w:noHBand="0" w:noVBand="0" w:val="0000"/>
      </w:tblPr>
      <w:tblGrid>
        <w:gridCol w:w="7920"/>
      </w:tblGrid>
      <w:tr>
        <w:tc>
          <w:tcPr/>
          <w:bookmarkStart w:id="83" w:name="fig-resultants-shotcrete100"/>
          <w:p>
            <w:pPr>
              <w:pStyle w:val="Compact"/>
              <w:jc w:val="center"/>
            </w:pPr>
            <w:r>
              <w:drawing>
                <wp:inline>
                  <wp:extent cx="5791200" cy="3269225"/>
                  <wp:effectExtent b="0" l="0" r="0" t="0"/>
                  <wp:docPr descr="" title="" id="81" name="Picture"/>
                  <a:graphic>
                    <a:graphicData uri="http://schemas.openxmlformats.org/drawingml/2006/picture">
                      <pic:pic>
                        <pic:nvPicPr>
                          <pic:cNvPr descr="_index/rehabilitation.ES_files/figure-docx/fig-resultants-shotcrete100-1.png" id="82" name="Picture"/>
                          <pic:cNvPicPr>
                            <a:picLocks noChangeArrowheads="1" noChangeAspect="1"/>
                          </pic:cNvPicPr>
                        </pic:nvPicPr>
                        <pic:blipFill>
                          <a:blip r:embed="rId80"/>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5.1: Distribuciones polares de fuerza normal</w:t>
            </w:r>
            <w:r>
              <w:t xml:space="preserve"> </w:t>
            </w:r>
            <m:oMath>
              <m:sSub>
                <m:e>
                  <m:r>
                    <m:t>N</m:t>
                  </m:r>
                </m:e>
                <m:sub>
                  <m:r>
                    <m:t>θ</m:t>
                  </m:r>
                </m:sub>
              </m:sSub>
            </m:oMath>
            <w:r>
              <w:t xml:space="preserve">, momento flector</w:t>
            </w:r>
            <w:r>
              <w:t xml:space="preserve"> </w:t>
            </w:r>
            <m:oMath>
              <m:sSub>
                <m:e>
                  <m:r>
                    <m:t>M</m:t>
                  </m:r>
                </m:e>
                <m:sub>
                  <m:r>
                    <m:t>θ</m:t>
                  </m:r>
                </m:sub>
              </m:sSub>
            </m:oMath>
            <w:r>
              <w:t xml:space="preserve"> </w:t>
            </w:r>
            <w:r>
              <w:t xml:space="preserve">y fuerza de corte</w:t>
            </w:r>
            <w:r>
              <w:t xml:space="preserve"> </w:t>
            </w:r>
            <m:oMath>
              <m:sSub>
                <m:e>
                  <m:r>
                    <m:t>Q</m:t>
                  </m:r>
                </m:e>
                <m:sub>
                  <m:r>
                    <m:t>θ</m:t>
                  </m:r>
                </m:sub>
              </m:sSub>
            </m:oMath>
            <w:r>
              <w:t xml:space="preserve"> </w:t>
            </w:r>
            <w:r>
              <w:t xml:space="preserve">de la sección de hormigón proyectado de 100 mm para los límites de deslizamiento libre y sin deslizamiento. Las curvas corresponden al modelo híbrido. Cada panel utiliza una escala radial propia de esta sección y de su resultante; la lectura interactiva informa los valores físicos en kN/m y kN·m/m.</w:t>
            </w:r>
          </w:p>
          <w:bookmarkEnd w:id="83"/>
        </w:tc>
      </w:tr>
    </w:tbl>
    <w:tbl>
      <w:tblPr>
        <w:tblStyle w:val="Table"/>
        <w:tblLayout w:type="autofit"/>
        <w:tblLook w:firstRow="0" w:lastRow="0" w:firstColumn="0" w:lastColumn="0" w:noHBand="0" w:noVBand="0" w:val="0000"/>
      </w:tblPr>
      <w:tblGrid>
        <w:gridCol w:w="7920"/>
      </w:tblGrid>
      <w:tr>
        <w:tc>
          <w:tcPr/>
          <w:bookmarkStart w:id="87" w:name="fig-resultants-shotcrete150"/>
          <w:p>
            <w:pPr>
              <w:pStyle w:val="Compact"/>
              <w:jc w:val="center"/>
            </w:pPr>
            <w:r>
              <w:drawing>
                <wp:inline>
                  <wp:extent cx="5791200" cy="3269225"/>
                  <wp:effectExtent b="0" l="0" r="0" t="0"/>
                  <wp:docPr descr="" title="" id="85" name="Picture"/>
                  <a:graphic>
                    <a:graphicData uri="http://schemas.openxmlformats.org/drawingml/2006/picture">
                      <pic:pic>
                        <pic:nvPicPr>
                          <pic:cNvPr descr="_index/rehabilitation.ES_files/figure-docx/fig-resultants-shotcrete150-1.png" id="86" name="Picture"/>
                          <pic:cNvPicPr>
                            <a:picLocks noChangeArrowheads="1" noChangeAspect="1"/>
                          </pic:cNvPicPr>
                        </pic:nvPicPr>
                        <pic:blipFill>
                          <a:blip r:embed="rId84"/>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5.2: Distribuciones polares de fuerza normal</w:t>
            </w:r>
            <w:r>
              <w:t xml:space="preserve"> </w:t>
            </w:r>
            <m:oMath>
              <m:sSub>
                <m:e>
                  <m:r>
                    <m:t>N</m:t>
                  </m:r>
                </m:e>
                <m:sub>
                  <m:r>
                    <m:t>θ</m:t>
                  </m:r>
                </m:sub>
              </m:sSub>
            </m:oMath>
            <w:r>
              <w:t xml:space="preserve">, momento flector</w:t>
            </w:r>
            <w:r>
              <w:t xml:space="preserve"> </w:t>
            </w:r>
            <m:oMath>
              <m:sSub>
                <m:e>
                  <m:r>
                    <m:t>M</m:t>
                  </m:r>
                </m:e>
                <m:sub>
                  <m:r>
                    <m:t>θ</m:t>
                  </m:r>
                </m:sub>
              </m:sSub>
            </m:oMath>
            <w:r>
              <w:t xml:space="preserve"> </w:t>
            </w:r>
            <w:r>
              <w:t xml:space="preserve">y fuerza de corte</w:t>
            </w:r>
            <w:r>
              <w:t xml:space="preserve"> </w:t>
            </w:r>
            <m:oMath>
              <m:sSub>
                <m:e>
                  <m:r>
                    <m:t>Q</m:t>
                  </m:r>
                </m:e>
                <m:sub>
                  <m:r>
                    <m:t>θ</m:t>
                  </m:r>
                </m:sub>
              </m:sSub>
            </m:oMath>
            <w:r>
              <w:t xml:space="preserve"> </w:t>
            </w:r>
            <w:r>
              <w:t xml:space="preserve">de la sección de hormigón proyectado de 150 mm para los límites de deslizamiento libre y sin deslizamiento. Las curvas corresponden al modelo híbrido. Cada panel utiliza una escala radial propia de esta sección y de su resultante; la lectura interactiva informa los valores físicos en kN/m y kN·m/m.</w:t>
            </w:r>
          </w:p>
          <w:bookmarkEnd w:id="87"/>
        </w:tc>
      </w:tr>
    </w:tbl>
    <w:p>
      <w:pPr>
        <w:pStyle w:val="BodyText"/>
      </w:pPr>
      <w:r>
        <w:t xml:space="preserve">Las combinaciones resistentes vuelven a calcular las resultantes concurrentes</w:t>
      </w:r>
      <w:r>
        <w:t xml:space="preserve"> </w:t>
      </w:r>
      <w:r>
        <w:t xml:space="preserve">en cada posición angular. Los pares de factores adoptados son</w:t>
      </w:r>
      <w:r>
        <w:t xml:space="preserve"> </w:t>
      </w:r>
      <w:r>
        <w:t xml:space="preserve">EV ×1,3 y EH ×1,35, EV ×1,3 y EH ×0,9, EV ×0,9 y EH ×1,35 y EV ×0,9 y EH ×0,9.</w:t>
      </w:r>
      <w:r>
        <w:t xml:space="preserve"> </w:t>
      </w:r>
      <m:oMath>
        <m:r>
          <m:t>E</m:t>
        </m:r>
        <m:r>
          <m:t>V</m:t>
        </m:r>
      </m:oMath>
      <w:r>
        <w:t xml:space="preserve"> </w:t>
      </w:r>
      <w:r>
        <w:t xml:space="preserve">corresponde a la presión vertical del relleno</w:t>
      </w:r>
      <w:r>
        <w:t xml:space="preserve"> </w:t>
      </w:r>
      <w:r>
        <w:t xml:space="preserve">permanente y</w:t>
      </w:r>
      <w:r>
        <w:t xml:space="preserve"> </w:t>
      </w:r>
      <m:oMath>
        <m:r>
          <m:t>E</m:t>
        </m:r>
        <m:r>
          <m:t>H</m:t>
        </m:r>
      </m:oMath>
      <w:r>
        <w:t xml:space="preserve"> </w:t>
      </w:r>
      <w:r>
        <w:t xml:space="preserve">a la presión horizontal del terreno en reposo. Se evalúan</w:t>
      </w:r>
      <w:r>
        <w:t xml:space="preserve"> </w:t>
      </w:r>
      <w:r>
        <w:t xml:space="preserve">los valores máximo y mínimo de la Tabla 3.4.1-2 de AASHTO para obtener la</w:t>
      </w:r>
      <w:r>
        <w:t xml:space="preserve"> </w:t>
      </w:r>
      <w:r>
        <w:t xml:space="preserve">envolvente de efectos, de acuerdo con CIRSOC 804-4, artículos 12.5.4 y 12.6.1</w:t>
      </w:r>
      <w:r>
        <w:t xml:space="preserve"> </w:t>
      </w:r>
      <w:r>
        <w:t xml:space="preserve">(</w:t>
      </w:r>
      <w:hyperlink w:anchor="ref-CIRSOC8044">
        <w:r>
          <w:rPr>
            <w:rStyle w:val="Hyperlink"/>
          </w:rPr>
          <w:t xml:space="preserve">INTI-CIRSOC 2023</w:t>
        </w:r>
      </w:hyperlink>
      <w:r>
        <w:t xml:space="preserve">)</w:t>
      </w:r>
      <w:r>
        <w:t xml:space="preserve">. El peso de la capa superior de lodo está incluido en el mismo</w:t>
      </w:r>
      <w:r>
        <w:t xml:space="preserve"> </w:t>
      </w:r>
      <w:r>
        <w:t xml:space="preserve">estado geostático permanente y no se trata como carga viva. Los factores se</w:t>
      </w:r>
      <w:r>
        <w:t xml:space="preserve"> </w:t>
      </w:r>
      <w:r>
        <w:t xml:space="preserve">aplican a las dos componentes del estado de tensiones y la interacción</w:t>
      </w:r>
      <w:r>
        <w:t xml:space="preserve"> </w:t>
      </w:r>
      <w:r>
        <w:t xml:space="preserve">suelo–revestimiento recalcula concurrentemente</w:t>
      </w:r>
      <w:r>
        <w:t xml:space="preserve"> </w:t>
      </w:r>
      <m:oMath>
        <m:r>
          <m:t>N</m:t>
        </m:r>
      </m:oMath>
      <w:r>
        <w:t xml:space="preserve">,</w:t>
      </w:r>
      <w:r>
        <w:t xml:space="preserve"> </w:t>
      </w:r>
      <m:oMath>
        <m:r>
          <m:t>M</m:t>
        </m:r>
      </m:oMath>
      <w:r>
        <w:t xml:space="preserve"> </w:t>
      </w:r>
      <w:r>
        <w:t xml:space="preserve">y</w:t>
      </w:r>
      <w:r>
        <w:t xml:space="preserve"> </w:t>
      </w:r>
      <m:oMath>
        <m:r>
          <m:t>Q</m:t>
        </m:r>
      </m:oMath>
      <w:r>
        <w:t xml:space="preserve">. Para una</w:t>
      </w:r>
      <w:r>
        <w:t xml:space="preserve"> </w:t>
      </w:r>
      <w:r>
        <w:t xml:space="preserve">franja de ancho</w:t>
      </w:r>
      <w:r>
        <w:t xml:space="preserve"> </w:t>
      </w:r>
      <m:oMath>
        <m:r>
          <m:t>b</m:t>
        </m:r>
      </m:oMath>
      <w:r>
        <w:t xml:space="preserve"> </w:t>
      </w:r>
      <w:r>
        <w:t xml:space="preserve">se utilizan</w:t>
      </w:r>
    </w:p>
    <w:p>
      <w:pPr>
        <w:pStyle w:val="BodyText"/>
      </w:pPr>
      <w:bookmarkStart w:id="88" w:name="eq-calculation-shotcrete-actions"/>
      <m:oMathPara>
        <m:oMathParaPr>
          <m:jc m:val="center"/>
        </m:oMathParaPr>
        <m:oMath>
          <m:sSub>
            <m:e>
              <m:r>
                <m:t>P</m:t>
              </m:r>
            </m:e>
            <m:sub>
              <m:r>
                <m:t>u</m:t>
              </m:r>
            </m:sub>
          </m:sSub>
          <m:r>
            <m:rPr>
              <m:sty m:val="p"/>
            </m:rPr>
            <m:t>=</m:t>
          </m:r>
          <m:r>
            <m:rPr>
              <m:sty m:val="p"/>
            </m:rPr>
            <m:t>−</m:t>
          </m:r>
          <m:sSub>
            <m:e>
              <m:r>
                <m:t>N</m:t>
              </m:r>
            </m:e>
            <m:sub>
              <m:r>
                <m:t>θ</m:t>
              </m:r>
            </m:sub>
          </m:sSub>
          <m:r>
            <m:t>b</m:t>
          </m:r>
          <m:r>
            <m:rPr>
              <m:sty m:val="p"/>
            </m:rPr>
            <m:t>,</m:t>
          </m:r>
          <m:r>
            <m:t>  </m:t>
          </m:r>
          <m:sSub>
            <m:e>
              <m:r>
                <m:t>M</m:t>
              </m:r>
            </m:e>
            <m:sub>
              <m:r>
                <m:t>u</m:t>
              </m:r>
            </m:sub>
          </m:sSub>
          <m:r>
            <m:rPr>
              <m:sty m:val="p"/>
            </m:rPr>
            <m:t>=</m:t>
          </m:r>
          <m:r>
            <m:rPr>
              <m:sty m:val="p"/>
            </m:rPr>
            <m:t>|</m:t>
          </m:r>
          <m:sSub>
            <m:e>
              <m:r>
                <m:t>M</m:t>
              </m:r>
            </m:e>
            <m:sub>
              <m:r>
                <m:t>θ</m:t>
              </m:r>
            </m:sub>
          </m:sSub>
          <m:r>
            <m:rPr>
              <m:sty m:val="p"/>
            </m:rPr>
            <m:t>|</m:t>
          </m:r>
          <m:r>
            <m:t>b</m:t>
          </m:r>
          <m:r>
            <m:rPr>
              <m:sty m:val="p"/>
            </m:rPr>
            <m:t>,</m:t>
          </m:r>
          <m:r>
            <m:t>  </m:t>
          </m:r>
          <m:sSub>
            <m:e>
              <m:r>
                <m:t>V</m:t>
              </m:r>
            </m:e>
            <m:sub>
              <m:r>
                <m:t>u</m:t>
              </m:r>
            </m:sub>
          </m:sSub>
          <m:r>
            <m:rPr>
              <m:sty m:val="p"/>
            </m:rPr>
            <m:t>=</m:t>
          </m:r>
          <m:r>
            <m:rPr>
              <m:sty m:val="p"/>
            </m:rPr>
            <m:t>|</m:t>
          </m:r>
          <m:sSub>
            <m:e>
              <m:r>
                <m:t>Q</m:t>
              </m:r>
            </m:e>
            <m:sub>
              <m:r>
                <m:t>θ</m:t>
              </m:r>
            </m:sub>
          </m:sSub>
          <m:r>
            <m:rPr>
              <m:sty m:val="p"/>
            </m:rPr>
            <m:t>|</m:t>
          </m:r>
          <m:r>
            <m:t>b</m:t>
          </m:r>
          <m:r>
            <m:rPr>
              <m:sty m:val="p"/>
            </m:rPr>
            <m:t>.</m:t>
          </m:r>
          <m:r>
            <m:t>  </m:t>
          </m:r>
          <m:r>
            <m:rPr>
              <m:sty m:val="p"/>
            </m:rPr>
            <m:t>(</m:t>
          </m:r>
          <m:r>
            <m:t>5.3</m:t>
          </m:r>
          <m:r>
            <m:rPr>
              <m:sty m:val="p"/>
            </m:rPr>
            <m:t>)</m:t>
          </m:r>
        </m:oMath>
      </m:oMathPara>
      <w:bookmarkEnd w:id="88"/>
    </w:p>
    <w:p>
      <w:pPr>
        <w:pStyle w:val="FirstParagraph"/>
      </w:pPr>
      <w:r>
        <w:t xml:space="preserve">El shotcrete se coloca sobre la cara interior del liner existente. Para ambos</w:t>
      </w:r>
      <w:r>
        <w:t xml:space="preserve"> </w:t>
      </w:r>
      <w:r>
        <w:t xml:space="preserve">casos el espesor resistente</w:t>
      </w:r>
      <w:r>
        <w:t xml:space="preserve"> </w:t>
      </w:r>
      <m:oMath>
        <m:sSub>
          <m:e>
            <m:r>
              <m:t>h</m:t>
            </m:r>
          </m:e>
          <m:sub>
            <m:r>
              <m:t>d</m:t>
            </m:r>
          </m:sub>
        </m:sSub>
      </m:oMath>
      <w:r>
        <w:t xml:space="preserve"> </w:t>
      </w:r>
      <w:r>
        <w:t xml:space="preserve">coincide con el espesor especificado</w:t>
      </w:r>
      <w:r>
        <w:t xml:space="preserve"> </w:t>
      </w:r>
      <w:r>
        <w:t xml:space="preserve">completo:</w:t>
      </w:r>
    </w:p>
    <w:p>
      <w:pPr>
        <w:pStyle w:val="BodyText"/>
      </w:pPr>
      <w:bookmarkStart w:id="89" w:name="Xab90e32965b4c6c8fa2847695f43c87d478377d"/>
      <m:oMathPara>
        <m:oMathParaPr>
          <m:jc m:val="center"/>
        </m:oMathParaPr>
        <m:oMath>
          <m:sSub>
            <m:e>
              <m:r>
                <m:t>h</m:t>
              </m:r>
            </m:e>
            <m:sub>
              <m:r>
                <m:t>d</m:t>
              </m:r>
            </m:sub>
          </m:sSub>
          <m:r>
            <m:rPr>
              <m:sty m:val="p"/>
            </m:rPr>
            <m:t>=</m:t>
          </m:r>
          <m:r>
            <m:t>h</m:t>
          </m:r>
          <m:r>
            <m:rPr>
              <m:sty m:val="p"/>
            </m:rPr>
            <m:t>∈</m:t>
          </m:r>
          <m:d>
            <m:dPr>
              <m:begChr m:val="{"/>
              <m:sepChr m:val=""/>
              <m:endChr m:val="}"/>
              <m:grow/>
            </m:dPr>
            <m:e>
              <m:r>
                <m:t>100</m:t>
              </m:r>
              <m:r>
                <m:rPr>
                  <m:sty m:val="p"/>
                </m:rPr>
                <m:t>,</m:t>
              </m:r>
              <m:r>
                <m:t>150</m:t>
              </m:r>
            </m:e>
          </m:d>
          <m:r>
            <m:t> </m:t>
          </m:r>
          <m:r>
            <m:rPr>
              <m:sty m:val="p"/>
            </m:rPr>
            <m:t>m</m:t>
          </m:r>
          <m:r>
            <m:rPr>
              <m:sty m:val="p"/>
            </m:rPr>
            <m:t>m</m:t>
          </m:r>
          <m:r>
            <m:rPr>
              <m:sty m:val="p"/>
            </m:rPr>
            <m:t>.</m:t>
          </m:r>
          <m:r>
            <m:t>  </m:t>
          </m:r>
          <m:r>
            <m:rPr>
              <m:sty m:val="p"/>
            </m:rPr>
            <m:t>(</m:t>
          </m:r>
          <m:r>
            <m:t>5.4</m:t>
          </m:r>
          <m:r>
            <m:rPr>
              <m:sty m:val="p"/>
            </m:rPr>
            <m:t>)</m:t>
          </m:r>
        </m:oMath>
      </m:oMathPara>
      <w:bookmarkEnd w:id="89"/>
    </w:p>
    <w:p>
      <w:pPr>
        <w:pStyle w:val="FirstParagraph"/>
      </w:pPr>
      <w:r>
        <w:t xml:space="preserve">Con</w:t>
      </w:r>
      <w:r>
        <w:t xml:space="preserve"> </w:t>
      </w:r>
      <m:oMath>
        <m:sSub>
          <m:e>
            <m:r>
              <m:t>A</m:t>
            </m:r>
          </m:e>
          <m:sub>
            <m:r>
              <m:t>g</m:t>
            </m:r>
          </m:sub>
        </m:sSub>
        <m:r>
          <m:rPr>
            <m:sty m:val="p"/>
          </m:rPr>
          <m:t>=</m:t>
        </m:r>
        <m:r>
          <m:t>b</m:t>
        </m:r>
        <m:sSub>
          <m:e>
            <m:r>
              <m:t>h</m:t>
            </m:r>
          </m:e>
          <m:sub>
            <m:r>
              <m:t>d</m:t>
            </m:r>
          </m:sub>
        </m:sSub>
      </m:oMath>
      <w:r>
        <w:t xml:space="preserve">,</w:t>
      </w:r>
      <w:r>
        <w:t xml:space="preserve"> </w:t>
      </w:r>
      <m:oMath>
        <m:sSub>
          <m:e>
            <m:r>
              <m:t>S</m:t>
            </m:r>
          </m:e>
          <m:sub>
            <m:r>
              <m:t>m</m:t>
            </m:r>
          </m:sub>
        </m:sSub>
        <m:r>
          <m:rPr>
            <m:sty m:val="p"/>
          </m:rPr>
          <m:t>=</m:t>
        </m:r>
        <m:r>
          <m:t>b</m:t>
        </m:r>
        <m:sSubSup>
          <m:e>
            <m:r>
              <m:t>h</m:t>
            </m:r>
          </m:e>
          <m:sub>
            <m:r>
              <m:t>d</m:t>
            </m:r>
          </m:sub>
          <m:sup>
            <m:r>
              <m:t>2</m:t>
            </m:r>
          </m:sup>
        </m:sSubSup>
        <m:r>
          <m:rPr>
            <m:sty m:val="p"/>
          </m:rPr>
          <m:t>/</m:t>
        </m:r>
        <m:r>
          <m:t>6</m:t>
        </m:r>
      </m:oMath>
      <w:r>
        <w:t xml:space="preserve"> </w:t>
      </w:r>
      <w:r>
        <w:t xml:space="preserve">y</w:t>
      </w:r>
      <w:r>
        <w:t xml:space="preserve"> </w:t>
      </w:r>
      <m:oMath>
        <m:r>
          <m:t>ϕ</m:t>
        </m:r>
        <m:r>
          <m:rPr>
            <m:sty m:val="p"/>
          </m:rPr>
          <m:t>=</m:t>
        </m:r>
        <m:r>
          <m:t>0.60</m:t>
        </m:r>
      </m:oMath>
      <w:r>
        <w:t xml:space="preserve">, la máxima tensión normal de</w:t>
      </w:r>
      <w:r>
        <w:t xml:space="preserve"> </w:t>
      </w:r>
      <w:r>
        <w:t xml:space="preserve">tracción en una fibra extrema, producida por la acción concurrente de</w:t>
      </w:r>
      <w:r>
        <w:t xml:space="preserve"> </w:t>
      </w:r>
      <m:oMath>
        <m:sSub>
          <m:e>
            <m:r>
              <m:t>P</m:t>
            </m:r>
          </m:e>
          <m:sub>
            <m:r>
              <m:t>u</m:t>
            </m:r>
          </m:sub>
        </m:sSub>
      </m:oMath>
      <w:r>
        <w:t xml:space="preserve"> </w:t>
      </w:r>
      <w:r>
        <w:t xml:space="preserve">y</w:t>
      </w:r>
      <w:r>
        <w:t xml:space="preserve"> </w:t>
      </w:r>
      <m:oMath>
        <m:sSub>
          <m:e>
            <m:r>
              <m:t>M</m:t>
            </m:r>
          </m:e>
          <m:sub>
            <m:r>
              <m:t>u</m:t>
            </m:r>
          </m:sub>
        </m:sSub>
      </m:oMath>
      <w:r>
        <w:t xml:space="preserve">, y la resistencia a corte son</w:t>
      </w:r>
    </w:p>
    <w:p>
      <w:pPr>
        <w:pStyle w:val="BodyText"/>
      </w:pPr>
      <w:bookmarkStart w:id="90" w:name="eq-calculation-shotcrete-local-strength"/>
      <m:oMathPara>
        <m:oMathParaPr>
          <m:jc m:val="center"/>
        </m:oMathParaPr>
        <m:oMath>
          <m:sSub>
            <m:e>
              <m:r>
                <m:t>σ</m:t>
              </m:r>
            </m:e>
            <m:sub>
              <m:r>
                <m:t>t</m:t>
              </m:r>
              <m:r>
                <m:rPr>
                  <m:sty m:val="p"/>
                </m:rPr>
                <m:t>,</m:t>
              </m:r>
              <m:r>
                <m:rPr>
                  <m:sty m:val="p"/>
                </m:rPr>
                <m:t>max</m:t>
              </m:r>
            </m:sub>
          </m:sSub>
          <m:r>
            <m:rPr>
              <m:sty m:val="p"/>
            </m:rPr>
            <m:t>=</m:t>
          </m:r>
          <m:r>
            <m:rPr>
              <m:sty m:val="p"/>
            </m:rPr>
            <m:t>max</m:t>
          </m:r>
          <m:d>
            <m:dPr>
              <m:begChr m:val="("/>
              <m:sepChr m:val=""/>
              <m:endChr m:val=")"/>
              <m:grow/>
            </m:dPr>
            <m:e>
              <m:r>
                <m:t>0</m:t>
              </m:r>
              <m:r>
                <m:rPr>
                  <m:sty m:val="p"/>
                </m:rPr>
                <m:t>,</m:t>
              </m:r>
              <m:f>
                <m:fPr>
                  <m:type m:val="bar"/>
                </m:fPr>
                <m:num>
                  <m:sSub>
                    <m:e>
                      <m:r>
                        <m:t>M</m:t>
                      </m:r>
                    </m:e>
                    <m:sub>
                      <m:r>
                        <m:t>u</m:t>
                      </m:r>
                    </m:sub>
                  </m:sSub>
                </m:num>
                <m:den>
                  <m:sSub>
                    <m:e>
                      <m:r>
                        <m:t>S</m:t>
                      </m:r>
                    </m:e>
                    <m:sub>
                      <m:r>
                        <m:t>m</m:t>
                      </m:r>
                    </m:sub>
                  </m:sSub>
                </m:den>
              </m:f>
              <m:r>
                <m:rPr>
                  <m:sty m:val="p"/>
                </m:rPr>
                <m:t>−</m:t>
              </m:r>
              <m:f>
                <m:fPr>
                  <m:type m:val="bar"/>
                </m:fPr>
                <m:num>
                  <m:sSub>
                    <m:e>
                      <m:r>
                        <m:t>P</m:t>
                      </m:r>
                    </m:e>
                    <m:sub>
                      <m:r>
                        <m:t>u</m:t>
                      </m:r>
                    </m:sub>
                  </m:sSub>
                </m:num>
                <m:den>
                  <m:sSub>
                    <m:e>
                      <m:r>
                        <m:t>A</m:t>
                      </m:r>
                    </m:e>
                    <m:sub>
                      <m:r>
                        <m:t>g</m:t>
                      </m:r>
                    </m:sub>
                  </m:sSub>
                </m:den>
              </m:f>
            </m:e>
          </m:d>
          <m:r>
            <m:rPr>
              <m:sty m:val="p"/>
            </m:rPr>
            <m:t>≤</m:t>
          </m:r>
          <m:r>
            <m:t>ϕ</m:t>
          </m:r>
          <m:r>
            <m:t> </m:t>
          </m:r>
          <m:r>
            <m:t>0.42</m:t>
          </m:r>
          <m:r>
            <m:t>λ</m:t>
          </m:r>
          <m:rad>
            <m:radPr>
              <m:degHide m:val="on"/>
            </m:radPr>
            <m:deg/>
            <m:e>
              <m:sSubSup>
                <m:e>
                  <m:r>
                    <m:t>f</m:t>
                  </m:r>
                </m:e>
                <m:sub>
                  <m:r>
                    <m:t>c</m:t>
                  </m:r>
                </m:sub>
                <m:sup>
                  <m:r>
                    <m:rPr>
                      <m:sty m:val="p"/>
                    </m:rPr>
                    <m:t>′</m:t>
                  </m:r>
                </m:sup>
              </m:sSubSup>
            </m:e>
          </m:rad>
          <m:r>
            <m:rPr>
              <m:sty m:val="p"/>
            </m:rPr>
            <m:t>,</m:t>
          </m:r>
          <m:r>
            <m:t>  </m:t>
          </m:r>
          <m:r>
            <m:t>ϕ</m:t>
          </m:r>
          <m:sSub>
            <m:e>
              <m:r>
                <m:t>V</m:t>
              </m:r>
            </m:e>
            <m:sub>
              <m:r>
                <m:t>n</m:t>
              </m:r>
            </m:sub>
          </m:sSub>
          <m:r>
            <m:rPr>
              <m:sty m:val="p"/>
            </m:rPr>
            <m:t>=</m:t>
          </m:r>
          <m:r>
            <m:t>ϕ</m:t>
          </m:r>
          <m:r>
            <m:t> </m:t>
          </m:r>
          <m:r>
            <m:t>0.11</m:t>
          </m:r>
          <m:r>
            <m:t>λ</m:t>
          </m:r>
          <m:rad>
            <m:radPr>
              <m:degHide m:val="on"/>
            </m:radPr>
            <m:deg/>
            <m:e>
              <m:sSubSup>
                <m:e>
                  <m:r>
                    <m:t>f</m:t>
                  </m:r>
                </m:e>
                <m:sub>
                  <m:r>
                    <m:t>c</m:t>
                  </m:r>
                </m:sub>
                <m:sup>
                  <m:r>
                    <m:rPr>
                      <m:sty m:val="p"/>
                    </m:rPr>
                    <m:t>′</m:t>
                  </m:r>
                </m:sup>
              </m:sSubSup>
            </m:e>
          </m:rad>
          <m:r>
            <m:t> </m:t>
          </m:r>
          <m:r>
            <m:t>b</m:t>
          </m:r>
          <m:sSub>
            <m:e>
              <m:r>
                <m:t>h</m:t>
              </m:r>
            </m:e>
            <m:sub>
              <m:r>
                <m:t>d</m:t>
              </m:r>
            </m:sub>
          </m:sSub>
          <m:r>
            <m:rPr>
              <m:sty m:val="p"/>
            </m:rPr>
            <m:t>.</m:t>
          </m:r>
          <m:r>
            <m:t>  </m:t>
          </m:r>
          <m:r>
            <m:rPr>
              <m:sty m:val="p"/>
            </m:rPr>
            <m:t>(</m:t>
          </m:r>
          <m:r>
            <m:t>5.5</m:t>
          </m:r>
          <m:r>
            <m:rPr>
              <m:sty m:val="p"/>
            </m:rPr>
            <m:t>)</m:t>
          </m:r>
        </m:oMath>
      </m:oMathPara>
      <w:bookmarkEnd w:id="90"/>
    </w:p>
    <w:p>
      <w:pPr>
        <w:pStyle w:val="FirstParagraph"/>
      </w:pPr>
      <w:r>
        <w:t xml:space="preserve">La comprobación de compresión combinada con flexión requiere además</w:t>
      </w:r>
    </w:p>
    <w:p>
      <w:pPr>
        <w:pStyle w:val="BodyText"/>
      </w:pPr>
      <m:oMathPara>
        <m:oMathParaPr>
          <m:jc m:val="center"/>
        </m:oMathParaPr>
        <m:oMath>
          <m:sSub>
            <m:e>
              <m:r>
                <m:t>M</m:t>
              </m:r>
            </m:e>
            <m:sub>
              <m:r>
                <m:t>n</m:t>
              </m:r>
              <m:r>
                <m:rPr>
                  <m:sty m:val="p"/>
                </m:rPr>
                <m:t>,</m:t>
              </m:r>
              <m:r>
                <m:t>c</m:t>
              </m:r>
            </m:sub>
          </m:sSub>
          <m:r>
            <m:rPr>
              <m:sty m:val="p"/>
            </m:rPr>
            <m:t>=</m:t>
          </m:r>
          <m:r>
            <m:t>0.85</m:t>
          </m:r>
          <m:sSubSup>
            <m:e>
              <m:r>
                <m:t>f</m:t>
              </m:r>
            </m:e>
            <m:sub>
              <m:r>
                <m:t>c</m:t>
              </m:r>
            </m:sub>
            <m:sup>
              <m:r>
                <m:rPr>
                  <m:sty m:val="p"/>
                </m:rPr>
                <m:t>′</m:t>
              </m:r>
            </m:sup>
          </m:sSubSup>
          <m:sSub>
            <m:e>
              <m:r>
                <m:t>S</m:t>
              </m:r>
            </m:e>
            <m:sub>
              <m:r>
                <m:t>m</m:t>
              </m:r>
            </m:sub>
          </m:sSub>
          <m:r>
            <m:rPr>
              <m:sty m:val="p"/>
            </m:rPr>
            <m:t>,</m:t>
          </m:r>
          <m:r>
            <m:t>  </m:t>
          </m:r>
          <m:sSub>
            <m:e>
              <m:r>
                <m:t>P</m:t>
              </m:r>
            </m:e>
            <m:sub>
              <m:r>
                <m:t>n</m:t>
              </m:r>
            </m:sub>
          </m:sSub>
          <m:r>
            <m:rPr>
              <m:sty m:val="p"/>
            </m:rPr>
            <m:t>=</m:t>
          </m:r>
          <m:r>
            <m:t>0.60</m:t>
          </m:r>
          <m:sSubSup>
            <m:e>
              <m:r>
                <m:t>f</m:t>
              </m:r>
            </m:e>
            <m:sub>
              <m:r>
                <m:t>c</m:t>
              </m:r>
            </m:sub>
            <m:sup>
              <m:r>
                <m:rPr>
                  <m:sty m:val="p"/>
                </m:rPr>
                <m:t>′</m:t>
              </m:r>
            </m:sup>
          </m:sSubSup>
          <m:sSub>
            <m:e>
              <m:r>
                <m:t>A</m:t>
              </m:r>
            </m:e>
            <m:sub>
              <m:r>
                <m:t>g</m:t>
              </m:r>
            </m:sub>
          </m:sSub>
          <m:d>
            <m:dPr>
              <m:begChr m:val="["/>
              <m:sepChr m:val=""/>
              <m:endChr m:val="]"/>
              <m:grow/>
            </m:dPr>
            <m:e>
              <m:r>
                <m:t>1</m:t>
              </m:r>
              <m:r>
                <m:rPr>
                  <m:sty m:val="p"/>
                </m:rPr>
                <m:t>−</m:t>
              </m:r>
              <m:sSup>
                <m:e>
                  <m:d>
                    <m:dPr>
                      <m:begChr m:val="("/>
                      <m:sepChr m:val=""/>
                      <m:endChr m:val=")"/>
                      <m:grow/>
                    </m:dPr>
                    <m:e>
                      <m:f>
                        <m:fPr>
                          <m:type m:val="bar"/>
                        </m:fPr>
                        <m:num>
                          <m:sSub>
                            <m:e>
                              <m:r>
                                <m:t>ℓ</m:t>
                              </m:r>
                            </m:e>
                            <m:sub>
                              <m:r>
                                <m:t>c</m:t>
                              </m:r>
                            </m:sub>
                          </m:sSub>
                        </m:num>
                        <m:den>
                          <m:r>
                            <m:t>32</m:t>
                          </m:r>
                          <m:sSub>
                            <m:e>
                              <m:r>
                                <m:t>h</m:t>
                              </m:r>
                            </m:e>
                            <m:sub>
                              <m:r>
                                <m:t>d</m:t>
                              </m:r>
                            </m:sub>
                          </m:sSub>
                        </m:den>
                      </m:f>
                    </m:e>
                  </m:d>
                </m:e>
                <m:sup>
                  <m:r>
                    <m:t>2</m:t>
                  </m:r>
                </m:sup>
              </m:sSup>
            </m:e>
          </m:d>
          <m:r>
            <m:rPr>
              <m:sty m:val="p"/>
            </m:rPr>
            <m:t>,</m:t>
          </m:r>
        </m:oMath>
      </m:oMathPara>
    </w:p>
    <w:p>
      <w:pPr>
        <w:pStyle w:val="FirstParagraph"/>
      </w:pPr>
      <w:bookmarkStart w:id="91" w:name="eq-calculation-shotcrete-compression"/>
      <m:oMathPara>
        <m:oMathParaPr>
          <m:jc m:val="center"/>
        </m:oMathParaPr>
        <m:oMath>
          <m:sSub>
            <m:e>
              <m:r>
                <m:t>U</m:t>
              </m:r>
            </m:e>
            <m:sub>
              <m:r>
                <m:t>N</m:t>
              </m:r>
              <m:r>
                <m:t>M</m:t>
              </m:r>
              <m:r>
                <m:rPr>
                  <m:sty m:val="p"/>
                </m:rPr>
                <m:t>,</m:t>
              </m:r>
              <m:r>
                <m:t>c</m:t>
              </m:r>
            </m:sub>
          </m:sSub>
          <m:r>
            <m:rPr>
              <m:sty m:val="p"/>
            </m:rPr>
            <m:t>=</m:t>
          </m:r>
          <m:f>
            <m:fPr>
              <m:type m:val="bar"/>
            </m:fPr>
            <m:num>
              <m:sSub>
                <m:e>
                  <m:r>
                    <m:t>M</m:t>
                  </m:r>
                </m:e>
                <m:sub>
                  <m:r>
                    <m:t>u</m:t>
                  </m:r>
                </m:sub>
              </m:sSub>
            </m:num>
            <m:den>
              <m:r>
                <m:t>ϕ</m:t>
              </m:r>
              <m:sSub>
                <m:e>
                  <m:r>
                    <m:t>M</m:t>
                  </m:r>
                </m:e>
                <m:sub>
                  <m:r>
                    <m:t>n</m:t>
                  </m:r>
                  <m:r>
                    <m:rPr>
                      <m:sty m:val="p"/>
                    </m:rPr>
                    <m:t>,</m:t>
                  </m:r>
                  <m:r>
                    <m:t>c</m:t>
                  </m:r>
                </m:sub>
              </m:sSub>
            </m:den>
          </m:f>
          <m:r>
            <m:rPr>
              <m:sty m:val="p"/>
            </m:rPr>
            <m:t>+</m:t>
          </m:r>
          <m:f>
            <m:fPr>
              <m:type m:val="bar"/>
            </m:fPr>
            <m:num>
              <m:sSub>
                <m:e>
                  <m:r>
                    <m:t>P</m:t>
                  </m:r>
                </m:e>
                <m:sub>
                  <m:r>
                    <m:t>u</m:t>
                  </m:r>
                </m:sub>
              </m:sSub>
            </m:num>
            <m:den>
              <m:r>
                <m:t>ϕ</m:t>
              </m:r>
              <m:sSub>
                <m:e>
                  <m:r>
                    <m:t>P</m:t>
                  </m:r>
                </m:e>
                <m:sub>
                  <m:r>
                    <m:t>n</m:t>
                  </m:r>
                </m:sub>
              </m:sSub>
            </m:den>
          </m:f>
          <m:r>
            <m:rPr>
              <m:sty m:val="p"/>
            </m:rPr>
            <m:t>≤</m:t>
          </m:r>
          <m:r>
            <m:t>1</m:t>
          </m:r>
          <m:r>
            <m:rPr>
              <m:sty m:val="p"/>
            </m:rPr>
            <m:t>.</m:t>
          </m:r>
          <m:r>
            <m:t>  </m:t>
          </m:r>
          <m:r>
            <m:rPr>
              <m:sty m:val="p"/>
            </m:rPr>
            <m:t>(</m:t>
          </m:r>
          <m:r>
            <m:t>5.6</m:t>
          </m:r>
          <m:r>
            <m:rPr>
              <m:sty m:val="p"/>
            </m:rPr>
            <m:t>)</m:t>
          </m:r>
        </m:oMath>
      </m:oMathPara>
      <w:bookmarkEnd w:id="91"/>
    </w:p>
    <w:p>
      <w:pPr>
        <w:pStyle w:val="FirstParagraph"/>
      </w:pPr>
      <w:r>
        <w:t xml:space="preserve">Estas expresiones proceden de ACI 318-25, Capítulo 14</w:t>
      </w:r>
      <w:r>
        <w:t xml:space="preserve"> </w:t>
      </w:r>
      <w:r>
        <w:t xml:space="preserve">(</w:t>
      </w:r>
      <w:hyperlink w:anchor="ref-ACI31825">
        <w:r>
          <w:rPr>
            <w:rStyle w:val="Hyperlink"/>
          </w:rPr>
          <w:t xml:space="preserve">ACI Committee 318 2025</w:t>
        </w:r>
      </w:hyperlink>
      <w:r>
        <w:t xml:space="preserve">, tabla 14.5.4.1 y arts. 14.5.3.1 y 14.5.5.1(a))</w:t>
      </w:r>
      <w:r>
        <w:t xml:space="preserve">. La utilización</w:t>
      </w:r>
      <w:r>
        <w:t xml:space="preserve"> </w:t>
      </w:r>
      <m:oMath>
        <m:sSub>
          <m:e>
            <m:r>
              <m:t>U</m:t>
            </m:r>
          </m:e>
          <m:sub>
            <m:r>
              <m:t>N</m:t>
            </m:r>
            <m:r>
              <m:t>M</m:t>
            </m:r>
            <m:r>
              <m:rPr>
                <m:sty m:val="p"/>
              </m:rPr>
              <m:t>,</m:t>
            </m:r>
            <m:r>
              <m:t>c</m:t>
            </m:r>
          </m:sub>
        </m:sSub>
      </m:oMath>
      <w:r>
        <w:t xml:space="preserve"> </w:t>
      </w:r>
      <w:r>
        <w:t xml:space="preserve">requiere la longitud de compresión</w:t>
      </w:r>
      <w:r>
        <w:t xml:space="preserve"> </w:t>
      </w:r>
      <m:oMath>
        <m:sSub>
          <m:e>
            <m:r>
              <m:t>ℓ</m:t>
            </m:r>
          </m:e>
          <m:sub>
            <m:r>
              <m:t>c</m:t>
            </m:r>
          </m:sub>
        </m:sSub>
      </m:oMath>
      <w:r>
        <w:t xml:space="preserve">, que corresponde al</w:t>
      </w:r>
      <w:r>
        <w:t xml:space="preserve"> </w:t>
      </w:r>
      <w:r>
        <w:t xml:space="preserve">diseño de detalle de la rehabilitación. La verificación de esta memoria</w:t>
      </w:r>
      <w:r>
        <w:t xml:space="preserve"> </w:t>
      </w:r>
      <w:r>
        <w:t xml:space="preserve">comprende la tracción en la fibra extrema y el corte unidireccional; la</w:t>
      </w:r>
      <w:r>
        <w:t xml:space="preserve"> </w:t>
      </w:r>
      <w:hyperlink w:anchor="tbl-liner-rehabilitation-plain-checks">
        <w:r>
          <w:rPr>
            <w:rStyle w:val="Hyperlink"/>
          </w:rPr>
          <w:t xml:space="preserve">tabla 5.3</w:t>
        </w:r>
      </w:hyperlink>
      <w:r>
        <w:t xml:space="preserve"> </w:t>
      </w:r>
      <w:r>
        <w:t xml:space="preserve">presenta ambas comprobaciones, con la</w:t>
      </w:r>
      <w:r>
        <w:t xml:space="preserve"> </w:t>
      </w:r>
      <w:r>
        <w:t xml:space="preserve">flexión compuesta gobernada por la fibra traccionada, para los dos espesores.</w:t>
      </w:r>
    </w:p>
    <w:tbl>
      <w:tblPr>
        <w:tblStyle w:val="Table"/>
        <w:tblLayout w:type="autofit"/>
        <w:tblLook w:firstRow="0" w:lastRow="0" w:firstColumn="0" w:lastColumn="0" w:noHBand="0" w:noVBand="0" w:val="0000"/>
      </w:tblPr>
      <w:tblGrid>
        <w:gridCol w:w="7920"/>
      </w:tblGrid>
      <w:tr>
        <w:tc>
          <w:tcPr/>
          <w:bookmarkStart w:id="92" w:name="tbl-liner-rehabilitation-plain-checks"/>
          <w:p>
            <w:pPr>
              <w:jc w:val="left"/>
              <w:pStyle w:val="ImageCaption"/>
            </w:pPr>
            <w:r>
              <w:t xml:space="preserve">Tabla 5.3: Verificación de las alternativas de hormigón proyectado simple.</w:t>
            </w:r>
            <w:r>
              <w:t xml:space="preserve"> </w:t>
            </w:r>
            <m:oMath>
              <m:r>
                <m:t>h</m:t>
              </m:r>
            </m:oMath>
            <w:r>
              <w:t xml:space="preserve"> </w:t>
            </w:r>
            <w:r>
              <w:t xml:space="preserve">es el espesor en mm.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sSub>
                <m:e>
                  <m:r>
                    <m:t>U</m:t>
                  </m:r>
                </m:e>
                <m:sub>
                  <m:r>
                    <m:t>N</m:t>
                  </m:r>
                  <m:r>
                    <m:rPr>
                      <m:sty m:val="p"/>
                    </m:rPr>
                    <m:t>−</m:t>
                  </m:r>
                  <m:r>
                    <m:t>M</m:t>
                  </m:r>
                  <m:r>
                    <m:rPr>
                      <m:sty m:val="p"/>
                    </m:rPr>
                    <m:t>,</m:t>
                  </m:r>
                  <m:r>
                    <m:rPr>
                      <m:sty m:val="p"/>
                    </m:rPr>
                    <m:t>max</m:t>
                  </m:r>
                </m:sub>
              </m:sSub>
            </m:oMath>
            <w:r>
              <w:t xml:space="preserve"> </w:t>
            </w:r>
            <w:r>
              <w:t xml:space="preserve">corresponde a la flexión compuesta con compresión axial y está gobernada por la tensión de la fibra traccionada;</w:t>
            </w:r>
            <w:r>
              <w:t xml:space="preserve"> </w:t>
            </w:r>
            <m:oMath>
              <m:sSub>
                <m:e>
                  <m:r>
                    <m:t>U</m:t>
                  </m:r>
                </m:e>
                <m:sub>
                  <m:r>
                    <m:t>V</m:t>
                  </m:r>
                  <m:r>
                    <m:rPr>
                      <m:sty m:val="p"/>
                    </m:rPr>
                    <m:t>,</m:t>
                  </m:r>
                  <m:r>
                    <m:rPr>
                      <m:sty m:val="p"/>
                    </m:rPr>
                    <m:t>max</m:t>
                  </m:r>
                </m:sub>
              </m:sSub>
            </m:oMath>
            <w:r>
              <w:t xml:space="preserve"> </w:t>
            </w:r>
            <w:r>
              <w:t xml:space="preserve">es la utilización máxima a corte unidireccional. Los estados</w:t>
            </w:r>
            <w:r>
              <w:t xml:space="preserve"> </w:t>
            </w:r>
            <m:oMath>
              <m:sSub>
                <m:e>
                  <m:r>
                    <m:t>E</m:t>
                  </m:r>
                </m:e>
                <m:sub>
                  <m:r>
                    <m:t>N</m:t>
                  </m:r>
                  <m:r>
                    <m:rPr>
                      <m:sty m:val="p"/>
                    </m:rPr>
                    <m:t>−</m:t>
                  </m:r>
                  <m:r>
                    <m:t>M</m:t>
                  </m:r>
                </m:sub>
              </m:sSub>
            </m:oMath>
            <w:r>
              <w:t xml:space="preserve"> </w:t>
            </w:r>
            <w:r>
              <w:t xml:space="preserve">y</w:t>
            </w:r>
            <w:r>
              <w:t xml:space="preserve"> </w:t>
            </w:r>
            <m:oMath>
              <m:sSub>
                <m:e>
                  <m:r>
                    <m:t>E</m:t>
                  </m:r>
                </m:e>
                <m:sub>
                  <m:r>
                    <m:t>V</m:t>
                  </m:r>
                </m:sub>
              </m:sSub>
            </m:oMath>
            <w:r>
              <w:t xml:space="preserve"> </w:t>
            </w:r>
            <w:r>
              <w:t xml:space="preserve">son</w:t>
            </w:r>
            <w:r>
              <w:t xml:space="preserve"> </w:t>
            </w:r>
            <w:r>
              <w:rPr>
                <w:rStyle w:val="VerbatimChar"/>
              </w:rPr>
              <w:t xml:space="preserve">OK</w:t>
            </w:r>
            <w:r>
              <w:t xml:space="preserve"> </w:t>
            </w:r>
            <w:r>
              <w:t xml:space="preserve">para</w:t>
            </w:r>
            <w:r>
              <w:t xml:space="preserve"> </w:t>
            </w:r>
            <m:oMath>
              <m:r>
                <m:t>U</m:t>
              </m:r>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r>
                <m:t>U</m:t>
              </m:r>
              <m:r>
                <m:rPr>
                  <m:sty m:val="p"/>
                </m:rPr>
                <m:t>&gt;</m:t>
              </m:r>
              <m:r>
                <m:t>1</m:t>
              </m:r>
            </m:oMath>
            <w:r>
              <w:t xml:space="preserve">;</w:t>
            </w:r>
            <w:r>
              <w:t xml:space="preserve"> </w:t>
            </w:r>
            <m:oMath>
              <m:r>
                <m:t>E</m:t>
              </m:r>
            </m:oMath>
            <w:r>
              <w:t xml:space="preserve"> </w:t>
            </w:r>
            <w:r>
              <w:t xml:space="preserve">combina ambas comprobaciones. La comprobación de compresión combinada del artículo 14.5.5 requiere la longitud de compresión</w:t>
            </w:r>
            <w:r>
              <w:t xml:space="preserve"> </w:t>
            </w:r>
            <m:oMath>
              <m:sSub>
                <m:e>
                  <m:r>
                    <m:t>ℓ</m:t>
                  </m:r>
                </m:e>
                <m:sub>
                  <m:r>
                    <m:t>c</m:t>
                  </m:r>
                </m:sub>
              </m:sSub>
            </m:oMath>
            <w:r>
              <w:t xml:space="preserve"> </w:t>
            </w:r>
            <w:r>
              <w:t xml:space="preserve">del diseño de detalle.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h</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N−M,</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N−M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V</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6.61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bl>
          <w:bookmarkEnd w:id="92"/>
          <w:p/>
        </w:tc>
      </w:tr>
    </w:tbl>
    <w:p>
      <w:pPr>
        <w:pStyle w:val="BodyText"/>
      </w:pPr>
      <w:r>
        <w:t xml:space="preserve">En las comprobaciones de tracción y corte, la sección simple de 100 mm no verifica y la sección simple de 150 mm no verifica. Para 100 mm, la utilización máxima es</w:t>
      </w:r>
      <w:r>
        <w:t xml:space="preserve"> </w:t>
      </w:r>
      <w:r>
        <w:t xml:space="preserve">6.61</w:t>
      </w:r>
      <w:r>
        <w:t xml:space="preserve"> </w:t>
      </w:r>
      <w:r>
        <w:t xml:space="preserve">en Slip (S) y</w:t>
      </w:r>
      <w:r>
        <w:t xml:space="preserve"> </w:t>
      </w:r>
      <w:r>
        <w:t xml:space="preserve">6.02</w:t>
      </w:r>
      <w:r>
        <w:t xml:space="preserve"> </w:t>
      </w:r>
      <w:r>
        <w:t xml:space="preserve">en No Slip (NS). Para 150 mm, los valores correspondientes son</w:t>
      </w:r>
      <w:r>
        <w:t xml:space="preserve"> </w:t>
      </w:r>
      <w:r>
        <w:t xml:space="preserve">8.12</w:t>
      </w:r>
      <w:r>
        <w:t xml:space="preserve"> </w:t>
      </w:r>
      <w:r>
        <w:t xml:space="preserve">y</w:t>
      </w:r>
      <w:r>
        <w:t xml:space="preserve"> </w:t>
      </w:r>
      <w:r>
        <w:t xml:space="preserve">7.09.</w:t>
      </w:r>
    </w:p>
    <w:bookmarkEnd w:id="93"/>
    <w:bookmarkStart w:id="116" w:name="alternativa-de-hormigón-armado"/>
    <w:p>
      <w:pPr>
        <w:pStyle w:val="Heading2"/>
      </w:pPr>
      <w:r>
        <w:t xml:space="preserve">Alternativa de hormigón armado</w:t>
      </w:r>
    </w:p>
    <w:p>
      <w:pPr>
        <w:pStyle w:val="FirstParagraph"/>
      </w:pPr>
      <w:r>
        <w:t xml:space="preserve">El estudio de la alternativa armada considera</w:t>
      </w:r>
      <w:r>
        <w:t xml:space="preserve"> </w:t>
      </w:r>
      <m:oMath>
        <m:sSub>
          <m:e>
            <m:r>
              <m:t>t</m:t>
            </m:r>
          </m:e>
          <m:sub>
            <m:r>
              <m:t>c</m:t>
            </m:r>
          </m:sub>
        </m:sSub>
        <m:r>
          <m:rPr>
            <m:sty m:val="p"/>
          </m:rPr>
          <m:t>=</m:t>
        </m:r>
        <m:r>
          <m:t>150</m:t>
        </m:r>
      </m:oMath>
      <w:r>
        <w:t xml:space="preserve"> </w:t>
      </w:r>
      <w:r>
        <w:t xml:space="preserve">mm y</w:t>
      </w:r>
      <w:r>
        <w:t xml:space="preserve"> </w:t>
      </w:r>
      <m:oMath>
        <m:sSubSup>
          <m:e>
            <m:r>
              <m:t>f</m:t>
            </m:r>
          </m:e>
          <m:sub>
            <m:r>
              <m:t>c</m:t>
            </m:r>
          </m:sub>
          <m:sup>
            <m:r>
              <m:rPr>
                <m:sty m:val="p"/>
              </m:rPr>
              <m:t>′</m:t>
            </m:r>
          </m:sup>
        </m:sSubSup>
        <m:r>
          <m:rPr>
            <m:sty m:val="p"/>
          </m:rPr>
          <m:t>=</m:t>
        </m:r>
        <m:r>
          <m:t>30</m:t>
        </m:r>
      </m:oMath>
      <w:r>
        <w:t xml:space="preserve"> </w:t>
      </w:r>
      <w:r>
        <w:t xml:space="preserve">MPa y compara las mallas Ø8/150, Ø10/150 y Ø12/150 dispuestas en ambas caras.</w:t>
      </w:r>
      <w:r>
        <w:t xml:space="preserve"> </w:t>
      </w:r>
      <w:r>
        <w:t xml:space="preserve">Las capas resistentes son simétricas y tienen un recubrimiento libre de</w:t>
      </w:r>
      <w:r>
        <w:t xml:space="preserve"> </w:t>
      </w:r>
      <w:r>
        <w:t xml:space="preserve">1.5</w:t>
      </w:r>
      <w:r>
        <w:t xml:space="preserve"> </w:t>
      </w:r>
      <w:r>
        <w:t xml:space="preserve">cm. La</w:t>
      </w:r>
      <w:r>
        <w:t xml:space="preserve"> </w:t>
      </w:r>
      <w:hyperlink w:anchor="X187a7a7754060e8500abfece7ca09dbe1c7b60d">
        <w:r>
          <w:rPr>
            <w:rStyle w:val="Hyperlink"/>
          </w:rPr>
          <w:t xml:space="preserve">tabla 5.4</w:t>
        </w:r>
      </w:hyperlink>
      <w:r>
        <w:t xml:space="preserve"> </w:t>
      </w:r>
      <w:r>
        <w:t xml:space="preserve">reúne la geometría y los</w:t>
      </w:r>
      <w:r>
        <w:t xml:space="preserve"> </w:t>
      </w:r>
      <w:r>
        <w:t xml:space="preserve">materiales comunes. Cada malla se comprueba por separado mediante su propio</w:t>
      </w:r>
      <w:r>
        <w:t xml:space="preserve"> </w:t>
      </w:r>
      <w:r>
        <w:t xml:space="preserve">diagrama de interacción.</w:t>
      </w:r>
    </w:p>
    <w:tbl>
      <w:tblPr>
        <w:tblStyle w:val="Table"/>
        <w:tblLayout w:type="autofit"/>
        <w:tblLook w:firstRow="0" w:lastRow="0" w:firstColumn="0" w:lastColumn="0" w:noHBand="0" w:noVBand="0" w:val="0000"/>
      </w:tblPr>
      <w:tblGrid>
        <w:gridCol w:w="7920"/>
      </w:tblGrid>
      <w:tr>
        <w:tc>
          <w:tcPr/>
          <w:bookmarkStart w:id="94" w:name="X187a7a7754060e8500abfece7ca09dbe1c7b60d"/>
          <w:p>
            <w:pPr>
              <w:jc w:val="left"/>
              <w:pStyle w:val="ImageCaption"/>
            </w:pPr>
            <w:r>
              <w:t xml:space="preserve">Tabla 5.4: Geometría y materiales comunes a las mallas simétricas analizadas para la sección de hormigón proyectado de 150 mm. La posición y el área de cada capa se calculan con el diámetro y el espaciamiento de cada caso.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t</m:t>
                        </m:r>
                      </m:e>
                      <m:sub>
                        <m:r>
                          <m:t>c</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Sup>
                      <m:e>
                        <m:r>
                          <m:t>f</m:t>
                        </m:r>
                      </m:e>
                      <m:sub>
                        <m:r>
                          <m:t>c</m:t>
                        </m:r>
                      </m:sub>
                      <m:sup>
                        <m:r>
                          <m:rPr>
                            <m:sty m:val="p"/>
                          </m:rPr>
                          <m:t>′</m:t>
                        </m:r>
                      </m:sup>
                    </m:sSubSup>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b</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c</m:t>
                    </m:r>
                    <m:r>
                      <m:rPr>
                        <m:sty m:val="p"/>
                      </m:rPr>
                      <m:t>/</m:t>
                    </m:r>
                    <m:sSub>
                      <m:e>
                        <m:r>
                          <m:t>t</m:t>
                        </m:r>
                      </m:e>
                      <m:sub>
                        <m:r>
                          <m:t>c</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c</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cm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f</m:t>
                        </m:r>
                      </m:e>
                      <m:sub>
                        <m:r>
                          <m:t>y</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E</m:t>
                        </m:r>
                      </m:e>
                      <m:sub>
                        <m:r>
                          <m:t>s</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bl>
          <w:bookmarkEnd w:id="94"/>
          <w:p/>
        </w:tc>
      </w:tr>
    </w:tbl>
    <w:p>
      <w:pPr>
        <w:pStyle w:val="BodyText"/>
      </w:pPr>
      <w:r>
        <w:t xml:space="preserve">Para cada diámetro</w:t>
      </w:r>
      <w:r>
        <w:t xml:space="preserve"> </w:t>
      </w:r>
      <m:oMath>
        <m:r>
          <m:t>ϕ</m:t>
        </m:r>
      </m:oMath>
      <w:r>
        <w:t xml:space="preserve"> </w:t>
      </w:r>
      <w:r>
        <w:t xml:space="preserve">y separación</w:t>
      </w:r>
      <w:r>
        <w:t xml:space="preserve"> </w:t>
      </w:r>
      <m:oMath>
        <m:r>
          <m:t>s</m:t>
        </m:r>
      </m:oMath>
      <w:r>
        <w:t xml:space="preserve">, el área por cara y por dirección,</w:t>
      </w:r>
      <w:r>
        <w:t xml:space="preserve"> </w:t>
      </w:r>
      <w:r>
        <w:t xml:space="preserve">y las coordenadas de las dos capas medidas desde el plano medio, son</w:t>
      </w:r>
    </w:p>
    <w:p>
      <w:pPr>
        <w:pStyle w:val="BodyText"/>
      </w:pPr>
      <w:bookmarkStart w:id="95" w:name="X45308a6126fda4f5cd4ac485e2642f22b3b5819"/>
      <m:oMathPara>
        <m:oMathParaPr>
          <m:jc m:val="center"/>
        </m:oMathParaPr>
        <m:oMath>
          <m:sSub>
            <m:e>
              <m:r>
                <m:t>A</m:t>
              </m:r>
            </m:e>
            <m:sub>
              <m:r>
                <m:t>s</m:t>
              </m:r>
            </m:sub>
          </m:sSub>
          <m:r>
            <m:rPr>
              <m:sty m:val="p"/>
            </m:rPr>
            <m:t>=</m:t>
          </m:r>
          <m:f>
            <m:fPr>
              <m:type m:val="bar"/>
            </m:fPr>
            <m:num>
              <m:r>
                <m:t>π</m:t>
              </m:r>
              <m:sSup>
                <m:e>
                  <m:r>
                    <m:t>ϕ</m:t>
                  </m:r>
                </m:e>
                <m:sup>
                  <m:r>
                    <m:t>2</m:t>
                  </m:r>
                </m:sup>
              </m:sSup>
            </m:num>
            <m:den>
              <m:r>
                <m:t>4</m:t>
              </m:r>
            </m:den>
          </m:f>
          <m:f>
            <m:fPr>
              <m:type m:val="bar"/>
            </m:fPr>
            <m:num>
              <m:r>
                <m:t>1000</m:t>
              </m:r>
            </m:num>
            <m:den>
              <m:r>
                <m:t>s</m:t>
              </m:r>
            </m:den>
          </m:f>
          <m:r>
            <m:rPr>
              <m:sty m:val="p"/>
            </m:rPr>
            <m:t>,</m:t>
          </m:r>
          <m:r>
            <m:t>  </m:t>
          </m:r>
          <m:sSub>
            <m:e>
              <m:r>
                <m:t>y</m:t>
              </m:r>
            </m:e>
            <m:sub>
              <m:r>
                <m:t>i</m:t>
              </m:r>
            </m:sub>
          </m:sSub>
          <m:r>
            <m:rPr>
              <m:sty m:val="p"/>
            </m:rPr>
            <m:t>=</m:t>
          </m:r>
          <m:r>
            <m:rPr>
              <m:sty m:val="p"/>
            </m:rPr>
            <m:t>−</m:t>
          </m:r>
          <m:d>
            <m:dPr>
              <m:begChr m:val="("/>
              <m:sepChr m:val=""/>
              <m:endChr m:val=")"/>
              <m:grow/>
            </m:dPr>
            <m:e>
              <m:f>
                <m:fPr>
                  <m:type m:val="bar"/>
                </m:fPr>
                <m:num>
                  <m:sSub>
                    <m:e>
                      <m:r>
                        <m:t>t</m:t>
                      </m:r>
                    </m:e>
                    <m:sub>
                      <m:r>
                        <m:t>c</m:t>
                      </m:r>
                    </m:sub>
                  </m:sSub>
                </m:num>
                <m:den>
                  <m:r>
                    <m:t>2</m:t>
                  </m:r>
                </m:den>
              </m:f>
              <m:r>
                <m:rPr>
                  <m:sty m:val="p"/>
                </m:rPr>
                <m:t>−</m:t>
              </m:r>
              <m:r>
                <m:t>c</m:t>
              </m:r>
              <m:r>
                <m:rPr>
                  <m:sty m:val="p"/>
                </m:rPr>
                <m:t>−</m:t>
              </m:r>
              <m:f>
                <m:fPr>
                  <m:type m:val="bar"/>
                </m:fPr>
                <m:num>
                  <m:r>
                    <m:t>ϕ</m:t>
                  </m:r>
                </m:num>
                <m:den>
                  <m:r>
                    <m:t>2</m:t>
                  </m:r>
                </m:den>
              </m:f>
            </m:e>
          </m:d>
          <m:r>
            <m:rPr>
              <m:sty m:val="p"/>
            </m:rPr>
            <m:t>,</m:t>
          </m:r>
          <m:r>
            <m:t>  </m:t>
          </m:r>
          <m:sSub>
            <m:e>
              <m:r>
                <m:t>y</m:t>
              </m:r>
            </m:e>
            <m:sub>
              <m:r>
                <m:t>e</m:t>
              </m:r>
            </m:sub>
          </m:sSub>
          <m:r>
            <m:rPr>
              <m:sty m:val="p"/>
            </m:rPr>
            <m:t>=</m:t>
          </m:r>
          <m:r>
            <m:rPr>
              <m:sty m:val="p"/>
            </m:rPr>
            <m:t>+</m:t>
          </m:r>
          <m:d>
            <m:dPr>
              <m:begChr m:val="("/>
              <m:sepChr m:val=""/>
              <m:endChr m:val=")"/>
              <m:grow/>
            </m:dPr>
            <m:e>
              <m:f>
                <m:fPr>
                  <m:type m:val="bar"/>
                </m:fPr>
                <m:num>
                  <m:sSub>
                    <m:e>
                      <m:r>
                        <m:t>t</m:t>
                      </m:r>
                    </m:e>
                    <m:sub>
                      <m:r>
                        <m:t>c</m:t>
                      </m:r>
                    </m:sub>
                  </m:sSub>
                </m:num>
                <m:den>
                  <m:r>
                    <m:t>2</m:t>
                  </m:r>
                </m:den>
              </m:f>
              <m:r>
                <m:rPr>
                  <m:sty m:val="p"/>
                </m:rPr>
                <m:t>−</m:t>
              </m:r>
              <m:r>
                <m:t>c</m:t>
              </m:r>
              <m:r>
                <m:rPr>
                  <m:sty m:val="p"/>
                </m:rPr>
                <m:t>−</m:t>
              </m:r>
              <m:f>
                <m:fPr>
                  <m:type m:val="bar"/>
                </m:fPr>
                <m:num>
                  <m:r>
                    <m:t>ϕ</m:t>
                  </m:r>
                </m:num>
                <m:den>
                  <m:r>
                    <m:t>2</m:t>
                  </m:r>
                </m:den>
              </m:f>
            </m:e>
          </m:d>
          <m:r>
            <m:rPr>
              <m:sty m:val="p"/>
            </m:rPr>
            <m:t>.</m:t>
          </m:r>
          <m:r>
            <m:t>  </m:t>
          </m:r>
          <m:r>
            <m:rPr>
              <m:sty m:val="p"/>
            </m:rPr>
            <m:t>(</m:t>
          </m:r>
          <m:r>
            <m:t>5.7</m:t>
          </m:r>
          <m:r>
            <m:rPr>
              <m:sty m:val="p"/>
            </m:rPr>
            <m:t>)</m:t>
          </m:r>
        </m:oMath>
      </m:oMathPara>
      <w:bookmarkEnd w:id="95"/>
    </w:p>
    <w:p>
      <w:pPr>
        <w:pStyle w:val="FirstParagraph"/>
      </w:pPr>
      <w:r>
        <w:t xml:space="preserve">La cuantía circunferencial informada para las mallas simétricas suma ambas</w:t>
      </w:r>
      <w:r>
        <w:t xml:space="preserve"> </w:t>
      </w:r>
      <w:r>
        <w:t xml:space="preserve">caras,</w:t>
      </w:r>
      <w:r>
        <w:t xml:space="preserve"> </w:t>
      </w:r>
      <m:oMath>
        <m:sSub>
          <m:e>
            <m:r>
              <m:t>ρ</m:t>
            </m:r>
          </m:e>
          <m:sub>
            <m:r>
              <m:t>θ</m:t>
            </m:r>
          </m:sub>
        </m:sSub>
        <m:r>
          <m:rPr>
            <m:sty m:val="p"/>
          </m:rPr>
          <m:t>=</m:t>
        </m:r>
        <m:r>
          <m:t>2</m:t>
        </m:r>
        <m:sSub>
          <m:e>
            <m:r>
              <m:t>A</m:t>
            </m:r>
          </m:e>
          <m:sub>
            <m:r>
              <m:t>s</m:t>
            </m:r>
          </m:sub>
        </m:sSub>
        <m:r>
          <m:rPr>
            <m:sty m:val="p"/>
          </m:rPr>
          <m:t>/</m:t>
        </m:r>
        <m:r>
          <m:rPr>
            <m:sty m:val="p"/>
          </m:rPr>
          <m:t>(</m:t>
        </m:r>
        <m:r>
          <m:t>b</m:t>
        </m:r>
        <m:sSub>
          <m:e>
            <m:r>
              <m:t>t</m:t>
            </m:r>
          </m:e>
          <m:sub>
            <m:r>
              <m:t>c</m:t>
            </m:r>
          </m:sub>
        </m:sSub>
        <m:r>
          <m:rPr>
            <m:sty m:val="p"/>
          </m:rPr>
          <m:t>)</m:t>
        </m:r>
      </m:oMath>
      <w:r>
        <w:t xml:space="preserve">.</w:t>
      </w:r>
    </w:p>
    <w:p>
      <w:pPr>
        <w:pStyle w:val="BodyText"/>
      </w:pPr>
      <w:r>
        <w:t xml:space="preserve">La rigidez del análisis conserva</w:t>
      </w:r>
      <w:r>
        <w:t xml:space="preserve"> </w:t>
      </w:r>
      <m:oMath>
        <m:r>
          <m:t>E</m:t>
        </m:r>
        <m:r>
          <m:t>A</m:t>
        </m:r>
        <m:r>
          <m:rPr>
            <m:sty m:val="p"/>
          </m:rPr>
          <m:t>=</m:t>
        </m:r>
        <m:sSub>
          <m:e>
            <m:r>
              <m:t>E</m:t>
            </m:r>
          </m:e>
          <m:sub>
            <m:r>
              <m:t>c</m:t>
            </m:r>
          </m:sub>
        </m:sSub>
        <m:sSub>
          <m:e>
            <m:r>
              <m:t>A</m:t>
            </m:r>
          </m:e>
          <m:sub>
            <m:r>
              <m:t>g</m:t>
            </m:r>
          </m:sub>
        </m:sSub>
      </m:oMath>
      <w:r>
        <w:t xml:space="preserve"> </w:t>
      </w:r>
      <w:r>
        <w:t xml:space="preserve">y adopta</w:t>
      </w:r>
      <w:r>
        <w:t xml:space="preserve"> </w:t>
      </w:r>
      <m:oMath>
        <m:r>
          <m:t>E</m:t>
        </m:r>
        <m:r>
          <m:t>I</m:t>
        </m:r>
        <m:r>
          <m:rPr>
            <m:sty m:val="p"/>
          </m:rPr>
          <m:t>=</m:t>
        </m:r>
        <m:r>
          <m:t>0.35</m:t>
        </m:r>
        <m:sSub>
          <m:e>
            <m:r>
              <m:t>E</m:t>
            </m:r>
          </m:e>
          <m:sub>
            <m:r>
              <m:t>c</m:t>
            </m:r>
          </m:sub>
        </m:sSub>
        <m:sSub>
          <m:e>
            <m:r>
              <m:t>I</m:t>
            </m:r>
          </m:e>
          <m:sub>
            <m:r>
              <m:t>g</m:t>
            </m:r>
          </m:sub>
        </m:sSub>
      </m:oMath>
      <w:r>
        <w:t xml:space="preserve">:</w:t>
      </w:r>
    </w:p>
    <w:p>
      <w:pPr>
        <w:pStyle w:val="BodyText"/>
      </w:pPr>
      <w:bookmarkStart w:id="96" w:name="X0a6dc3a659f604e395f5eddfb47d0fe0ae44cf6"/>
      <m:oMathPara>
        <m:oMathParaPr>
          <m:jc m:val="center"/>
        </m:oMathParaPr>
        <m:oMath>
          <m:r>
            <m:t>E</m:t>
          </m:r>
          <m:sSub>
            <m:e>
              <m:r>
                <m:t>A</m:t>
              </m:r>
            </m:e>
            <m:sub>
              <m:r>
                <m:t>r</m:t>
              </m:r>
            </m:sub>
          </m:sSub>
          <m:r>
            <m:rPr>
              <m:sty m:val="p"/>
            </m:rPr>
            <m:t>=</m:t>
          </m:r>
          <m:r>
            <m:t>3861444.0</m:t>
          </m:r>
          <m:r>
            <m:t> </m:t>
          </m:r>
          <m:r>
            <m:rPr>
              <m:sty m:val="p"/>
            </m:rPr>
            <m:t>k</m:t>
          </m:r>
          <m:r>
            <m:rPr>
              <m:sty m:val="p"/>
            </m:rPr>
            <m:t>N</m:t>
          </m:r>
          <m:r>
            <m:rPr>
              <m:sty m:val="p"/>
            </m:rPr>
            <m:t>/</m:t>
          </m:r>
          <m:r>
            <m:rPr>
              <m:sty m:val="p"/>
            </m:rPr>
            <m:t>m</m:t>
          </m:r>
          <m:r>
            <m:rPr>
              <m:sty m:val="p"/>
            </m:rPr>
            <m:t>,</m:t>
          </m:r>
          <m:r>
            <m:t>  </m:t>
          </m:r>
          <m:r>
            <m:t>E</m:t>
          </m:r>
          <m:sSub>
            <m:e>
              <m:r>
                <m:t>I</m:t>
              </m:r>
            </m:e>
            <m:sub>
              <m:r>
                <m:t>r</m:t>
              </m:r>
            </m:sub>
          </m:sSub>
          <m:r>
            <m:rPr>
              <m:sty m:val="p"/>
            </m:rPr>
            <m:t>=</m:t>
          </m:r>
          <m:r>
            <m:t>2534.1</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r>
            <m:t>  </m:t>
          </m:r>
          <m:r>
            <m:rPr>
              <m:sty m:val="p"/>
            </m:rPr>
            <m:t>(</m:t>
          </m:r>
          <m:r>
            <m:t>5.8</m:t>
          </m:r>
          <m:r>
            <m:rPr>
              <m:sty m:val="p"/>
            </m:rPr>
            <m:t>)</m:t>
          </m:r>
        </m:oMath>
      </m:oMathPara>
      <w:bookmarkEnd w:id="96"/>
    </w:p>
    <w:p>
      <w:pPr>
        <w:pStyle w:val="FirstParagraph"/>
      </w:pPr>
      <w:r>
        <w:t xml:space="preserve">La</w:t>
      </w:r>
      <w:r>
        <w:t xml:space="preserve"> </w:t>
      </w:r>
      <w:hyperlink w:anchor="Xb1842a80da961bcf5892fb196cf8f9a3e954105">
        <w:r>
          <w:rPr>
            <w:rStyle w:val="Hyperlink"/>
          </w:rPr>
          <w:t xml:space="preserve">tabla 5.5</w:t>
        </w:r>
      </w:hyperlink>
      <w:r>
        <w:t xml:space="preserve"> </w:t>
      </w:r>
      <w:r>
        <w:t xml:space="preserve">reúne las razones de</w:t>
      </w:r>
      <w:r>
        <w:t xml:space="preserve"> </w:t>
      </w:r>
      <w:r>
        <w:t xml:space="preserve">rigidez y las amplitudes de Schwartz–Einstein obtenidas con el radio y la</w:t>
      </w:r>
      <w:r>
        <w:t xml:space="preserve"> </w:t>
      </w:r>
      <w:r>
        <w:t xml:space="preserve">sección de hormigón de 150 mm. La</w:t>
      </w:r>
      <w:r>
        <w:t xml:space="preserve"> </w:t>
      </w:r>
      <w:hyperlink w:anchor="X9d36741bad8c9cd8a592580ee16f8cde0e9e2bd">
        <w:r>
          <w:rPr>
            <w:rStyle w:val="Hyperlink"/>
          </w:rPr>
          <w:t xml:space="preserve">tabla 5.6</w:t>
        </w:r>
      </w:hyperlink>
      <w:r>
        <w:t xml:space="preserve"> </w:t>
      </w:r>
      <w:r>
        <w:t xml:space="preserve">presenta los extremos para</w:t>
      </w:r>
      <w:r>
        <w:t xml:space="preserve"> </w:t>
      </w:r>
      <w:r>
        <w:t xml:space="preserve">factores de carga unitarios.</w:t>
      </w:r>
    </w:p>
    <w:tbl>
      <w:tblPr>
        <w:tblStyle w:val="Table"/>
        <w:tblLayout w:type="autofit"/>
        <w:tblLook w:firstRow="0" w:lastRow="0" w:firstColumn="0" w:lastColumn="0" w:noHBand="0" w:noVBand="0" w:val="0000"/>
      </w:tblPr>
      <w:tblGrid>
        <w:gridCol w:w="7920"/>
      </w:tblGrid>
      <w:tr>
        <w:tc>
          <w:tcPr/>
          <w:bookmarkStart w:id="97" w:name="Xb1842a80da961bcf5892fb196cf8f9a3e954105"/>
          <w:p>
            <w:pPr>
              <w:jc w:val="left"/>
              <w:pStyle w:val="ImageCaption"/>
            </w:pPr>
            <w:r>
              <w:t xml:space="preserve">Tabla 5.5: Razones de rigidez, coeficientes y amplitudes de la solución de carga externa de Schwartz–Einstein para la sección de hormigón proyectado de 150 mm. Los dos límites de interfaz se recalculan con el radio y las rigideces de esta sección.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C</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F</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0</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Q</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0.0099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1.0835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0.0880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0.0880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1.0835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w:t>
                  </w:r>
                </w:p>
              </w:tc>
            </w:tr>
          </w:tbl>
          <w:bookmarkEnd w:id="97"/>
          <w:p/>
        </w:tc>
      </w:tr>
    </w:tbl>
    <w:tbl>
      <w:tblPr>
        <w:tblStyle w:val="Table"/>
        <w:tblLayout w:type="autofit"/>
        <w:tblLook w:firstRow="0" w:lastRow="0" w:firstColumn="0" w:lastColumn="0" w:noHBand="0" w:noVBand="0" w:val="0000"/>
      </w:tblPr>
      <w:tblGrid>
        <w:gridCol w:w="7920"/>
      </w:tblGrid>
      <w:tr>
        <w:tc>
          <w:tcPr/>
          <w:bookmarkStart w:id="98" w:name="X9d36741bad8c9cd8a592580ee16f8cde0e9e2bd"/>
          <w:p>
            <w:pPr>
              <w:jc w:val="left"/>
              <w:pStyle w:val="ImageCaption"/>
            </w:pPr>
            <w:r>
              <w:t xml:space="preserve">Tabla 5.6: Extremos de las resultantes del modelo híbrido para la sección de hormigón proyectado de 150 mm, con deslizamiento libre y sin deslizamiento.</w:t>
            </w:r>
            <w:r>
              <w:t xml:space="preserve"> </w:t>
            </w:r>
            <m:oMath>
              <m:r>
                <m:t>X</m:t>
              </m:r>
            </m:oMath>
            <w:r>
              <w:t xml:space="preserve"> </w:t>
            </w:r>
            <w:r>
              <w:t xml:space="preserve">identifica</w:t>
            </w:r>
            <w:r>
              <w:t xml:space="preserve"> </w:t>
            </w:r>
            <m:oMath>
              <m:sSub>
                <m:e>
                  <m:r>
                    <m:t>N</m:t>
                  </m:r>
                </m:e>
                <m:sub>
                  <m:r>
                    <m:t>θ</m:t>
                  </m:r>
                </m:sub>
              </m:sSub>
            </m:oMath>
            <w:r>
              <w:t xml:space="preserve">,</w:t>
            </w:r>
            <w:r>
              <w:t xml:space="preserve"> </w:t>
            </w:r>
            <m:oMath>
              <m:sSub>
                <m:e>
                  <m:r>
                    <m:t>M</m:t>
                  </m:r>
                </m:e>
                <m:sub>
                  <m:r>
                    <m:t>θ</m:t>
                  </m:r>
                </m:sub>
              </m:sSub>
            </m:oMath>
            <w:r>
              <w:t xml:space="preserve"> </w:t>
            </w:r>
            <w:r>
              <w:t xml:space="preserve">o</w:t>
            </w:r>
            <w:r>
              <w:t xml:space="preserve"> </w:t>
            </w:r>
            <m:oMath>
              <m:sSub>
                <m:e>
                  <m:r>
                    <m:t>Q</m:t>
                  </m:r>
                </m:e>
                <m:sub>
                  <m:r>
                    <m:t>θ</m:t>
                  </m:r>
                </m:sub>
              </m:sSub>
            </m:oMath>
            <w:r>
              <w:t xml:space="preserve">;</w:t>
            </w:r>
            <w:r>
              <w:t xml:space="preserve"> </w:t>
            </w:r>
            <m:oMath>
              <m:sSub>
                <m:e>
                  <m:r>
                    <m:t>θ</m:t>
                  </m:r>
                </m:e>
                <m:sub>
                  <m:r>
                    <m:rPr>
                      <m:sty m:val="p"/>
                    </m:rPr>
                    <m:t>*</m:t>
                  </m:r>
                </m:sub>
              </m:sSub>
            </m:oMath>
            <w:r>
              <w:t xml:space="preserve"> </w:t>
            </w:r>
            <w:r>
              <w:t xml:space="preserve">es la posición del máximo absoluto. Los ángulos se miden desde la clave en sentido horario;</w:t>
            </w:r>
            <w:r>
              <w:t xml:space="preserve"> </w:t>
            </w:r>
            <m:oMath>
              <m:sSub>
                <m:e>
                  <m:r>
                    <m:t>u</m:t>
                  </m:r>
                </m:e>
                <m:sub>
                  <m:r>
                    <m:t>X</m:t>
                  </m:r>
                </m:sub>
              </m:sSub>
            </m:oMath>
            <w:r>
              <w:t xml:space="preserve"> </w:t>
            </w:r>
            <w:r>
              <w:t xml:space="preserve">indica kN/m para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y kN·m/m para</w:t>
            </w:r>
            <w:r>
              <w:t xml:space="preserve"> </w:t>
            </w:r>
            <m:oMath>
              <m:sSub>
                <m:e>
                  <m:r>
                    <m:t>M</m:t>
                  </m:r>
                </m:e>
                <m:sub>
                  <m:r>
                    <m:t>θ</m:t>
                  </m:r>
                </m:sub>
              </m:sSub>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sSub>
                      <m:e>
                        <m: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91.0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91.0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bl>
          <w:bookmarkEnd w:id="98"/>
          <w:p/>
        </w:tc>
      </w:tr>
    </w:tbl>
    <w:p>
      <w:pPr>
        <w:pStyle w:val="BodyText"/>
      </w:pPr>
      <w:r>
        <w:t xml:space="preserve">Para Slip (S), los máximos absolutos son</w:t>
      </w:r>
      <w:r>
        <w:t xml:space="preserve"> </w:t>
      </w:r>
      <w:r>
        <w:t xml:space="preserve">315.5</w:t>
      </w:r>
      <w:r>
        <w:t xml:space="preserve"> </w:t>
      </w:r>
      <w:r>
        <w:t xml:space="preserve">kN/m de fuerza circunferencial,</w:t>
      </w:r>
      <w:r>
        <w:t xml:space="preserve"> </w:t>
      </w:r>
      <w:r>
        <w:t xml:space="preserve">30.2</w:t>
      </w:r>
      <w:r>
        <w:t xml:space="preserve"> </w:t>
      </w:r>
      <w:r>
        <w:t xml:space="preserve">kN·m/m de momento y</w:t>
      </w:r>
      <w:r>
        <w:t xml:space="preserve"> </w:t>
      </w:r>
      <w:r>
        <w:t xml:space="preserve">48.9</w:t>
      </w:r>
      <w:r>
        <w:t xml:space="preserve"> </w:t>
      </w:r>
      <w:r>
        <w:t xml:space="preserve">kN/m de corte. Para No Slip (NS), los máximos</w:t>
      </w:r>
      <w:r>
        <w:t xml:space="preserve"> </w:t>
      </w:r>
      <w:r>
        <w:t xml:space="preserve">son</w:t>
      </w:r>
      <w:r>
        <w:t xml:space="preserve"> </w:t>
      </w:r>
      <w:r>
        <w:t xml:space="preserve">387.3</w:t>
      </w:r>
      <w:r>
        <w:t xml:space="preserve"> </w:t>
      </w:r>
      <w:r>
        <w:t xml:space="preserve">kN/m,</w:t>
      </w:r>
      <w:r>
        <w:t xml:space="preserve"> </w:t>
      </w:r>
      <w:r>
        <w:t xml:space="preserve">25.1</w:t>
      </w:r>
      <w:r>
        <w:t xml:space="preserve"> </w:t>
      </w:r>
      <w:r>
        <w:t xml:space="preserve">kN·m/m y</w:t>
      </w:r>
      <w:r>
        <w:t xml:space="preserve"> </w:t>
      </w:r>
      <w:r>
        <w:t xml:space="preserve">40.7</w:t>
      </w:r>
      <w:r>
        <w:t xml:space="preserve"> </w:t>
      </w:r>
      <w:r>
        <w:t xml:space="preserve">kN/m.</w:t>
      </w:r>
    </w:p>
    <w:p>
      <w:pPr>
        <w:pStyle w:val="BodyText"/>
      </w:pPr>
      <w:r>
        <w:t xml:space="preserve">Para cada combinación y posición angular, las acciones de una franja son</w:t>
      </w:r>
    </w:p>
    <w:p>
      <w:pPr>
        <w:pStyle w:val="BodyText"/>
      </w:pPr>
      <w:bookmarkStart w:id="99" w:name="X52c78f79f0cda957db361b8e519a7dfa1041998"/>
      <m:oMathPara>
        <m:oMathParaPr>
          <m:jc m:val="center"/>
        </m:oMathParaPr>
        <m:oMath>
          <m:sSub>
            <m:e>
              <m:r>
                <m:t>P</m:t>
              </m:r>
            </m:e>
            <m:sub>
              <m:r>
                <m:t>u</m:t>
              </m:r>
            </m:sub>
          </m:sSub>
          <m:r>
            <m:rPr>
              <m:sty m:val="p"/>
            </m:rPr>
            <m:t>=</m:t>
          </m:r>
          <m:r>
            <m:rPr>
              <m:sty m:val="p"/>
            </m:rPr>
            <m:t>−</m:t>
          </m:r>
          <m:sSub>
            <m:e>
              <m:r>
                <m:t>N</m:t>
              </m:r>
            </m:e>
            <m:sub>
              <m:r>
                <m:t>θ</m:t>
              </m:r>
            </m:sub>
          </m:sSub>
          <m:r>
            <m:t>b</m:t>
          </m:r>
          <m:r>
            <m:rPr>
              <m:sty m:val="p"/>
            </m:rPr>
            <m:t>,</m:t>
          </m:r>
          <m:r>
            <m:t>  </m:t>
          </m:r>
          <m:sSub>
            <m:e>
              <m:r>
                <m:t>M</m:t>
              </m:r>
            </m:e>
            <m:sub>
              <m:r>
                <m:t>u</m:t>
              </m:r>
            </m:sub>
          </m:sSub>
          <m:r>
            <m:rPr>
              <m:sty m:val="p"/>
            </m:rPr>
            <m:t>=</m:t>
          </m:r>
          <m:sSub>
            <m:e>
              <m:r>
                <m:t>M</m:t>
              </m:r>
            </m:e>
            <m:sub>
              <m:r>
                <m:t>θ</m:t>
              </m:r>
            </m:sub>
          </m:sSub>
          <m:r>
            <m:t>b</m:t>
          </m:r>
          <m:r>
            <m:rPr>
              <m:sty m:val="p"/>
            </m:rPr>
            <m:t>.</m:t>
          </m:r>
          <m:r>
            <m:t>  </m:t>
          </m:r>
          <m:r>
            <m:rPr>
              <m:sty m:val="p"/>
            </m:rPr>
            <m:t>(</m:t>
          </m:r>
          <m:r>
            <m:t>5.9</m:t>
          </m:r>
          <m:r>
            <m:rPr>
              <m:sty m:val="p"/>
            </m:rPr>
            <m:t>)</m:t>
          </m:r>
        </m:oMath>
      </m:oMathPara>
      <w:bookmarkEnd w:id="99"/>
    </w:p>
    <w:p>
      <w:pPr>
        <w:pStyle w:val="FirstParagraph"/>
      </w:pPr>
      <w:r>
        <w:t xml:space="preserve">El límite resistente</w:t>
      </w:r>
      <w:r>
        <w:t xml:space="preserve"> </w:t>
      </w:r>
      <m:oMath>
        <m:r>
          <m:rPr>
            <m:sty m:val="p"/>
          </m:rPr>
          <m:t>(</m:t>
        </m:r>
        <m:r>
          <m:t>ϕ</m:t>
        </m:r>
        <m:sSub>
          <m:e>
            <m:r>
              <m:t>P</m:t>
            </m:r>
          </m:e>
          <m:sub>
            <m:r>
              <m:t>n</m:t>
            </m:r>
          </m:sub>
        </m:sSub>
        <m:r>
          <m:rPr>
            <m:sty m:val="p"/>
          </m:rPr>
          <m:t>,</m:t>
        </m:r>
        <m:r>
          <m:t>ϕ</m:t>
        </m:r>
        <m:sSub>
          <m:e>
            <m:r>
              <m:t>M</m:t>
            </m:r>
          </m:e>
          <m:sub>
            <m:r>
              <m:t>n</m:t>
            </m:r>
          </m:sub>
        </m:sSub>
        <m:r>
          <m:rPr>
            <m:sty m:val="p"/>
          </m:rPr>
          <m:t>)</m:t>
        </m:r>
      </m:oMath>
      <w:r>
        <w:t xml:space="preserve"> </w:t>
      </w:r>
      <w:r>
        <w:t xml:space="preserve">se obtiene mediante compatibilidad</w:t>
      </w:r>
      <w:r>
        <w:t xml:space="preserve"> </w:t>
      </w:r>
      <w:r>
        <w:t xml:space="preserve">de deformaciones y equilibrio de la sección. Para una coordenada</w:t>
      </w:r>
      <w:r>
        <w:t xml:space="preserve"> </w:t>
      </w:r>
      <m:oMath>
        <m:r>
          <m:t>y</m:t>
        </m:r>
      </m:oMath>
      <w:r>
        <w:t xml:space="preserve"> </w:t>
      </w:r>
      <w:r>
        <w:t xml:space="preserve">medida</w:t>
      </w:r>
      <w:r>
        <w:t xml:space="preserve"> </w:t>
      </w:r>
      <w:r>
        <w:t xml:space="preserve">desde el centro de la pared,</w:t>
      </w:r>
    </w:p>
    <w:p>
      <w:pPr>
        <w:pStyle w:val="BodyText"/>
      </w:pPr>
      <w:bookmarkStart w:id="100" w:name="eq-calculation-reinforced-strain-field"/>
      <m:oMathPara>
        <m:oMathParaPr>
          <m:jc m:val="center"/>
        </m:oMathParaPr>
        <m:oMath>
          <m:r>
            <m:t>ε</m:t>
          </m:r>
          <m:r>
            <m:rPr>
              <m:sty m:val="p"/>
            </m:rPr>
            <m:t>(</m:t>
          </m:r>
          <m:r>
            <m:t>y</m:t>
          </m:r>
          <m:r>
            <m:rPr>
              <m:sty m:val="p"/>
            </m:rPr>
            <m:t>)</m:t>
          </m:r>
          <m:r>
            <m:rPr>
              <m:sty m:val="p"/>
            </m:rPr>
            <m:t>=</m:t>
          </m:r>
          <m:sSub>
            <m:e>
              <m:r>
                <m:t>ε</m:t>
              </m:r>
            </m:e>
            <m:sub>
              <m:r>
                <m:t>0</m:t>
              </m:r>
            </m:sub>
          </m:sSub>
          <m:r>
            <m:rPr>
              <m:sty m:val="p"/>
            </m:rPr>
            <m:t>+</m:t>
          </m:r>
          <m:r>
            <m:t>κ</m:t>
          </m:r>
          <m:r>
            <m:rPr>
              <m:sty m:val="p"/>
            </m:rPr>
            <m:t>(</m:t>
          </m:r>
          <m:r>
            <m:t>y</m:t>
          </m:r>
          <m:r>
            <m:rPr>
              <m:sty m:val="p"/>
            </m:rPr>
            <m:t>−</m:t>
          </m:r>
          <m:sSub>
            <m:e>
              <m:r>
                <m:t>y</m:t>
              </m:r>
            </m:e>
            <m:sub>
              <m:r>
                <m:t>0</m:t>
              </m:r>
            </m:sub>
          </m:sSub>
          <m:r>
            <m:rPr>
              <m:sty m:val="p"/>
            </m:rPr>
            <m:t>)</m:t>
          </m:r>
          <m:r>
            <m:rPr>
              <m:sty m:val="p"/>
            </m:rPr>
            <m:t>,</m:t>
          </m:r>
          <m:r>
            <m:t>  </m:t>
          </m:r>
          <m:sSub>
            <m:e>
              <m:r>
                <m:t>f</m:t>
              </m:r>
            </m:e>
            <m:sub>
              <m:r>
                <m:t>s</m:t>
              </m:r>
              <m:r>
                <m:rPr>
                  <m:sty m:val="p"/>
                </m:rPr>
                <m:t>,</m:t>
              </m:r>
              <m:r>
                <m:t>i</m:t>
              </m:r>
            </m:sub>
          </m:sSub>
          <m:r>
            <m:rPr>
              <m:sty m:val="p"/>
            </m:rPr>
            <m:t>=</m:t>
          </m:r>
          <m:r>
            <m:rPr>
              <m:sty m:val="p"/>
            </m:rPr>
            <m:t>max</m:t>
          </m:r>
          <m:d>
            <m:dPr>
              <m:begChr m:val="["/>
              <m:sepChr m:val=""/>
              <m:endChr m:val="]"/>
              <m:grow/>
            </m:dPr>
            <m:e>
              <m:r>
                <m:rPr>
                  <m:sty m:val="p"/>
                </m:rPr>
                <m:t>−</m:t>
              </m:r>
              <m:sSub>
                <m:e>
                  <m:r>
                    <m:t>f</m:t>
                  </m:r>
                </m:e>
                <m:sub>
                  <m:r>
                    <m:t>y</m:t>
                  </m:r>
                </m:sub>
              </m:sSub>
              <m:r>
                <m:rPr>
                  <m:sty m:val="p"/>
                </m:rPr>
                <m:t>,</m:t>
              </m:r>
              <m:r>
                <m:rPr>
                  <m:sty m:val="p"/>
                </m:rPr>
                <m:t>min</m:t>
              </m:r>
              <m:r>
                <m:rPr>
                  <m:sty m:val="p"/>
                </m:rPr>
                <m:t>(</m:t>
              </m:r>
              <m:sSub>
                <m:e>
                  <m:r>
                    <m:t>E</m:t>
                  </m:r>
                </m:e>
                <m:sub>
                  <m:r>
                    <m:t>s</m:t>
                  </m:r>
                </m:sub>
              </m:sSub>
              <m:sSub>
                <m:e>
                  <m:r>
                    <m:t>ε</m:t>
                  </m:r>
                </m:e>
                <m:sub>
                  <m:r>
                    <m:t>i</m:t>
                  </m:r>
                </m:sub>
              </m:sSub>
              <m:r>
                <m:rPr>
                  <m:sty m:val="p"/>
                </m:rPr>
                <m:t>,</m:t>
              </m:r>
              <m:sSub>
                <m:e>
                  <m:r>
                    <m:t>f</m:t>
                  </m:r>
                </m:e>
                <m:sub>
                  <m:r>
                    <m:t>y</m:t>
                  </m:r>
                </m:sub>
              </m:sSub>
              <m:r>
                <m:rPr>
                  <m:sty m:val="p"/>
                </m:rPr>
                <m:t>)</m:t>
              </m:r>
            </m:e>
          </m:d>
          <m:r>
            <m:rPr>
              <m:sty m:val="p"/>
            </m:rPr>
            <m:t>.</m:t>
          </m:r>
          <m:r>
            <m:t>  </m:t>
          </m:r>
          <m:r>
            <m:rPr>
              <m:sty m:val="p"/>
            </m:rPr>
            <m:t>(</m:t>
          </m:r>
          <m:r>
            <m:t>5.10</m:t>
          </m:r>
          <m:r>
            <m:rPr>
              <m:sty m:val="p"/>
            </m:rPr>
            <m:t>)</m:t>
          </m:r>
        </m:oMath>
      </m:oMathPara>
      <w:bookmarkEnd w:id="100"/>
    </w:p>
    <w:p>
      <w:pPr>
        <w:pStyle w:val="FirstParagraph"/>
      </w:pPr>
      <w:r>
        <w:t xml:space="preserve">La fuerza y el momento nominales se obtienen mediante</w:t>
      </w:r>
    </w:p>
    <w:p>
      <w:pPr>
        <w:pStyle w:val="BodyText"/>
      </w:pPr>
      <w:bookmarkStart w:id="101" w:name="eq-calculation-reinforced-equilibrium"/>
      <m:oMathPara>
        <m:oMathParaPr>
          <m:jc m:val="center"/>
        </m:oMathParaPr>
        <m:oMath>
          <m:sSub>
            <m:e>
              <m:r>
                <m:t>P</m:t>
              </m:r>
            </m:e>
            <m:sub>
              <m:r>
                <m:t>n</m:t>
              </m:r>
            </m:sub>
          </m:sSub>
          <m:r>
            <m:rPr>
              <m:sty m:val="p"/>
            </m:rPr>
            <m:t>=</m:t>
          </m:r>
          <m:nary>
            <m:naryPr>
              <m:chr m:val="∫"/>
              <m:limLoc m:val="subSup"/>
              <m:subHide m:val="off"/>
              <m:supHide m:val="on"/>
            </m:naryPr>
            <m:sub>
              <m:sSub>
                <m:e>
                  <m:r>
                    <m:t>A</m:t>
                  </m:r>
                </m:e>
                <m:sub>
                  <m:r>
                    <m:t>c</m:t>
                  </m:r>
                </m:sub>
              </m:sSub>
            </m:sub>
            <m:sup>
              <m:r>
                <m:t>​</m:t>
              </m:r>
            </m:sup>
            <m:e>
              <m:sSub>
                <m:e>
                  <m:r>
                    <m:t>σ</m:t>
                  </m:r>
                </m:e>
                <m:sub>
                  <m:r>
                    <m:t>c</m:t>
                  </m:r>
                </m:sub>
              </m:sSub>
            </m:e>
          </m:nary>
          <m:r>
            <m:t> </m:t>
          </m:r>
          <m:r>
            <m:t>d</m:t>
          </m:r>
          <m:r>
            <m:t>A</m:t>
          </m:r>
          <m:r>
            <m:rPr>
              <m:sty m:val="p"/>
            </m:rPr>
            <m:t>+</m:t>
          </m:r>
          <m:nary>
            <m:naryPr>
              <m:chr m:val="∑"/>
              <m:limLoc m:val="undOvr"/>
              <m:subHide m:val="off"/>
              <m:supHide m:val="on"/>
            </m:naryPr>
            <m:sub>
              <m:r>
                <m:t>i</m:t>
              </m:r>
            </m:sub>
            <m:sup>
              <m:r>
                <m:t>​</m:t>
              </m:r>
            </m:sup>
            <m:e>
              <m:sSub>
                <m:e>
                  <m:r>
                    <m:t>A</m:t>
                  </m:r>
                </m:e>
                <m:sub>
                  <m:r>
                    <m:t>s</m:t>
                  </m:r>
                  <m:r>
                    <m:rPr>
                      <m:sty m:val="p"/>
                    </m:rPr>
                    <m:t>,</m:t>
                  </m:r>
                  <m:r>
                    <m:t>i</m:t>
                  </m:r>
                </m:sub>
              </m:sSub>
            </m:e>
          </m:nary>
          <m:sSub>
            <m:e>
              <m:r>
                <m:t>f</m:t>
              </m:r>
            </m:e>
            <m:sub>
              <m:r>
                <m:t>s</m:t>
              </m:r>
              <m:r>
                <m:rPr>
                  <m:sty m:val="p"/>
                </m:rPr>
                <m:t>,</m:t>
              </m:r>
              <m:r>
                <m:t>i</m:t>
              </m:r>
            </m:sub>
          </m:sSub>
          <m:r>
            <m:rPr>
              <m:sty m:val="p"/>
            </m:rPr>
            <m:t>,</m:t>
          </m:r>
          <m:r>
            <m:t>  </m:t>
          </m:r>
          <m:sSub>
            <m:e>
              <m:r>
                <m:t>M</m:t>
              </m:r>
            </m:e>
            <m:sub>
              <m:r>
                <m:t>n</m:t>
              </m:r>
            </m:sub>
          </m:sSub>
          <m:r>
            <m:rPr>
              <m:sty m:val="p"/>
            </m:rPr>
            <m:t>=</m:t>
          </m:r>
          <m:nary>
            <m:naryPr>
              <m:chr m:val="∫"/>
              <m:limLoc m:val="subSup"/>
              <m:subHide m:val="off"/>
              <m:supHide m:val="on"/>
            </m:naryPr>
            <m:sub>
              <m:sSub>
                <m:e>
                  <m:r>
                    <m:t>A</m:t>
                  </m:r>
                </m:e>
                <m:sub>
                  <m:r>
                    <m:t>c</m:t>
                  </m:r>
                </m:sub>
              </m:sSub>
            </m:sub>
            <m:sup>
              <m:r>
                <m:t>​</m:t>
              </m:r>
            </m:sup>
            <m:e>
              <m:sSub>
                <m:e>
                  <m:r>
                    <m:t>σ</m:t>
                  </m:r>
                </m:e>
                <m:sub>
                  <m:r>
                    <m:t>c</m:t>
                  </m:r>
                </m:sub>
              </m:sSub>
            </m:e>
          </m:nary>
          <m:r>
            <m:t>y</m:t>
          </m:r>
          <m:r>
            <m:t> </m:t>
          </m:r>
          <m:r>
            <m:t>d</m:t>
          </m:r>
          <m:r>
            <m:t>A</m:t>
          </m:r>
          <m:r>
            <m:rPr>
              <m:sty m:val="p"/>
            </m:rPr>
            <m:t>+</m:t>
          </m:r>
          <m:nary>
            <m:naryPr>
              <m:chr m:val="∑"/>
              <m:limLoc m:val="undOvr"/>
              <m:subHide m:val="off"/>
              <m:supHide m:val="on"/>
            </m:naryPr>
            <m:sub>
              <m:r>
                <m:t>i</m:t>
              </m:r>
            </m:sub>
            <m:sup>
              <m:r>
                <m:t>​</m:t>
              </m:r>
            </m:sup>
            <m:e>
              <m:sSub>
                <m:e>
                  <m:r>
                    <m:t>A</m:t>
                  </m:r>
                </m:e>
                <m:sub>
                  <m:r>
                    <m:t>s</m:t>
                  </m:r>
                  <m:r>
                    <m:rPr>
                      <m:sty m:val="p"/>
                    </m:rPr>
                    <m:t>,</m:t>
                  </m:r>
                  <m:r>
                    <m:t>i</m:t>
                  </m:r>
                </m:sub>
              </m:sSub>
            </m:e>
          </m:nary>
          <m:sSub>
            <m:e>
              <m:r>
                <m:t>f</m:t>
              </m:r>
            </m:e>
            <m:sub>
              <m:r>
                <m:t>s</m:t>
              </m:r>
              <m:r>
                <m:rPr>
                  <m:sty m:val="p"/>
                </m:rPr>
                <m:t>,</m:t>
              </m:r>
              <m:r>
                <m:t>i</m:t>
              </m:r>
            </m:sub>
          </m:sSub>
          <m:sSub>
            <m:e>
              <m:r>
                <m:t>y</m:t>
              </m:r>
            </m:e>
            <m:sub>
              <m:r>
                <m:t>i</m:t>
              </m:r>
            </m:sub>
          </m:sSub>
          <m:r>
            <m:rPr>
              <m:sty m:val="p"/>
            </m:rPr>
            <m:t>.</m:t>
          </m:r>
          <m:r>
            <m:t>  </m:t>
          </m:r>
          <m:r>
            <m:rPr>
              <m:sty m:val="p"/>
            </m:rPr>
            <m:t>(</m:t>
          </m:r>
          <m:r>
            <m:t>5.11</m:t>
          </m:r>
          <m:r>
            <m:rPr>
              <m:sty m:val="p"/>
            </m:rPr>
            <m:t>)</m:t>
          </m:r>
        </m:oMath>
      </m:oMathPara>
      <w:bookmarkEnd w:id="101"/>
    </w:p>
    <w:p>
      <w:pPr>
        <w:pStyle w:val="FirstParagraph"/>
      </w:pPr>
      <w:r>
        <w:t xml:space="preserve">El dominio adopta</w:t>
      </w:r>
      <w:r>
        <w:t xml:space="preserve"> </w:t>
      </w:r>
      <m:oMath>
        <m:sSub>
          <m:e>
            <m:r>
              <m:t>ε</m:t>
            </m:r>
          </m:e>
          <m:sub>
            <m:r>
              <m:t>c</m:t>
            </m:r>
            <m:r>
              <m:t>u</m:t>
            </m:r>
          </m:sub>
        </m:sSub>
        <m:r>
          <m:rPr>
            <m:sty m:val="p"/>
          </m:rPr>
          <m:t>=</m:t>
        </m:r>
        <m:r>
          <m:t>0.003</m:t>
        </m:r>
      </m:oMath>
      <w:r>
        <w:t xml:space="preserve">, un bloque de compresión de</w:t>
      </w:r>
      <w:r>
        <w:t xml:space="preserve"> </w:t>
      </w:r>
      <m:oMath>
        <m:r>
          <m:t>0.85</m:t>
        </m:r>
        <m:sSubSup>
          <m:e>
            <m:r>
              <m:t>f</m:t>
            </m:r>
          </m:e>
          <m:sub>
            <m:r>
              <m:t>c</m:t>
            </m:r>
          </m:sub>
          <m:sup>
            <m:r>
              <m:rPr>
                <m:sty m:val="p"/>
              </m:rPr>
              <m:t>′</m:t>
            </m:r>
          </m:sup>
        </m:sSubSup>
      </m:oMath>
      <w:r>
        <w:t xml:space="preserve"> </w:t>
      </w:r>
      <w:r>
        <w:t xml:space="preserve">y</w:t>
      </w:r>
      <w:r>
        <w:t xml:space="preserve"> </w:t>
      </w:r>
      <m:oMath>
        <m:sSub>
          <m:e>
            <m:r>
              <m:t>β</m:t>
            </m:r>
          </m:e>
          <m:sub>
            <m:r>
              <m:t>1</m:t>
            </m:r>
          </m:sub>
        </m:sSub>
        <m:r>
          <m:rPr>
            <m:sty m:val="p"/>
          </m:rPr>
          <m:t>=</m:t>
        </m:r>
        <m:r>
          <m:t>0.84</m:t>
        </m:r>
      </m:oMath>
      <w:r>
        <w:t xml:space="preserve"> </w:t>
      </w:r>
      <w:r>
        <w:t xml:space="preserve">para el hormigón de</w:t>
      </w:r>
      <w:r>
        <w:t xml:space="preserve"> </w:t>
      </w:r>
      <w:r>
        <w:t xml:space="preserve">30</w:t>
      </w:r>
      <w:r>
        <w:t xml:space="preserve"> </w:t>
      </w:r>
      <w:r>
        <w:t xml:space="preserve">MPa. Para el acero Grade 60,</w:t>
      </w:r>
      <w:r>
        <w:t xml:space="preserve"> </w:t>
      </w:r>
      <m:oMath>
        <m:sSub>
          <m:e>
            <m:r>
              <m:t>f</m:t>
            </m:r>
          </m:e>
          <m:sub>
            <m:r>
              <m:t>y</m:t>
            </m:r>
          </m:sub>
        </m:sSub>
        <m:r>
          <m:rPr>
            <m:sty m:val="p"/>
          </m:rPr>
          <m:t>=</m:t>
        </m:r>
        <m:r>
          <m:t>414</m:t>
        </m:r>
      </m:oMath>
      <w:r>
        <w:t xml:space="preserve"> </w:t>
      </w:r>
      <w:r>
        <w:t xml:space="preserve">MPa y</w:t>
      </w:r>
      <w:r>
        <w:t xml:space="preserve"> </w:t>
      </w:r>
      <m:oMath>
        <m:sSub>
          <m:e>
            <m:r>
              <m:t>E</m:t>
            </m:r>
          </m:e>
          <m:sub>
            <m:r>
              <m:t>s</m:t>
            </m:r>
          </m:sub>
        </m:sSub>
        <m:r>
          <m:rPr>
            <m:sty m:val="p"/>
          </m:rPr>
          <m:t>=</m:t>
        </m:r>
        <m:r>
          <m:t>200000</m:t>
        </m:r>
      </m:oMath>
      <w:r>
        <w:t xml:space="preserve"> </w:t>
      </w:r>
      <w:r>
        <w:t xml:space="preserve">MPa, por lo que</w:t>
      </w:r>
      <w:r>
        <w:t xml:space="preserve"> </w:t>
      </w:r>
      <m:oMath>
        <m:sSub>
          <m:e>
            <m:r>
              <m:t>ε</m:t>
            </m:r>
          </m:e>
          <m:sub>
            <m:r>
              <m:t>y</m:t>
            </m:r>
          </m:sub>
        </m:sSub>
        <m:r>
          <m:rPr>
            <m:sty m:val="p"/>
          </m:rPr>
          <m:t>=</m:t>
        </m:r>
        <m:sSub>
          <m:e>
            <m:r>
              <m:t>f</m:t>
            </m:r>
          </m:e>
          <m:sub>
            <m:r>
              <m:t>y</m:t>
            </m:r>
          </m:sub>
        </m:sSub>
        <m:r>
          <m:rPr>
            <m:sty m:val="p"/>
          </m:rPr>
          <m:t>/</m:t>
        </m:r>
        <m:sSub>
          <m:e>
            <m:r>
              <m:t>E</m:t>
            </m:r>
          </m:e>
          <m:sub>
            <m:r>
              <m:t>s</m:t>
            </m:r>
          </m:sub>
        </m:sSub>
      </m:oMath>
      <w:r>
        <w:t xml:space="preserve">. El factor de resistencia varía como</w:t>
      </w:r>
    </w:p>
    <w:p>
      <w:pPr>
        <w:pStyle w:val="BodyText"/>
      </w:pPr>
      <w:bookmarkStart w:id="102" w:name="X2e23aea68824b88c3869d94663c758b94c61505"/>
      <m:oMathPara>
        <m:oMathParaPr>
          <m:jc m:val="center"/>
        </m:oMathParaPr>
        <m:oMath>
          <m:r>
            <m:t>ϕ</m:t>
          </m:r>
          <m:r>
            <m:rPr>
              <m:sty m:val="p"/>
            </m:rPr>
            <m:t>=</m:t>
          </m:r>
          <m:d>
            <m:dPr>
              <m:begChr m:val="{"/>
              <m:sepChr m:val=""/>
              <m:endChr m:val=""/>
              <m:grow/>
            </m:dPr>
            <m:e>
              <m:m>
                <m:mPr>
                  <m:baseJc m:val="center"/>
                  <m:plcHide m:val="on"/>
                  <m:mcs>
                    <m:mc>
                      <m:mcPr>
                        <m:mcJc m:val="left"/>
                        <m:count m:val="1"/>
                      </m:mcPr>
                    </m:mc>
                    <m:mc>
                      <m:mcPr>
                        <m:mcJc m:val="left"/>
                        <m:count m:val="1"/>
                      </m:mcPr>
                    </m:mc>
                  </m:mcs>
                </m:mPr>
                <m:mr>
                  <m:e>
                    <m:r>
                      <m:t>0.65</m:t>
                    </m:r>
                    <m:r>
                      <m:rPr>
                        <m:sty m:val="p"/>
                      </m:rPr>
                      <m:t>,</m:t>
                    </m:r>
                  </m:e>
                  <m:e>
                    <m:sSub>
                      <m:e>
                        <m:r>
                          <m:t>ε</m:t>
                        </m:r>
                      </m:e>
                      <m:sub>
                        <m:r>
                          <m:t>t</m:t>
                        </m:r>
                      </m:sub>
                    </m:sSub>
                    <m:r>
                      <m:rPr>
                        <m:sty m:val="p"/>
                      </m:rPr>
                      <m:t>≤</m:t>
                    </m:r>
                    <m:sSub>
                      <m:e>
                        <m:r>
                          <m:t>ε</m:t>
                        </m:r>
                      </m:e>
                      <m:sub>
                        <m:r>
                          <m:t>y</m:t>
                        </m:r>
                      </m:sub>
                    </m:sSub>
                    <m:r>
                      <m:rPr>
                        <m:sty m:val="p"/>
                      </m:rPr>
                      <m:t>,</m:t>
                    </m:r>
                  </m:e>
                </m:mr>
                <m:mr>
                  <m:e>
                    <m:r>
                      <m:t>0.65</m:t>
                    </m:r>
                    <m:r>
                      <m:rPr>
                        <m:sty m:val="p"/>
                      </m:rPr>
                      <m:t>+</m:t>
                    </m:r>
                    <m:r>
                      <m:t>0.25</m:t>
                    </m:r>
                    <m:f>
                      <m:fPr>
                        <m:type m:val="bar"/>
                      </m:fPr>
                      <m:num>
                        <m:sSub>
                          <m:e>
                            <m:r>
                              <m:t>ε</m:t>
                            </m:r>
                          </m:e>
                          <m:sub>
                            <m:r>
                              <m:t>t</m:t>
                            </m:r>
                          </m:sub>
                        </m:sSub>
                        <m:r>
                          <m:rPr>
                            <m:sty m:val="p"/>
                          </m:rPr>
                          <m:t>−</m:t>
                        </m:r>
                        <m:sSub>
                          <m:e>
                            <m:r>
                              <m:t>ε</m:t>
                            </m:r>
                          </m:e>
                          <m:sub>
                            <m:r>
                              <m:t>y</m:t>
                            </m:r>
                          </m:sub>
                        </m:sSub>
                      </m:num>
                      <m:den>
                        <m:r>
                          <m:t>0.003</m:t>
                        </m:r>
                      </m:den>
                    </m:f>
                    <m:r>
                      <m:rPr>
                        <m:sty m:val="p"/>
                      </m:rPr>
                      <m:t>,</m:t>
                    </m:r>
                  </m:e>
                  <m:e>
                    <m:sSub>
                      <m:e>
                        <m:r>
                          <m:t>ε</m:t>
                        </m:r>
                      </m:e>
                      <m:sub>
                        <m:r>
                          <m:t>y</m:t>
                        </m:r>
                      </m:sub>
                    </m:sSub>
                    <m:r>
                      <m:rPr>
                        <m:sty m:val="p"/>
                      </m:rPr>
                      <m:t>&lt;</m:t>
                    </m:r>
                    <m:sSub>
                      <m:e>
                        <m:r>
                          <m:t>ε</m:t>
                        </m:r>
                      </m:e>
                      <m:sub>
                        <m:r>
                          <m:t>t</m:t>
                        </m:r>
                      </m:sub>
                    </m:sSub>
                    <m:r>
                      <m:rPr>
                        <m:sty m:val="p"/>
                      </m:rPr>
                      <m:t>&lt;</m:t>
                    </m:r>
                    <m:sSub>
                      <m:e>
                        <m:r>
                          <m:t>ε</m:t>
                        </m:r>
                      </m:e>
                      <m:sub>
                        <m:r>
                          <m:t>y</m:t>
                        </m:r>
                      </m:sub>
                    </m:sSub>
                    <m:r>
                      <m:rPr>
                        <m:sty m:val="p"/>
                      </m:rPr>
                      <m:t>+</m:t>
                    </m:r>
                    <m:r>
                      <m:t>0.003</m:t>
                    </m:r>
                    <m:r>
                      <m:rPr>
                        <m:sty m:val="p"/>
                      </m:rPr>
                      <m:t>,</m:t>
                    </m:r>
                  </m:e>
                </m:mr>
                <m:mr>
                  <m:e>
                    <m:r>
                      <m:t>0.90</m:t>
                    </m:r>
                    <m:r>
                      <m:rPr>
                        <m:sty m:val="p"/>
                      </m:rPr>
                      <m:t>,</m:t>
                    </m:r>
                  </m:e>
                  <m:e>
                    <m:sSub>
                      <m:e>
                        <m:r>
                          <m:t>ε</m:t>
                        </m:r>
                      </m:e>
                      <m:sub>
                        <m:r>
                          <m:t>t</m:t>
                        </m:r>
                      </m:sub>
                    </m:sSub>
                    <m:r>
                      <m:rPr>
                        <m:sty m:val="p"/>
                      </m:rPr>
                      <m:t>≥</m:t>
                    </m:r>
                    <m:sSub>
                      <m:e>
                        <m:r>
                          <m:t>ε</m:t>
                        </m:r>
                      </m:e>
                      <m:sub>
                        <m:r>
                          <m:t>y</m:t>
                        </m:r>
                      </m:sub>
                    </m:sSub>
                    <m:r>
                      <m:rPr>
                        <m:sty m:val="p"/>
                      </m:rPr>
                      <m:t>+</m:t>
                    </m:r>
                    <m:r>
                      <m:t>0.003</m:t>
                    </m:r>
                    <m:r>
                      <m:rPr>
                        <m:sty m:val="p"/>
                      </m:rPr>
                      <m:t>,</m:t>
                    </m:r>
                  </m:e>
                </m:mr>
              </m:m>
            </m:e>
          </m:d>
          <m:r>
            <m:t>  </m:t>
          </m:r>
          <m:r>
            <m:rPr>
              <m:sty m:val="p"/>
            </m:rPr>
            <m:t>(</m:t>
          </m:r>
          <m:r>
            <m:t>5.12</m:t>
          </m:r>
          <m:r>
            <m:rPr>
              <m:sty m:val="p"/>
            </m:rPr>
            <m:t>)</m:t>
          </m:r>
        </m:oMath>
      </m:oMathPara>
      <w:bookmarkEnd w:id="102"/>
    </w:p>
    <w:p>
      <w:pPr>
        <w:pStyle w:val="FirstParagraph"/>
      </w:pPr>
      <w:r>
        <w:t xml:space="preserve">con el límite del factor de resistencia del artículo 21.2.2.3 y el límite de</w:t>
      </w:r>
      <w:r>
        <w:t xml:space="preserve"> </w:t>
      </w:r>
      <w:r>
        <w:t xml:space="preserve">resistencia axial</w:t>
      </w:r>
      <w:r>
        <w:t xml:space="preserve"> </w:t>
      </w:r>
      <m:oMath>
        <m:sSub>
          <m:e>
            <m:r>
              <m:t>P</m:t>
            </m:r>
          </m:e>
          <m:sub>
            <m:r>
              <m:t>n</m:t>
            </m:r>
            <m:r>
              <m:rPr>
                <m:sty m:val="p"/>
              </m:rPr>
              <m:t>,</m:t>
            </m:r>
            <m:r>
              <m:rPr>
                <m:sty m:val="p"/>
              </m:rPr>
              <m:t>max</m:t>
            </m:r>
          </m:sub>
        </m:sSub>
        <m:r>
          <m:rPr>
            <m:sty m:val="p"/>
          </m:rPr>
          <m:t>=</m:t>
        </m:r>
        <m:r>
          <m:t>0.80</m:t>
        </m:r>
        <m:sSub>
          <m:e>
            <m:r>
              <m:t>P</m:t>
            </m:r>
          </m:e>
          <m:sub>
            <m:r>
              <m:t>o</m:t>
            </m:r>
          </m:sub>
        </m:sSub>
      </m:oMath>
      <w:r>
        <w:t xml:space="preserve"> </w:t>
      </w:r>
      <w:r>
        <w:t xml:space="preserve">del artículo 22.4.2.1 de ACI 318-25</w:t>
      </w:r>
      <w:r>
        <w:t xml:space="preserve"> </w:t>
      </w:r>
      <w:r>
        <w:t xml:space="preserve">(</w:t>
      </w:r>
      <w:hyperlink w:anchor="ref-ACI31825">
        <w:r>
          <w:rPr>
            <w:rStyle w:val="Hyperlink"/>
          </w:rPr>
          <w:t xml:space="preserve">ACI Committee 318 2025</w:t>
        </w:r>
      </w:hyperlink>
      <w:r>
        <w:t xml:space="preserve">, tabla 21.2.2 y arts. 21.2.2.3, 22.2.1, 22.2.2 y 22.4.2)</w:t>
      </w:r>
      <w:r>
        <w:t xml:space="preserve">. La utilización</w:t>
      </w:r>
      <w:r>
        <w:t xml:space="preserve"> </w:t>
      </w:r>
      <w:r>
        <w:t xml:space="preserve">se determina con el multiplicador radial</w:t>
      </w:r>
      <w:r>
        <w:t xml:space="preserve"> </w:t>
      </w:r>
      <m:oMath>
        <m:sSub>
          <m:e>
            <m:r>
              <m:t>λ</m:t>
            </m:r>
          </m:e>
          <m:sub>
            <m:r>
              <m:rPr>
                <m:sty m:val="p"/>
              </m:rPr>
              <m:t>*</m:t>
            </m:r>
          </m:sub>
        </m:sSub>
      </m:oMath>
      <w:r>
        <w:t xml:space="preserve"> </w:t>
      </w:r>
      <w:r>
        <w:t xml:space="preserve">que satisface</w:t>
      </w:r>
    </w:p>
    <w:p>
      <w:pPr>
        <w:pStyle w:val="BodyText"/>
      </w:pPr>
      <w:bookmarkStart w:id="103" w:name="X3f8ff89fae7f0321ab51531ccd1c862f3535f15"/>
      <m:oMathPara>
        <m:oMathParaPr>
          <m:jc m:val="center"/>
        </m:oMathParaPr>
        <m:oMath>
          <m:r>
            <m:rPr>
              <m:sty m:val="p"/>
            </m:rPr>
            <m:t>(</m:t>
          </m:r>
          <m:r>
            <m:t>ϕ</m:t>
          </m:r>
          <m:sSub>
            <m:e>
              <m:r>
                <m:t>P</m:t>
              </m:r>
            </m:e>
            <m:sub>
              <m:r>
                <m:t>n</m:t>
              </m:r>
            </m:sub>
          </m:sSub>
          <m:r>
            <m:rPr>
              <m:sty m:val="p"/>
            </m:rPr>
            <m:t>,</m:t>
          </m:r>
          <m:r>
            <m:t>ϕ</m:t>
          </m:r>
          <m:sSub>
            <m:e>
              <m:r>
                <m:t>M</m:t>
              </m:r>
            </m:e>
            <m:sub>
              <m:r>
                <m:t>n</m:t>
              </m:r>
            </m:sub>
          </m:sSub>
          <m:r>
            <m:rPr>
              <m:sty m:val="p"/>
            </m:rPr>
            <m:t>)</m:t>
          </m:r>
          <m:r>
            <m:rPr>
              <m:sty m:val="p"/>
            </m:rPr>
            <m:t>=</m:t>
          </m:r>
          <m:sSub>
            <m:e>
              <m:r>
                <m:t>λ</m:t>
              </m:r>
            </m:e>
            <m:sub>
              <m:r>
                <m:rPr>
                  <m:sty m:val="p"/>
                </m:rPr>
                <m:t>*</m:t>
              </m:r>
            </m:sub>
          </m:sSub>
          <m:r>
            <m:rPr>
              <m:sty m:val="p"/>
            </m:rPr>
            <m:t>(</m:t>
          </m:r>
          <m:sSub>
            <m:e>
              <m:r>
                <m:t>P</m:t>
              </m:r>
            </m:e>
            <m:sub>
              <m:r>
                <m:t>u</m:t>
              </m:r>
            </m:sub>
          </m:sSub>
          <m:r>
            <m:rPr>
              <m:sty m:val="p"/>
            </m:rPr>
            <m:t>,</m:t>
          </m:r>
          <m:sSub>
            <m:e>
              <m:r>
                <m:t>M</m:t>
              </m:r>
            </m:e>
            <m:sub>
              <m:r>
                <m:t>u</m:t>
              </m:r>
            </m:sub>
          </m:sSub>
          <m:r>
            <m:rPr>
              <m:sty m:val="p"/>
            </m:rPr>
            <m:t>)</m:t>
          </m:r>
          <m:r>
            <m:rPr>
              <m:sty m:val="p"/>
            </m:rPr>
            <m:t>,</m:t>
          </m:r>
          <m:r>
            <m:t>  </m:t>
          </m:r>
          <m:sSub>
            <m:e>
              <m:r>
                <m:t>U</m:t>
              </m:r>
            </m:e>
            <m:sub>
              <m:r>
                <m:t>P</m:t>
              </m:r>
              <m:r>
                <m:t>M</m:t>
              </m:r>
            </m:sub>
          </m:sSub>
          <m:r>
            <m:rPr>
              <m:sty m:val="p"/>
            </m:rPr>
            <m:t>=</m:t>
          </m:r>
          <m:f>
            <m:fPr>
              <m:type m:val="bar"/>
            </m:fPr>
            <m:num>
              <m:r>
                <m:t>1</m:t>
              </m:r>
            </m:num>
            <m:den>
              <m:sSub>
                <m:e>
                  <m:r>
                    <m:t>λ</m:t>
                  </m:r>
                </m:e>
                <m:sub>
                  <m:r>
                    <m:rPr>
                      <m:sty m:val="p"/>
                    </m:rPr>
                    <m:t>*</m:t>
                  </m:r>
                </m:sub>
              </m:sSub>
            </m:den>
          </m:f>
          <m:r>
            <m:rPr>
              <m:sty m:val="p"/>
            </m:rPr>
            <m:t>≤</m:t>
          </m:r>
          <m:r>
            <m:t>1</m:t>
          </m:r>
          <m:r>
            <m:rPr>
              <m:sty m:val="p"/>
            </m:rPr>
            <m:t>.</m:t>
          </m:r>
          <m:r>
            <m:t>  </m:t>
          </m:r>
          <m:r>
            <m:rPr>
              <m:sty m:val="p"/>
            </m:rPr>
            <m:t>(</m:t>
          </m:r>
          <m:r>
            <m:t>5.13</m:t>
          </m:r>
          <m:r>
            <m:rPr>
              <m:sty m:val="p"/>
            </m:rPr>
            <m:t>)</m:t>
          </m:r>
        </m:oMath>
      </m:oMathPara>
      <w:bookmarkEnd w:id="103"/>
    </w:p>
    <w:p>
      <w:pPr>
        <w:pStyle w:val="FirstParagraph"/>
      </w:pPr>
      <w:r>
        <w:t xml:space="preserve">El dominio se calcula con discretizaciones de</w:t>
      </w:r>
      <w:r>
        <w:t xml:space="preserve"> </w:t>
      </w:r>
      <w:r>
        <w:t xml:space="preserve">301 y</w:t>
      </w:r>
      <w:r>
        <w:t xml:space="preserve"> </w:t>
      </w:r>
      <w:r>
        <w:t xml:space="preserve">601</w:t>
      </w:r>
      <w:r>
        <w:t xml:space="preserve"> </w:t>
      </w:r>
      <w:r>
        <w:t xml:space="preserve">puntos y se acepta</w:t>
      </w:r>
      <w:r>
        <w:t xml:space="preserve"> </w:t>
      </w:r>
      <w:r>
        <w:t xml:space="preserve">cuando la diferencia relativa de utilización no supera</w:t>
      </w:r>
      <w:r>
        <w:t xml:space="preserve"> </w:t>
      </w:r>
      <w:r>
        <w:t xml:space="preserve">0.015.</w:t>
      </w:r>
      <w:r>
        <w:t xml:space="preserve"> </w:t>
      </w:r>
      <w:r>
        <w:t xml:space="preserve">Las acciones perimetrales son comunes a las mallas simétricas</w:t>
      </w:r>
      <w:r>
        <w:t xml:space="preserve"> </w:t>
      </w:r>
      <w:r>
        <w:t xml:space="preserve">Ø8/150, Ø10/150 y Ø12/150 de cada espesor porque todas emplean la misma rigidez</w:t>
      </w:r>
      <w:r>
        <w:t xml:space="preserve"> </w:t>
      </w:r>
      <w:r>
        <w:t xml:space="preserve">fisurada del hormigón. Para cada curva se</w:t>
      </w:r>
      <w:r>
        <w:t xml:space="preserve"> </w:t>
      </w:r>
      <w:r>
        <w:t xml:space="preserve">selecciona, en cada límite de interfaz, el par</w:t>
      </w:r>
      <w:r>
        <w:t xml:space="preserve"> </w:t>
      </w:r>
      <m:oMath>
        <m:r>
          <m:rPr>
            <m:sty m:val="p"/>
          </m:rPr>
          <m:t>(</m:t>
        </m:r>
        <m:sSub>
          <m:e>
            <m:r>
              <m:t>P</m:t>
            </m:r>
          </m:e>
          <m:sub>
            <m:r>
              <m:t>u</m:t>
            </m:r>
          </m:sub>
        </m:sSub>
        <m:r>
          <m:rPr>
            <m:sty m:val="p"/>
          </m:rPr>
          <m:t>,</m:t>
        </m:r>
        <m:sSub>
          <m:e>
            <m:r>
              <m:t>M</m:t>
            </m:r>
          </m:e>
          <m:sub>
            <m:r>
              <m:t>u</m:t>
            </m:r>
          </m:sub>
        </m:sSub>
        <m:r>
          <m:rPr>
            <m:sty m:val="p"/>
          </m:rPr>
          <m:t>)</m:t>
        </m:r>
      </m:oMath>
      <w:r>
        <w:t xml:space="preserve"> </w:t>
      </w:r>
      <w:r>
        <w:t xml:space="preserve">que maximiza su</w:t>
      </w:r>
      <w:r>
        <w:t xml:space="preserve"> </w:t>
      </w:r>
      <w:r>
        <w:t xml:space="preserve">utilización radial entre todas las posiciones angulares y combinaciones</w:t>
      </w:r>
      <w:r>
        <w:t xml:space="preserve"> </w:t>
      </w:r>
      <m:oMath>
        <m:r>
          <m:t>E</m:t>
        </m:r>
        <m:r>
          <m:t>V</m:t>
        </m:r>
        <m:r>
          <m:rPr>
            <m:sty m:val="p"/>
          </m:rPr>
          <m:t>/</m:t>
        </m:r>
        <m:r>
          <m:t>E</m:t>
        </m:r>
        <m:r>
          <m:t>H</m:t>
        </m:r>
      </m:oMath>
      <w:r>
        <w:t xml:space="preserve">. Por ello cada armadura presenta dos marcadores y la posición</w:t>
      </w:r>
      <w:r>
        <w:t xml:space="preserve"> </w:t>
      </w:r>
      <w:r>
        <w:t xml:space="preserve">gobernante puede cambiar al modificarse el dominio resistente. El caso adicional</w:t>
      </w:r>
      <w:r>
        <w:t xml:space="preserve"> </w:t>
      </w:r>
      <w:r>
        <w:t xml:space="preserve">representa la chapa exterior remanente trabajando en acción compuesta total</w:t>
      </w:r>
      <w:r>
        <w:t xml:space="preserve"> </w:t>
      </w:r>
      <w:r>
        <w:t xml:space="preserve">con una malla circunferencial Ø8/150 en la cara interior. Para ese caso se</w:t>
      </w:r>
      <w:r>
        <w:t xml:space="preserve"> </w:t>
      </w:r>
      <w:r>
        <w:t xml:space="preserve">calcula el centroide elástico de la sección asimétrica y se vuelven a obtener</w:t>
      </w:r>
      <w:r>
        <w:t xml:space="preserve"> </w:t>
      </w:r>
      <w:r>
        <w:t xml:space="preserve">las acciones con su propia rigidez; no se reutilizan los puntos de demanda de</w:t>
      </w:r>
      <w:r>
        <w:t xml:space="preserve"> </w:t>
      </w:r>
      <w:r>
        <w:t xml:space="preserve">las cuantías simétricas.</w:t>
      </w:r>
    </w:p>
    <w:p>
      <w:pPr>
        <w:pStyle w:val="BodyText"/>
      </w:pPr>
      <w:r>
        <w:t xml:space="preserve">La comparación conserva el espesor, el hormigón y la calidad del acero. Para</w:t>
      </w:r>
      <w:r>
        <w:t xml:space="preserve"> </w:t>
      </w:r>
      <w:r>
        <w:t xml:space="preserve">cada diámetro se calcula el área de las barras y la posición de sus capas a</w:t>
      </w:r>
      <w:r>
        <w:t xml:space="preserve"> </w:t>
      </w:r>
      <w:r>
        <w:t xml:space="preserve">partir del espaciamiento y del recubrimiento. La</w:t>
      </w:r>
      <w:r>
        <w:t xml:space="preserve"> </w:t>
      </w:r>
      <w:r>
        <w:t xml:space="preserve">sección de 100 mm se presenta en la</w:t>
      </w:r>
      <w:r>
        <w:t xml:space="preserve"> </w:t>
      </w:r>
      <w:hyperlink w:anchor="Xf4bdf943e48135186b598e2082bcc2307d16072">
        <w:r>
          <w:rPr>
            <w:rStyle w:val="Hyperlink"/>
          </w:rPr>
          <w:t xml:space="preserve">tabla 5.7</w:t>
        </w:r>
      </w:hyperlink>
      <w:r>
        <w:t xml:space="preserve"> </w:t>
      </w:r>
      <w:r>
        <w:t xml:space="preserve">y la</w:t>
      </w:r>
      <w:r>
        <w:t xml:space="preserve"> </w:t>
      </w:r>
      <w:hyperlink w:anchor="fig-pm-shotcrete100">
        <w:r>
          <w:rPr>
            <w:rStyle w:val="Hyperlink"/>
          </w:rPr>
          <w:t xml:space="preserve">figura 5.3</w:t>
        </w:r>
      </w:hyperlink>
      <w:r>
        <w:t xml:space="preserve">.</w:t>
      </w:r>
    </w:p>
    <w:tbl>
      <w:tblPr>
        <w:tblStyle w:val="Table"/>
        <w:tblLayout w:type="autofit"/>
        <w:tblLook w:firstRow="0" w:lastRow="0" w:firstColumn="0" w:lastColumn="0" w:noHBand="0" w:noVBand="0" w:val="0000"/>
      </w:tblPr>
      <w:tblGrid>
        <w:gridCol w:w="7920"/>
      </w:tblGrid>
      <w:tr>
        <w:tc>
          <w:tcPr/>
          <w:bookmarkStart w:id="104" w:name="Xf4bdf943e48135186b598e2082bcc2307d16072"/>
          <w:p>
            <w:pPr>
              <w:jc w:val="left"/>
              <w:pStyle w:val="ImageCaption"/>
            </w:pPr>
            <w:r>
              <w:t xml:space="preserve">Tabla 5.7: Sección de 100 mm. Los identificadores que comienzan con</w:t>
            </w:r>
            <w:r>
              <w:t xml:space="preserve"> </w:t>
            </w:r>
            <w:r>
              <w:rPr>
                <w:rStyle w:val="VerbatimChar"/>
              </w:rPr>
              <w:t xml:space="preserve">S</w:t>
            </w:r>
            <w:r>
              <w:t xml:space="preserve"> </w:t>
            </w:r>
            <w:r>
              <w:t xml:space="preserve">corresponden a las mallas simétricas indicadas en</w:t>
            </w:r>
            <w:r>
              <w:t xml:space="preserve"> </w:t>
            </w:r>
            <m:oMath>
              <m:r>
                <m:t>ϕ</m:t>
              </m:r>
              <m:r>
                <m:rPr>
                  <m:sty m:val="p"/>
                </m:rPr>
                <m:t>/</m:t>
              </m:r>
              <m:r>
                <m:t>s</m:t>
              </m:r>
            </m:oMath>
            <w:r>
              <w:t xml:space="preserve"> </w:t>
            </w:r>
            <w:r>
              <w:t xml:space="preserve">y dispuestas en ambas caras;</w:t>
            </w:r>
            <w:r>
              <w:t xml:space="preserve"> </w:t>
            </w:r>
            <w:r>
              <w:rPr>
                <w:rStyle w:val="VerbatimChar"/>
              </w:rPr>
              <w:t xml:space="preserve">A</w:t>
            </w:r>
            <w:r>
              <w:t xml:space="preserve"> </w:t>
            </w:r>
            <w:r>
              <w:t xml:space="preserve">identifica el caso asimétrico de chapa exterior más una malla interior con acción compuesta total. En los casos simétricos,</w:t>
            </w:r>
            <w:r>
              <w:t xml:space="preserve"> </w:t>
            </w:r>
            <m:oMath>
              <m:sSub>
                <m:e>
                  <m:r>
                    <m:t>A</m:t>
                  </m:r>
                </m:e>
                <m:sub>
                  <m:r>
                    <m:t>s</m:t>
                  </m:r>
                  <m:r>
                    <m:rPr>
                      <m:sty m:val="p"/>
                    </m:rPr>
                    <m:t>,</m:t>
                  </m:r>
                  <m:r>
                    <m:t>θ</m:t>
                  </m:r>
                </m:sub>
              </m:sSub>
            </m:oMath>
            <w:r>
              <w:t xml:space="preserve"> </w:t>
            </w:r>
            <w:r>
              <w:t xml:space="preserve">suma ambas caras y</w:t>
            </w:r>
            <w:r>
              <w:t xml:space="preserve"> </w:t>
            </w:r>
            <m:oMath>
              <m:sSub>
                <m:e>
                  <m:r>
                    <m:t>ρ</m:t>
                  </m:r>
                </m:e>
                <m:sub>
                  <m:r>
                    <m:t>θ</m:t>
                  </m:r>
                </m:sub>
              </m:sSub>
              <m:r>
                <m:rPr>
                  <m:sty m:val="p"/>
                </m:rPr>
                <m:t>=</m:t>
              </m:r>
              <m:sSub>
                <m:e>
                  <m:r>
                    <m:t>A</m:t>
                  </m:r>
                </m:e>
                <m:sub>
                  <m:r>
                    <m:t>s</m:t>
                  </m:r>
                  <m:r>
                    <m:rPr>
                      <m:sty m:val="p"/>
                    </m:rPr>
                    <m:t>,</m:t>
                  </m:r>
                  <m:r>
                    <m:t>θ</m:t>
                  </m:r>
                </m:sub>
              </m:sSub>
              <m:r>
                <m:rPr>
                  <m:sty m:val="p"/>
                </m:rPr>
                <m:t>/</m:t>
              </m:r>
              <m:r>
                <m:rPr>
                  <m:sty m:val="p"/>
                </m:rPr>
                <m:t>(</m:t>
              </m:r>
              <m:r>
                <m:t>b</m:t>
              </m:r>
              <m:sSub>
                <m:e>
                  <m:r>
                    <m:t>t</m:t>
                  </m:r>
                </m:e>
                <m:sub>
                  <m:r>
                    <m:t>c</m:t>
                  </m:r>
                </m:sub>
              </m:sSub>
              <m:r>
                <m:rPr>
                  <m:sty m:val="p"/>
                </m:rPr>
                <m:t>)</m:t>
              </m:r>
            </m:oMath>
            <w:r>
              <w:t xml:space="preserve">; en el caso asimétrico se informa la suma de la chapa y la malla interior.</w:t>
            </w:r>
            <w:r>
              <w:t xml:space="preserve"> </w:t>
            </w:r>
            <m:oMath>
              <m:sSub>
                <m:e>
                  <m:r>
                    <m:t>U</m:t>
                  </m:r>
                </m:e>
                <m:sub>
                  <m:r>
                    <m:t>P</m:t>
                  </m:r>
                  <m:r>
                    <m:t>M</m:t>
                  </m:r>
                  <m:r>
                    <m:rPr>
                      <m:sty m:val="p"/>
                    </m:rPr>
                    <m:t>,</m:t>
                  </m:r>
                  <m:r>
                    <m:rPr>
                      <m:sty m:val="p"/>
                    </m:rPr>
                    <m:t>max</m:t>
                  </m:r>
                </m:sub>
              </m:sSub>
            </m:oMath>
            <w:r>
              <w:t xml:space="preserve"> </w:t>
            </w:r>
            <w:r>
              <w:t xml:space="preserve">y</w:t>
            </w:r>
            <w:r>
              <w:t xml:space="preserve"> </w:t>
            </w:r>
            <m:oMath>
              <m:sSub>
                <m:e>
                  <m:r>
                    <m:t>U</m:t>
                  </m:r>
                </m:e>
                <m:sub>
                  <m:r>
                    <m:t>V</m:t>
                  </m:r>
                  <m:r>
                    <m:rPr>
                      <m:sty m:val="p"/>
                    </m:rPr>
                    <m:t>,</m:t>
                  </m:r>
                  <m:r>
                    <m:rPr>
                      <m:sty m:val="p"/>
                    </m:rPr>
                    <m:t>max</m:t>
                  </m:r>
                </m:sub>
              </m:sSub>
            </m:oMath>
            <w:r>
              <w:t xml:space="preserve"> </w:t>
            </w:r>
            <w:r>
              <w:t xml:space="preserve">son las utilizaciones máximas de flexocompresión y corte.</w:t>
            </w:r>
            <w:r>
              <w:t xml:space="preserve"> </w:t>
            </w:r>
            <m:oMath>
              <m:sSubSup>
                <m:e>
                  <m:r>
                    <m:t>U</m:t>
                  </m:r>
                </m:e>
                <m:sub>
                  <m:r>
                    <m:t>r</m:t>
                  </m:r>
                  <m:r>
                    <m:rPr>
                      <m:sty m:val="p"/>
                    </m:rPr>
                    <m:t>,</m:t>
                  </m:r>
                  <m:r>
                    <m:rPr>
                      <m:sty m:val="p"/>
                    </m:rPr>
                    <m:t>max</m:t>
                  </m:r>
                </m:sub>
                <m:sup>
                  <m:r>
                    <m:rPr>
                      <m:sty m:val="p"/>
                    </m:rPr>
                    <m:t>*</m:t>
                  </m:r>
                </m:sup>
              </m:sSubSup>
            </m:oMath>
            <w:r>
              <w:t xml:space="preserve"> </w:t>
            </w:r>
            <w:r>
              <w:t xml:space="preserve">es el control de desprendimiento radial y no forma parte de</w:t>
            </w:r>
            <w:r>
              <w:t xml:space="preserve"> </w:t>
            </w:r>
            <m:oMath>
              <m:r>
                <m:t>P</m:t>
              </m:r>
            </m:oMath>
            <w:r>
              <w:t xml:space="preserve">–</w:t>
            </w:r>
            <m:oMath>
              <m:r>
                <m:t>M</m:t>
              </m:r>
            </m:oMath>
            <w:r>
              <w:t xml:space="preserve">. Cada estado</w:t>
            </w:r>
            <w:r>
              <w:t xml:space="preserve"> </w:t>
            </w:r>
            <m:oMath>
              <m:sSub>
                <m:e>
                  <m:r>
                    <m:t>E</m:t>
                  </m:r>
                </m:e>
                <m:sub>
                  <m:r>
                    <m:t>j</m:t>
                  </m:r>
                </m:sub>
              </m:sSub>
            </m:oMath>
            <w:r>
              <w:t xml:space="preserve"> </w:t>
            </w:r>
            <w:r>
              <w:t xml:space="preserve">es</w:t>
            </w:r>
            <w:r>
              <w:t xml:space="preserve"> </w:t>
            </w:r>
            <w:r>
              <w:rPr>
                <w:rStyle w:val="VerbatimChar"/>
              </w:rPr>
              <w:t xml:space="preserve">OK</w:t>
            </w:r>
            <w:r>
              <w:t xml:space="preserve"> </w:t>
            </w:r>
            <w:r>
              <w:t xml:space="preserve">para</w:t>
            </w:r>
            <w:r>
              <w:t xml:space="preserve"> </w:t>
            </w:r>
            <m:oMath>
              <m:sSub>
                <m:e>
                  <m:r>
                    <m:t>U</m:t>
                  </m:r>
                </m:e>
                <m:sub>
                  <m:r>
                    <m:t>j</m:t>
                  </m:r>
                </m:sub>
              </m:sSub>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sSub>
                <m:e>
                  <m:r>
                    <m:t>U</m:t>
                  </m:r>
                </m:e>
                <m:sub>
                  <m:r>
                    <m:t>j</m:t>
                  </m:r>
                </m:sub>
              </m:sSub>
              <m:r>
                <m:rPr>
                  <m:sty m:val="p"/>
                </m:rPr>
                <m:t>&gt;</m:t>
              </m:r>
              <m:r>
                <m:t>1</m:t>
              </m:r>
            </m:oMath>
            <w:r>
              <w:t xml:space="preserve">;</w:t>
            </w:r>
            <w:r>
              <w:t xml:space="preserve"> </w:t>
            </w:r>
            <m:oMath>
              <m:r>
                <m:t>E</m:t>
              </m:r>
            </m:oMath>
            <w:r>
              <w:t xml:space="preserve"> </w:t>
            </w:r>
            <w:r>
              <w:t xml:space="preserve">combina exclusivamente flexocompresión y corte.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ID</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ϕ</m:t>
                    </m:r>
                    <m:r>
                      <m:rPr>
                        <m:sty m:val="p"/>
                      </m:rPr>
                      <m:t>/</m:t>
                    </m:r>
                    <m:r>
                      <m:t>s</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s,θ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[cm²/m]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ρ</m:t>
                        </m:r>
                      </m:e>
                      <m:sub>
                        <m:r>
                          <m:t>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PM,</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PM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V</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r,</m:t>
                        </m:r>
                        <m:r>
                          <m:rPr>
                            <m:sty m:val="p"/>
                          </m:rPr>
                          <m:t>max</m:t>
                        </m:r>
                        <m:r>
                          <m:t>⁡</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E</m:t>
                        </m:r>
                      </m:e>
                      <m:sub>
                        <m:r>
                          <m:t>r</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bl>
          <w:bookmarkEnd w:id="104"/>
          <w:p/>
        </w:tc>
      </w:tr>
    </w:tbl>
    <w:tbl>
      <w:tblPr>
        <w:tblStyle w:val="Table"/>
        <w:tblLayout w:type="autofit"/>
        <w:tblLook w:firstRow="0" w:lastRow="0" w:firstColumn="0" w:lastColumn="0" w:noHBand="0" w:noVBand="0" w:val="0000"/>
      </w:tblPr>
      <w:tblGrid>
        <w:gridCol w:w="7920"/>
      </w:tblGrid>
      <w:tr>
        <w:tc>
          <w:tcPr/>
          <w:bookmarkStart w:id="108" w:name="fig-pm-shotcrete100"/>
          <w:p>
            <w:pPr>
              <w:pStyle w:val="Compact"/>
              <w:jc w:val="center"/>
            </w:pPr>
            <w:r>
              <w:drawing>
                <wp:inline>
                  <wp:extent cx="5791200" cy="4378427"/>
                  <wp:effectExtent b="0" l="0" r="0" t="0"/>
                  <wp:docPr descr="" title="" id="106" name="Picture"/>
                  <a:graphic>
                    <a:graphicData uri="http://schemas.openxmlformats.org/drawingml/2006/picture">
                      <pic:pic>
                        <pic:nvPicPr>
                          <pic:cNvPr descr="_index/rehabilitation.ES_files/figure-docx/fig-pm-shotcrete100-1.png" id="107" name="Picture"/>
                          <pic:cNvPicPr>
                            <a:picLocks noChangeArrowheads="1" noChangeAspect="1"/>
                          </pic:cNvPicPr>
                        </pic:nvPicPr>
                        <pic:blipFill>
                          <a:blip r:embed="rId105"/>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5.3: Sección de 100 mm: cuarto del dominio resistente de diseño</w:t>
            </w:r>
            <w:r>
              <w:t xml:space="preserve"> </w:t>
            </w:r>
            <m:oMath>
              <m:r>
                <m:t>P</m:t>
              </m:r>
            </m:oMath>
            <w:r>
              <w:t xml:space="preserve">–</w:t>
            </w:r>
            <m:oMath>
              <m:r>
                <m:t>M</m:t>
              </m:r>
            </m:oMath>
            <w:r>
              <w:t xml:space="preserve"> </w:t>
            </w:r>
            <w:r>
              <w:t xml:space="preserve">correspondiente a</w:t>
            </w:r>
            <w:r>
              <w:t xml:space="preserve"> </w:t>
            </w:r>
            <m:oMath>
              <m:r>
                <m:t>P</m:t>
              </m:r>
              <m:r>
                <m:rPr>
                  <m:sty m:val="p"/>
                </m:rPr>
                <m:t>≥</m:t>
              </m:r>
              <m:r>
                <m:t>0</m:t>
              </m:r>
            </m:oMath>
            <w:r>
              <w:t xml:space="preserve"> </w:t>
            </w:r>
            <w:r>
              <w:t xml:space="preserve">y</w:t>
            </w:r>
            <w:r>
              <w:t xml:space="preserve"> </w:t>
            </w:r>
            <m:oMath>
              <m:r>
                <m:t>M</m:t>
              </m:r>
              <m:r>
                <m:rPr>
                  <m:sty m:val="p"/>
                </m:rPr>
                <m:t>≥</m:t>
              </m:r>
              <m:r>
                <m:t>0</m:t>
              </m:r>
            </m:oMath>
            <w:r>
              <w:t xml:space="preserve">, para las mallas simétricas indicadas en la leyenda y para el caso asimétrico de chapa exterior más una malla interior. Cada configuración tiene dos marcadores del color de su curva, uno por condición de interfaz. Las mallas simétricas comparten la rigidez fisurada del hormigón y, por ello, sus pares de demanda coinciden; se muestran como anillos concéntricos sin alterar las coordenadas. Los dos puntos del caso asimétrico se recalculan con la rigidez de la sección compuesta.</w:t>
            </w:r>
          </w:p>
          <w:bookmarkEnd w:id="108"/>
        </w:tc>
      </w:tr>
    </w:tbl>
    <w:p>
      <w:pPr>
        <w:pStyle w:val="BodyText"/>
      </w:pPr>
      <w:r>
        <w:t xml:space="preserve">La sección de 150 mm se presenta en la</w:t>
      </w:r>
      <w:r>
        <w:t xml:space="preserve"> </w:t>
      </w:r>
      <w:hyperlink w:anchor="Xa4f9dd1ed5ac963bc74b420faf2bf21ad938771">
        <w:r>
          <w:rPr>
            <w:rStyle w:val="Hyperlink"/>
          </w:rPr>
          <w:t xml:space="preserve">tabla 5.8</w:t>
        </w:r>
      </w:hyperlink>
      <w:r>
        <w:t xml:space="preserve"> </w:t>
      </w:r>
      <w:r>
        <w:t xml:space="preserve">y la</w:t>
      </w:r>
      <w:r>
        <w:t xml:space="preserve"> </w:t>
      </w:r>
      <w:hyperlink w:anchor="fig-pm-shotcrete150">
        <w:r>
          <w:rPr>
            <w:rStyle w:val="Hyperlink"/>
          </w:rPr>
          <w:t xml:space="preserve">figura 5.4</w:t>
        </w:r>
      </w:hyperlink>
      <w:r>
        <w:t xml:space="preserve">.</w:t>
      </w:r>
    </w:p>
    <w:tbl>
      <w:tblPr>
        <w:tblStyle w:val="Table"/>
        <w:tblLayout w:type="autofit"/>
        <w:tblLook w:firstRow="0" w:lastRow="0" w:firstColumn="0" w:lastColumn="0" w:noHBand="0" w:noVBand="0" w:val="0000"/>
      </w:tblPr>
      <w:tblGrid>
        <w:gridCol w:w="7920"/>
      </w:tblGrid>
      <w:tr>
        <w:tc>
          <w:tcPr/>
          <w:bookmarkStart w:id="109" w:name="Xa4f9dd1ed5ac963bc74b420faf2bf21ad938771"/>
          <w:p>
            <w:pPr>
              <w:jc w:val="left"/>
              <w:pStyle w:val="ImageCaption"/>
            </w:pPr>
            <w:r>
              <w:t xml:space="preserve">Tabla 5.8: Sección de 150 mm. Los identificadores que comienzan con</w:t>
            </w:r>
            <w:r>
              <w:t xml:space="preserve"> </w:t>
            </w:r>
            <w:r>
              <w:rPr>
                <w:rStyle w:val="VerbatimChar"/>
              </w:rPr>
              <w:t xml:space="preserve">S</w:t>
            </w:r>
            <w:r>
              <w:t xml:space="preserve"> </w:t>
            </w:r>
            <w:r>
              <w:t xml:space="preserve">corresponden a las mallas simétricas indicadas en</w:t>
            </w:r>
            <w:r>
              <w:t xml:space="preserve"> </w:t>
            </w:r>
            <m:oMath>
              <m:r>
                <m:t>ϕ</m:t>
              </m:r>
              <m:r>
                <m:rPr>
                  <m:sty m:val="p"/>
                </m:rPr>
                <m:t>/</m:t>
              </m:r>
              <m:r>
                <m:t>s</m:t>
              </m:r>
            </m:oMath>
            <w:r>
              <w:t xml:space="preserve"> </w:t>
            </w:r>
            <w:r>
              <w:t xml:space="preserve">y dispuestas en ambas caras;</w:t>
            </w:r>
            <w:r>
              <w:t xml:space="preserve"> </w:t>
            </w:r>
            <w:r>
              <w:rPr>
                <w:rStyle w:val="VerbatimChar"/>
              </w:rPr>
              <w:t xml:space="preserve">A</w:t>
            </w:r>
            <w:r>
              <w:t xml:space="preserve"> </w:t>
            </w:r>
            <w:r>
              <w:t xml:space="preserve">identifica el caso asimétrico de chapa exterior más una malla interior con acción compuesta total. En los casos simétricos,</w:t>
            </w:r>
            <w:r>
              <w:t xml:space="preserve"> </w:t>
            </w:r>
            <m:oMath>
              <m:sSub>
                <m:e>
                  <m:r>
                    <m:t>A</m:t>
                  </m:r>
                </m:e>
                <m:sub>
                  <m:r>
                    <m:t>s</m:t>
                  </m:r>
                  <m:r>
                    <m:rPr>
                      <m:sty m:val="p"/>
                    </m:rPr>
                    <m:t>,</m:t>
                  </m:r>
                  <m:r>
                    <m:t>θ</m:t>
                  </m:r>
                </m:sub>
              </m:sSub>
            </m:oMath>
            <w:r>
              <w:t xml:space="preserve"> </w:t>
            </w:r>
            <w:r>
              <w:t xml:space="preserve">suma ambas caras y</w:t>
            </w:r>
            <w:r>
              <w:t xml:space="preserve"> </w:t>
            </w:r>
            <m:oMath>
              <m:sSub>
                <m:e>
                  <m:r>
                    <m:t>ρ</m:t>
                  </m:r>
                </m:e>
                <m:sub>
                  <m:r>
                    <m:t>θ</m:t>
                  </m:r>
                </m:sub>
              </m:sSub>
              <m:r>
                <m:rPr>
                  <m:sty m:val="p"/>
                </m:rPr>
                <m:t>=</m:t>
              </m:r>
              <m:sSub>
                <m:e>
                  <m:r>
                    <m:t>A</m:t>
                  </m:r>
                </m:e>
                <m:sub>
                  <m:r>
                    <m:t>s</m:t>
                  </m:r>
                  <m:r>
                    <m:rPr>
                      <m:sty m:val="p"/>
                    </m:rPr>
                    <m:t>,</m:t>
                  </m:r>
                  <m:r>
                    <m:t>θ</m:t>
                  </m:r>
                </m:sub>
              </m:sSub>
              <m:r>
                <m:rPr>
                  <m:sty m:val="p"/>
                </m:rPr>
                <m:t>/</m:t>
              </m:r>
              <m:r>
                <m:rPr>
                  <m:sty m:val="p"/>
                </m:rPr>
                <m:t>(</m:t>
              </m:r>
              <m:r>
                <m:t>b</m:t>
              </m:r>
              <m:sSub>
                <m:e>
                  <m:r>
                    <m:t>t</m:t>
                  </m:r>
                </m:e>
                <m:sub>
                  <m:r>
                    <m:t>c</m:t>
                  </m:r>
                </m:sub>
              </m:sSub>
              <m:r>
                <m:rPr>
                  <m:sty m:val="p"/>
                </m:rPr>
                <m:t>)</m:t>
              </m:r>
            </m:oMath>
            <w:r>
              <w:t xml:space="preserve">; en el caso asimétrico se informa la suma de la chapa y la malla interior.</w:t>
            </w:r>
            <w:r>
              <w:t xml:space="preserve"> </w:t>
            </w:r>
            <m:oMath>
              <m:sSub>
                <m:e>
                  <m:r>
                    <m:t>U</m:t>
                  </m:r>
                </m:e>
                <m:sub>
                  <m:r>
                    <m:t>P</m:t>
                  </m:r>
                  <m:r>
                    <m:t>M</m:t>
                  </m:r>
                  <m:r>
                    <m:rPr>
                      <m:sty m:val="p"/>
                    </m:rPr>
                    <m:t>,</m:t>
                  </m:r>
                  <m:r>
                    <m:rPr>
                      <m:sty m:val="p"/>
                    </m:rPr>
                    <m:t>max</m:t>
                  </m:r>
                </m:sub>
              </m:sSub>
            </m:oMath>
            <w:r>
              <w:t xml:space="preserve"> </w:t>
            </w:r>
            <w:r>
              <w:t xml:space="preserve">y</w:t>
            </w:r>
            <w:r>
              <w:t xml:space="preserve"> </w:t>
            </w:r>
            <m:oMath>
              <m:sSub>
                <m:e>
                  <m:r>
                    <m:t>U</m:t>
                  </m:r>
                </m:e>
                <m:sub>
                  <m:r>
                    <m:t>V</m:t>
                  </m:r>
                  <m:r>
                    <m:rPr>
                      <m:sty m:val="p"/>
                    </m:rPr>
                    <m:t>,</m:t>
                  </m:r>
                  <m:r>
                    <m:rPr>
                      <m:sty m:val="p"/>
                    </m:rPr>
                    <m:t>max</m:t>
                  </m:r>
                </m:sub>
              </m:sSub>
            </m:oMath>
            <w:r>
              <w:t xml:space="preserve"> </w:t>
            </w:r>
            <w:r>
              <w:t xml:space="preserve">son las utilizaciones máximas de flexocompresión y corte.</w:t>
            </w:r>
            <w:r>
              <w:t xml:space="preserve"> </w:t>
            </w:r>
            <m:oMath>
              <m:sSubSup>
                <m:e>
                  <m:r>
                    <m:t>U</m:t>
                  </m:r>
                </m:e>
                <m:sub>
                  <m:r>
                    <m:t>r</m:t>
                  </m:r>
                  <m:r>
                    <m:rPr>
                      <m:sty m:val="p"/>
                    </m:rPr>
                    <m:t>,</m:t>
                  </m:r>
                  <m:r>
                    <m:rPr>
                      <m:sty m:val="p"/>
                    </m:rPr>
                    <m:t>max</m:t>
                  </m:r>
                </m:sub>
                <m:sup>
                  <m:r>
                    <m:rPr>
                      <m:sty m:val="p"/>
                    </m:rPr>
                    <m:t>*</m:t>
                  </m:r>
                </m:sup>
              </m:sSubSup>
            </m:oMath>
            <w:r>
              <w:t xml:space="preserve"> </w:t>
            </w:r>
            <w:r>
              <w:t xml:space="preserve">es el control de desprendimiento radial y no forma parte de</w:t>
            </w:r>
            <w:r>
              <w:t xml:space="preserve"> </w:t>
            </w:r>
            <m:oMath>
              <m:r>
                <m:t>P</m:t>
              </m:r>
            </m:oMath>
            <w:r>
              <w:t xml:space="preserve">–</w:t>
            </w:r>
            <m:oMath>
              <m:r>
                <m:t>M</m:t>
              </m:r>
            </m:oMath>
            <w:r>
              <w:t xml:space="preserve">. Cada estado</w:t>
            </w:r>
            <w:r>
              <w:t xml:space="preserve"> </w:t>
            </w:r>
            <m:oMath>
              <m:sSub>
                <m:e>
                  <m:r>
                    <m:t>E</m:t>
                  </m:r>
                </m:e>
                <m:sub>
                  <m:r>
                    <m:t>j</m:t>
                  </m:r>
                </m:sub>
              </m:sSub>
            </m:oMath>
            <w:r>
              <w:t xml:space="preserve"> </w:t>
            </w:r>
            <w:r>
              <w:t xml:space="preserve">es</w:t>
            </w:r>
            <w:r>
              <w:t xml:space="preserve"> </w:t>
            </w:r>
            <w:r>
              <w:rPr>
                <w:rStyle w:val="VerbatimChar"/>
              </w:rPr>
              <w:t xml:space="preserve">OK</w:t>
            </w:r>
            <w:r>
              <w:t xml:space="preserve"> </w:t>
            </w:r>
            <w:r>
              <w:t xml:space="preserve">para</w:t>
            </w:r>
            <w:r>
              <w:t xml:space="preserve"> </w:t>
            </w:r>
            <m:oMath>
              <m:sSub>
                <m:e>
                  <m:r>
                    <m:t>U</m:t>
                  </m:r>
                </m:e>
                <m:sub>
                  <m:r>
                    <m:t>j</m:t>
                  </m:r>
                </m:sub>
              </m:sSub>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sSub>
                <m:e>
                  <m:r>
                    <m:t>U</m:t>
                  </m:r>
                </m:e>
                <m:sub>
                  <m:r>
                    <m:t>j</m:t>
                  </m:r>
                </m:sub>
              </m:sSub>
              <m:r>
                <m:rPr>
                  <m:sty m:val="p"/>
                </m:rPr>
                <m:t>&gt;</m:t>
              </m:r>
              <m:r>
                <m:t>1</m:t>
              </m:r>
            </m:oMath>
            <w:r>
              <w:t xml:space="preserve">;</w:t>
            </w:r>
            <w:r>
              <w:t xml:space="preserve"> </w:t>
            </w:r>
            <m:oMath>
              <m:r>
                <m:t>E</m:t>
              </m:r>
            </m:oMath>
            <w:r>
              <w:t xml:space="preserve"> </w:t>
            </w:r>
            <w:r>
              <w:t xml:space="preserve">combina exclusivamente flexocompresión y corte.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ID</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ϕ</m:t>
                    </m:r>
                    <m:r>
                      <m:rPr>
                        <m:sty m:val="p"/>
                      </m:rPr>
                      <m:t>/</m:t>
                    </m:r>
                    <m:r>
                      <m:t>s</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s,θ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[cm²/m]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ρ</m:t>
                        </m:r>
                      </m:e>
                      <m:sub>
                        <m:r>
                          <m:t>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PM,</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PM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V</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r,</m:t>
                        </m:r>
                        <m:r>
                          <m:rPr>
                            <m:sty m:val="p"/>
                          </m:rPr>
                          <m:t>max</m:t>
                        </m:r>
                        <m:r>
                          <m:t>⁡</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E</m:t>
                        </m:r>
                      </m:e>
                      <m:sub>
                        <m:r>
                          <m:t>r</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bl>
          <w:bookmarkEnd w:id="109"/>
          <w:p/>
        </w:tc>
      </w:tr>
    </w:tbl>
    <w:tbl>
      <w:tblPr>
        <w:tblStyle w:val="Table"/>
        <w:tblLayout w:type="autofit"/>
        <w:tblLook w:firstRow="0" w:lastRow="0" w:firstColumn="0" w:lastColumn="0" w:noHBand="0" w:noVBand="0" w:val="0000"/>
      </w:tblPr>
      <w:tblGrid>
        <w:gridCol w:w="7920"/>
      </w:tblGrid>
      <w:tr>
        <w:tc>
          <w:tcPr/>
          <w:bookmarkStart w:id="113" w:name="fig-pm-shotcrete150"/>
          <w:p>
            <w:pPr>
              <w:pStyle w:val="Compact"/>
              <w:jc w:val="center"/>
            </w:pPr>
            <w:r>
              <w:drawing>
                <wp:inline>
                  <wp:extent cx="5791200" cy="4378427"/>
                  <wp:effectExtent b="0" l="0" r="0" t="0"/>
                  <wp:docPr descr="" title="" id="111" name="Picture"/>
                  <a:graphic>
                    <a:graphicData uri="http://schemas.openxmlformats.org/drawingml/2006/picture">
                      <pic:pic>
                        <pic:nvPicPr>
                          <pic:cNvPr descr="_index/rehabilitation.ES_files/figure-docx/fig-pm-shotcrete150-1.png" id="112" name="Picture"/>
                          <pic:cNvPicPr>
                            <a:picLocks noChangeArrowheads="1" noChangeAspect="1"/>
                          </pic:cNvPicPr>
                        </pic:nvPicPr>
                        <pic:blipFill>
                          <a:blip r:embed="rId110"/>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5.4: Sección de 150 mm: cuarto del dominio resistente de diseño</w:t>
            </w:r>
            <w:r>
              <w:t xml:space="preserve"> </w:t>
            </w:r>
            <m:oMath>
              <m:r>
                <m:t>P</m:t>
              </m:r>
            </m:oMath>
            <w:r>
              <w:t xml:space="preserve">–</w:t>
            </w:r>
            <m:oMath>
              <m:r>
                <m:t>M</m:t>
              </m:r>
            </m:oMath>
            <w:r>
              <w:t xml:space="preserve"> </w:t>
            </w:r>
            <w:r>
              <w:t xml:space="preserve">correspondiente a</w:t>
            </w:r>
            <w:r>
              <w:t xml:space="preserve"> </w:t>
            </w:r>
            <m:oMath>
              <m:r>
                <m:t>P</m:t>
              </m:r>
              <m:r>
                <m:rPr>
                  <m:sty m:val="p"/>
                </m:rPr>
                <m:t>≥</m:t>
              </m:r>
              <m:r>
                <m:t>0</m:t>
              </m:r>
            </m:oMath>
            <w:r>
              <w:t xml:space="preserve"> </w:t>
            </w:r>
            <w:r>
              <w:t xml:space="preserve">y</w:t>
            </w:r>
            <w:r>
              <w:t xml:space="preserve"> </w:t>
            </w:r>
            <m:oMath>
              <m:r>
                <m:t>M</m:t>
              </m:r>
              <m:r>
                <m:rPr>
                  <m:sty m:val="p"/>
                </m:rPr>
                <m:t>≥</m:t>
              </m:r>
              <m:r>
                <m:t>0</m:t>
              </m:r>
            </m:oMath>
            <w:r>
              <w:t xml:space="preserve">, para las mallas simétricas indicadas en la leyenda y para el caso asimétrico de chapa exterior más una malla interior. Cada configuración tiene dos marcadores del color de su curva, uno por condición de interfaz. Las mallas simétricas comparten la rigidez fisurada del hormigón y, por ello, sus pares de demanda coinciden; se muestran como anillos concéntricos sin alterar las coordenadas. Los dos puntos del caso asimétrico se recalculan con la rigidez de la sección compuesta.</w:t>
            </w:r>
          </w:p>
          <w:bookmarkEnd w:id="113"/>
        </w:tc>
      </w:tr>
    </w:tbl>
    <w:p>
      <w:pPr>
        <w:pStyle w:val="BodyText"/>
      </w:pPr>
      <w:r>
        <w:t xml:space="preserve">Cada curva es una envolvente resistente formada por estados compatibles de</w:t>
      </w:r>
      <w:r>
        <w:t xml:space="preserve"> </w:t>
      </w:r>
      <w:r>
        <w:t xml:space="preserve">deformación de la sección. Las columnas</w:t>
      </w:r>
      <w:r>
        <w:t xml:space="preserve"> </w:t>
      </w:r>
      <m:oMath>
        <m:sSub>
          <m:e>
            <m:r>
              <m:t>E</m:t>
            </m:r>
          </m:e>
          <m:sub>
            <m:r>
              <m:t>P</m:t>
            </m:r>
            <m:r>
              <m:t>M</m:t>
            </m:r>
          </m:sub>
        </m:sSub>
      </m:oMath>
      <w:r>
        <w:t xml:space="preserve"> </w:t>
      </w:r>
      <w:r>
        <w:t xml:space="preserve">indican exclusivamente el</w:t>
      </w:r>
      <w:r>
        <w:t xml:space="preserve"> </w:t>
      </w:r>
      <w:r>
        <w:t xml:space="preserve">resultado de la flexocompresión:</w:t>
      </w:r>
      <w:r>
        <w:t xml:space="preserve"> </w:t>
      </w:r>
      <w:r>
        <w:rPr>
          <w:rStyle w:val="VerbatimChar"/>
        </w:rPr>
        <w:t xml:space="preserve">OK</w:t>
      </w:r>
      <w:r>
        <w:t xml:space="preserve"> </w:t>
      </w:r>
      <w:r>
        <w:t xml:space="preserve">para</w:t>
      </w:r>
      <w:r>
        <w:t xml:space="preserve"> </w:t>
      </w:r>
      <m:oMath>
        <m:sSub>
          <m:e>
            <m:r>
              <m:t>U</m:t>
            </m:r>
          </m:e>
          <m:sub>
            <m:r>
              <m:t>P</m:t>
            </m:r>
            <m:r>
              <m:t>M</m:t>
            </m:r>
          </m:sub>
        </m:sSub>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sSub>
          <m:e>
            <m:r>
              <m:t>U</m:t>
            </m:r>
          </m:e>
          <m:sub>
            <m:r>
              <m:t>P</m:t>
            </m:r>
            <m:r>
              <m:t>M</m:t>
            </m:r>
          </m:sub>
        </m:sSub>
        <m:r>
          <m:rPr>
            <m:sty m:val="p"/>
          </m:rPr>
          <m:t>&gt;</m:t>
        </m:r>
        <m:r>
          <m:t>1</m:t>
        </m:r>
      </m:oMath>
      <w:r>
        <w:t xml:space="preserve">. Las columnas</w:t>
      </w:r>
      <w:r>
        <w:t xml:space="preserve"> </w:t>
      </w:r>
      <m:oMath>
        <m:sSub>
          <m:e>
            <m:r>
              <m:t>E</m:t>
            </m:r>
          </m:e>
          <m:sub>
            <m:r>
              <m:t>V</m:t>
            </m:r>
          </m:sub>
        </m:sSub>
      </m:oMath>
      <w:r>
        <w:t xml:space="preserve"> </w:t>
      </w:r>
      <w:r>
        <w:t xml:space="preserve">presentan por separado el corte unidireccional según ACI 318-25. La</w:t>
      </w:r>
      <w:r>
        <w:t xml:space="preserve"> </w:t>
      </w:r>
      <w:r>
        <w:t xml:space="preserve">columna</w:t>
      </w:r>
      <w:r>
        <w:t xml:space="preserve"> </w:t>
      </w:r>
      <m:oMath>
        <m:r>
          <m:t>E</m:t>
        </m:r>
      </m:oMath>
      <w:r>
        <w:t xml:space="preserve"> </w:t>
      </w:r>
      <w:r>
        <w:t xml:space="preserve">combina esos dos resultados para cada cuantía. Para una</w:t>
      </w:r>
      <w:r>
        <w:t xml:space="preserve"> </w:t>
      </w:r>
      <w:r>
        <w:t xml:space="preserve">sección sin armadura transversal se</w:t>
      </w:r>
      <w:r>
        <w:t xml:space="preserve"> </w:t>
      </w:r>
      <w:r>
        <w:t xml:space="preserve">emplea</w:t>
      </w:r>
    </w:p>
    <w:p>
      <w:pPr>
        <w:pStyle w:val="BodyText"/>
      </w:pPr>
      <w:bookmarkStart w:id="114" w:name="eq-calculation-reinforced-shear"/>
      <m:oMathPara>
        <m:oMathParaPr>
          <m:jc m:val="center"/>
        </m:oMathParaPr>
        <m:oMath>
          <m:sSub>
            <m:e>
              <m:r>
                <m:t>V</m:t>
              </m:r>
            </m:e>
            <m:sub>
              <m:r>
                <m:t>c</m:t>
              </m:r>
            </m:sub>
          </m:sSub>
          <m:r>
            <m:rPr>
              <m:sty m:val="p"/>
            </m:rPr>
            <m:t>=</m:t>
          </m:r>
          <m:d>
            <m:dPr>
              <m:begChr m:val="["/>
              <m:sepChr m:val=""/>
              <m:endChr m:val="]"/>
              <m:grow/>
            </m:dPr>
            <m:e>
              <m:r>
                <m:t>0.66</m:t>
              </m:r>
              <m:sSub>
                <m:e>
                  <m:r>
                    <m:t>λ</m:t>
                  </m:r>
                </m:e>
                <m:sub>
                  <m:r>
                    <m:t>s</m:t>
                  </m:r>
                </m:sub>
              </m:sSub>
              <m:sSubSup>
                <m:e>
                  <m:r>
                    <m:t>ρ</m:t>
                  </m:r>
                </m:e>
                <m:sub>
                  <m:r>
                    <m:t>w</m:t>
                  </m:r>
                </m:sub>
                <m:sup>
                  <m:r>
                    <m:t>1</m:t>
                  </m:r>
                  <m:r>
                    <m:rPr>
                      <m:sty m:val="p"/>
                    </m:rPr>
                    <m:t>/</m:t>
                  </m:r>
                  <m:r>
                    <m:t>3</m:t>
                  </m:r>
                </m:sup>
              </m:sSubSup>
              <m:rad>
                <m:radPr>
                  <m:degHide m:val="on"/>
                </m:radPr>
                <m:deg/>
                <m:e>
                  <m:sSubSup>
                    <m:e>
                      <m:r>
                        <m:t>f</m:t>
                      </m:r>
                    </m:e>
                    <m:sub>
                      <m:r>
                        <m:t>c</m:t>
                      </m:r>
                    </m:sub>
                    <m:sup>
                      <m:r>
                        <m:rPr>
                          <m:sty m:val="p"/>
                        </m:rPr>
                        <m:t>′</m:t>
                      </m:r>
                    </m:sup>
                  </m:sSubSup>
                </m:e>
              </m:rad>
              <m:r>
                <m:rPr>
                  <m:sty m:val="p"/>
                </m:rPr>
                <m:t>+</m:t>
              </m:r>
              <m:f>
                <m:fPr>
                  <m:type m:val="bar"/>
                </m:fPr>
                <m:num>
                  <m:sSub>
                    <m:e>
                      <m:r>
                        <m:t>N</m:t>
                      </m:r>
                    </m:e>
                    <m:sub>
                      <m:r>
                        <m:t>u</m:t>
                      </m:r>
                    </m:sub>
                  </m:sSub>
                </m:num>
                <m:den>
                  <m:r>
                    <m:t>6</m:t>
                  </m:r>
                  <m:sSub>
                    <m:e>
                      <m:r>
                        <m:t>A</m:t>
                      </m:r>
                    </m:e>
                    <m:sub>
                      <m:r>
                        <m:t>g</m:t>
                      </m:r>
                    </m:sub>
                  </m:sSub>
                </m:den>
              </m:f>
            </m:e>
          </m:d>
          <m:sSub>
            <m:e>
              <m:r>
                <m:t>b</m:t>
              </m:r>
            </m:e>
            <m:sub>
              <m:r>
                <m:t>w</m:t>
              </m:r>
            </m:sub>
          </m:sSub>
          <m:r>
            <m:t>d</m:t>
          </m:r>
          <m:r>
            <m:rPr>
              <m:sty m:val="p"/>
            </m:rPr>
            <m:t>,</m:t>
          </m:r>
          <m:r>
            <m:t>  </m:t>
          </m:r>
          <m:r>
            <m:t>ϕ</m:t>
          </m:r>
          <m:sSub>
            <m:e>
              <m:r>
                <m:t>V</m:t>
              </m:r>
            </m:e>
            <m:sub>
              <m:r>
                <m:t>c</m:t>
              </m:r>
            </m:sub>
          </m:sSub>
          <m:r>
            <m:rPr>
              <m:sty m:val="p"/>
            </m:rPr>
            <m:t>=</m:t>
          </m:r>
          <m:r>
            <m:t>0.75</m:t>
          </m:r>
          <m:sSub>
            <m:e>
              <m:r>
                <m:t>V</m:t>
              </m:r>
            </m:e>
            <m:sub>
              <m:r>
                <m:t>c</m:t>
              </m:r>
            </m:sub>
          </m:sSub>
          <m:r>
            <m:rPr>
              <m:sty m:val="p"/>
            </m:rPr>
            <m:t>,</m:t>
          </m:r>
          <m:r>
            <m:t>  </m:t>
          </m:r>
          <m:r>
            <m:rPr>
              <m:sty m:val="p"/>
            </m:rPr>
            <m:t>(</m:t>
          </m:r>
          <m:r>
            <m:t>5.14</m:t>
          </m:r>
          <m:r>
            <m:rPr>
              <m:sty m:val="p"/>
            </m:rPr>
            <m:t>)</m:t>
          </m:r>
        </m:oMath>
      </m:oMathPara>
      <w:bookmarkEnd w:id="114"/>
    </w:p>
    <w:p>
      <w:pPr>
        <w:pStyle w:val="FirstParagraph"/>
      </w:pPr>
      <w:r>
        <w:t xml:space="preserve">con los límites de los artículos 22.5.5.1.1 a 22.5.5.1.3. Las columnas</w:t>
      </w:r>
      <w:r>
        <w:t xml:space="preserve"> </w:t>
      </w:r>
      <m:oMath>
        <m:sSubSup>
          <m:e>
            <m:r>
              <m:t>E</m:t>
            </m:r>
          </m:e>
          <m:sub>
            <m:r>
              <m:t>r</m:t>
            </m:r>
          </m:sub>
          <m:sup>
            <m:r>
              <m:rPr>
                <m:sty m:val="p"/>
              </m:rPr>
              <m:t>*</m:t>
            </m:r>
          </m:sup>
        </m:sSubSup>
      </m:oMath>
      <w:r>
        <w:t xml:space="preserve"> </w:t>
      </w:r>
      <w:r>
        <w:t xml:space="preserve">presentan el control separado del desprendimiento radial del</w:t>
      </w:r>
      <w:r>
        <w:t xml:space="preserve"> </w:t>
      </w:r>
      <w:r>
        <w:t xml:space="preserve">recubrimiento: una barra</w:t>
      </w:r>
      <w:r>
        <w:t xml:space="preserve"> </w:t>
      </w:r>
      <w:r>
        <w:t xml:space="preserve">circunferencial curva, cuando trabaja a tracción, transmite una acción radial</w:t>
      </w:r>
      <w:r>
        <w:t xml:space="preserve"> </w:t>
      </w:r>
      <w:r>
        <w:t xml:space="preserve">hacia el hormigón. El control limita el área de la capa interior que puede</w:t>
      </w:r>
      <w:r>
        <w:t xml:space="preserve"> </w:t>
      </w:r>
      <w:r>
        <w:t xml:space="preserve">disponerse sin estribos radiales:</w:t>
      </w:r>
    </w:p>
    <w:p>
      <w:pPr>
        <w:pStyle w:val="BodyText"/>
      </w:pPr>
      <w:bookmarkStart w:id="115" w:name="eq-calculation-reinforced-radial-tension"/>
      <m:oMathPara>
        <m:oMathParaPr>
          <m:jc m:val="center"/>
        </m:oMathParaPr>
        <m:oMath>
          <m:sSub>
            <m:e>
              <m:r>
                <m:t>A</m:t>
              </m:r>
            </m:e>
            <m:sub>
              <m:r>
                <m:t>s</m:t>
              </m:r>
              <m:r>
                <m:rPr>
                  <m:sty m:val="p"/>
                </m:rPr>
                <m:t>,</m:t>
              </m:r>
              <m:r>
                <m:rPr>
                  <m:sty m:val="p"/>
                </m:rPr>
                <m:t>max</m:t>
              </m:r>
            </m:sub>
          </m:sSub>
          <m:r>
            <m:rPr>
              <m:sty m:val="p"/>
            </m:rPr>
            <m:t>=</m:t>
          </m:r>
          <m:f>
            <m:fPr>
              <m:type m:val="bar"/>
            </m:fPr>
            <m:num>
              <m:r>
                <m:t>110720</m:t>
              </m:r>
              <m:r>
                <m:t> </m:t>
              </m:r>
              <m:sSub>
                <m:e>
                  <m:r>
                    <m:t>r</m:t>
                  </m:r>
                </m:e>
                <m:sub>
                  <m:r>
                    <m:t>s</m:t>
                  </m:r>
                </m:sub>
              </m:sSub>
              <m:sSub>
                <m:e>
                  <m:r>
                    <m:t>F</m:t>
                  </m:r>
                </m:e>
                <m:sub>
                  <m:r>
                    <m:t>r</m:t>
                  </m:r>
                  <m:r>
                    <m:t>p</m:t>
                  </m:r>
                </m:sub>
              </m:sSub>
              <m:rad>
                <m:radPr>
                  <m:degHide m:val="on"/>
                </m:radPr>
                <m:deg/>
                <m:e>
                  <m:sSubSup>
                    <m:e>
                      <m:r>
                        <m:t>f</m:t>
                      </m:r>
                    </m:e>
                    <m:sub>
                      <m:r>
                        <m:t>c</m:t>
                      </m:r>
                    </m:sub>
                    <m:sup>
                      <m:r>
                        <m:rPr>
                          <m:sty m:val="p"/>
                        </m:rPr>
                        <m:t>′</m:t>
                      </m:r>
                    </m:sup>
                  </m:sSubSup>
                </m:e>
              </m:rad>
              <m:r>
                <m:t> </m:t>
              </m:r>
              <m:sSub>
                <m:e>
                  <m:r>
                    <m:t>R</m:t>
                  </m:r>
                </m:e>
                <m:sub>
                  <m:r>
                    <m:t>ϕ</m:t>
                  </m:r>
                </m:sub>
              </m:sSub>
              <m:sSub>
                <m:e>
                  <m:r>
                    <m:t>F</m:t>
                  </m:r>
                </m:e>
                <m:sub>
                  <m:r>
                    <m:t>r</m:t>
                  </m:r>
                  <m:r>
                    <m:t>t</m:t>
                  </m:r>
                </m:sub>
              </m:sSub>
            </m:num>
            <m:den>
              <m:sSub>
                <m:e>
                  <m:r>
                    <m:t>f</m:t>
                  </m:r>
                </m:e>
                <m:sub>
                  <m:r>
                    <m:t>y</m:t>
                  </m:r>
                </m:sub>
              </m:sSub>
            </m:den>
          </m:f>
          <m:r>
            <m:rPr>
              <m:sty m:val="p"/>
            </m:rPr>
            <m:t>.</m:t>
          </m:r>
          <m:r>
            <m:t>  </m:t>
          </m:r>
          <m:r>
            <m:rPr>
              <m:sty m:val="p"/>
            </m:rPr>
            <m:t>(</m:t>
          </m:r>
          <m:r>
            <m:t>5.15</m:t>
          </m:r>
          <m:r>
            <m:rPr>
              <m:sty m:val="p"/>
            </m:rPr>
            <m:t>)</m:t>
          </m:r>
        </m:oMath>
      </m:oMathPara>
      <w:bookmarkEnd w:id="115"/>
    </w:p>
    <w:p>
      <w:pPr>
        <w:pStyle w:val="FirstParagraph"/>
      </w:pPr>
      <w:r>
        <w:t xml:space="preserve">La expresión corresponde al artículo 12.10.4.2.4c de CIRSOC 804-4</w:t>
      </w:r>
      <w:r>
        <w:t xml:space="preserve"> </w:t>
      </w:r>
      <w:r>
        <w:t xml:space="preserve">(</w:t>
      </w:r>
      <w:hyperlink w:anchor="ref-CIRSOC8044">
        <w:r>
          <w:rPr>
            <w:rStyle w:val="Hyperlink"/>
          </w:rPr>
          <w:t xml:space="preserve">INTI-CIRSOC 2023</w:t>
        </w:r>
      </w:hyperlink>
      <w:r>
        <w:t xml:space="preserve">)</w:t>
      </w:r>
      <w:r>
        <w:t xml:space="preserve">. La acción compuesta del caso asimétrico presupone transferencia</w:t>
      </w:r>
      <w:r>
        <w:t xml:space="preserve"> </w:t>
      </w:r>
      <w:r>
        <w:t xml:space="preserve">completa en la interfaz para la carga total; la resistencia de esa interfaz y</w:t>
      </w:r>
      <w:r>
        <w:t xml:space="preserve"> </w:t>
      </w:r>
      <w:r>
        <w:t xml:space="preserve">el estado previo de la chapa deben establecerse para el diseño de detalle.</w:t>
      </w:r>
    </w:p>
    <w:p>
      <w:pPr>
        <w:pStyle w:val="BodyText"/>
      </w:pPr>
      <w:r>
        <w:t xml:space="preserve">En síntesis, en las comprobaciones de tracción y corte, el hormigón simple de</w:t>
      </w:r>
      <w:r>
        <w:t xml:space="preserve"> </w:t>
      </w:r>
      <w:r>
        <w:t xml:space="preserve">100 mm</w:t>
      </w:r>
      <w:r>
        <w:t xml:space="preserve"> </w:t>
      </w:r>
      <w:r>
        <w:t xml:space="preserve">no satisface y el hormigón simple de</w:t>
      </w:r>
      <w:r>
        <w:t xml:space="preserve"> </w:t>
      </w:r>
      <w:r>
        <w:t xml:space="preserve">150 mm</w:t>
      </w:r>
      <w:r>
        <w:t xml:space="preserve"> </w:t>
      </w:r>
      <w:r>
        <w:t xml:space="preserve">no satisface.</w:t>
      </w:r>
      <w:r>
        <w:t xml:space="preserve"> </w:t>
      </w:r>
      <w:r>
        <w:t xml:space="preserve">Para la sección de 100 mm, Ø8/150 en ambas caras, Ø10/150 en ambas caras y Ø12/150 en ambas caras satisfacen ambas comprobaciones; chapa exterior con Ø8/150 en la cara interior no satisface flexocompresión P–M y corte unidireccional.</w:t>
      </w:r>
      <w:r>
        <w:t xml:space="preserve"> </w:t>
      </w:r>
      <w:r>
        <w:t xml:space="preserve">Para la sección de 150 mm, Ø12/150 en ambas caras satisface ambas comprobaciones; Ø8/150 en ambas caras no satisface flexocompresión P–M; Ø10/150 en ambas caras no satisface flexocompresión P–M; chapa exterior con Ø8/150 en la cara interior no satisface flexocompresión P–M y corte unidireccional.</w:t>
      </w:r>
      <w:r>
        <w:t xml:space="preserve"> </w:t>
      </w:r>
      <w:r>
        <w:t xml:space="preserve">La selección de espesor y armadura deberá considerar conjuntamente la</w:t>
      </w:r>
      <w:r>
        <w:t xml:space="preserve"> </w:t>
      </w:r>
      <w:r>
        <w:t xml:space="preserve">flexocompresión y el corte, además del control separado de desprendimiento</w:t>
      </w:r>
      <w:r>
        <w:t xml:space="preserve"> </w:t>
      </w:r>
      <w:r>
        <w:t xml:space="preserve">radial y las condiciones de la interfaz con la chapa existente.</w:t>
      </w:r>
    </w:p>
    <w:bookmarkEnd w:id="116"/>
    <w:bookmarkEnd w:id="117"/>
    <w:bookmarkStart w:id="134" w:name="sec-calculation-sensitivity"/>
    <w:p>
      <w:pPr>
        <w:pStyle w:val="Heading1"/>
      </w:pPr>
      <w:r>
        <w:t xml:space="preserve">Sensibilidad al módulo del terreno</w:t>
      </w:r>
    </w:p>
    <w:p>
      <w:pPr>
        <w:pStyle w:val="FirstParagraph"/>
      </w:pPr>
      <w:r>
        <w:t xml:space="preserve">Este capítulo cuantifica el efecto del módulo de deformación del terreno</w:t>
      </w:r>
      <w:r>
        <w:t xml:space="preserve"> </w:t>
      </w:r>
      <w:r>
        <w:t xml:space="preserve">sobre las verificaciones de los tres revestimientos. El caso completo se</w:t>
      </w:r>
      <w:r>
        <w:t xml:space="preserve"> </w:t>
      </w:r>
      <w:r>
        <w:t xml:space="preserve">recalcula para</w:t>
      </w:r>
      <w:r>
        <w:t xml:space="preserve"> </w:t>
      </w:r>
      <m:oMath>
        <m:sSub>
          <m:e>
            <m:r>
              <m:t>E</m:t>
            </m:r>
          </m:e>
          <m:sub>
            <m:r>
              <m:t>g</m:t>
            </m:r>
          </m:sub>
        </m:sSub>
      </m:oMath>
      <w:r>
        <w:t xml:space="preserve"> </w:t>
      </w:r>
      <w:r>
        <w:t xml:space="preserve">igual a</w:t>
      </w:r>
      <w:r>
        <w:t xml:space="preserve"> </w:t>
      </w:r>
      <w:r>
        <w:t xml:space="preserve">30, 60, 90 y 120 MPa, manteniendo fijas todas las</w:t>
      </w:r>
      <w:r>
        <w:t xml:space="preserve"> </w:t>
      </w:r>
      <w:r>
        <w:t xml:space="preserve">demás entradas del escenario adoptado; cada módulo utiliza el mismo motor y</w:t>
      </w:r>
      <w:r>
        <w:t xml:space="preserve"> </w:t>
      </w:r>
      <w:r>
        <w:t xml:space="preserve">el mismo camino de productos que el cuerpo de la memoria.</w:t>
      </w:r>
    </w:p>
    <w:bookmarkStart w:id="119" w:name="liner-de-chapa"/>
    <w:p>
      <w:pPr>
        <w:pStyle w:val="Heading2"/>
      </w:pPr>
      <w:r>
        <w:t xml:space="preserve">Liner de chapa</w:t>
      </w:r>
    </w:p>
    <w:p>
      <w:pPr>
        <w:pStyle w:val="FirstParagraph"/>
      </w:pPr>
      <w:r>
        <w:t xml:space="preserve">La</w:t>
      </w:r>
      <w:r>
        <w:t xml:space="preserve"> </w:t>
      </w:r>
      <w:hyperlink w:anchor="tbl-calculation-sensitivity-steel">
        <w:r>
          <w:rPr>
            <w:rStyle w:val="Hyperlink"/>
          </w:rPr>
          <w:t xml:space="preserve">tabla 6.1</w:t>
        </w:r>
      </w:hyperlink>
      <w:r>
        <w:t xml:space="preserve"> </w:t>
      </w:r>
      <w:r>
        <w:t xml:space="preserve">presenta los máximos absolutos de las</w:t>
      </w:r>
      <w:r>
        <w:t xml:space="preserve"> </w:t>
      </w:r>
      <w:r>
        <w:t xml:space="preserve">resultantes del modelo híbrido para cada módulo. Un terreno más rígido toma</w:t>
      </w:r>
      <w:r>
        <w:t xml:space="preserve"> </w:t>
      </w:r>
      <w:r>
        <w:t xml:space="preserve">una fracción mayor de la carga y descarga al anillo: entre</w:t>
      </w:r>
      <w:r>
        <w:t xml:space="preserve"> </w:t>
      </w:r>
      <w:r>
        <w:t xml:space="preserve">30 y</w:t>
      </w:r>
      <w:r>
        <w:t xml:space="preserve"> </w:t>
      </w:r>
      <w:r>
        <w:t xml:space="preserve">120 MPa, la fuerza</w:t>
      </w:r>
      <w:r>
        <w:t xml:space="preserve"> </w:t>
      </w:r>
      <w:r>
        <w:t xml:space="preserve">circunferencial máxima del límite Slip se reduce</w:t>
      </w:r>
      <w:r>
        <w:t xml:space="preserve"> </w:t>
      </w:r>
      <w:r>
        <w:t xml:space="preserve">10 %,</w:t>
      </w:r>
      <w:r>
        <w:t xml:space="preserve"> </w:t>
      </w:r>
      <w:r>
        <w:t xml:space="preserve">mientras que el momento flector y el corte se reducen</w:t>
      </w:r>
      <w:r>
        <w:t xml:space="preserve"> </w:t>
      </w:r>
      <w:r>
        <w:t xml:space="preserve">39 y</w:t>
      </w:r>
      <w:r>
        <w:t xml:space="preserve"> </w:t>
      </w:r>
      <w:r>
        <w:t xml:space="preserve">29 %,</w:t>
      </w:r>
      <w:r>
        <w:t xml:space="preserve"> </w:t>
      </w:r>
      <w:r>
        <w:t xml:space="preserve">con la mayor parte de la caída entre los dos primeros módulos.</w:t>
      </w:r>
    </w:p>
    <w:tbl>
      <w:tblPr>
        <w:tblStyle w:val="Table"/>
        <w:tblLayout w:type="autofit"/>
        <w:tblLook w:firstRow="0" w:lastRow="0" w:firstColumn="0" w:lastColumn="0" w:noHBand="0" w:noVBand="0" w:val="0000"/>
      </w:tblPr>
      <w:tblGrid>
        <w:gridCol w:w="7920"/>
      </w:tblGrid>
      <w:tr>
        <w:tc>
          <w:tcPr/>
          <w:bookmarkStart w:id="118" w:name="tbl-calculation-sensitivity-steel"/>
          <w:p>
            <w:pPr>
              <w:jc w:val="left"/>
              <w:pStyle w:val="ImageCaption"/>
            </w:pPr>
            <w:r>
              <w:t xml:space="preserve">Tabla 6.1: Sensibilidad de los máximos absolutos de las resultantes del liner de chapa al módulo del terreno. Las columnas numeradas indican</w:t>
            </w:r>
            <w:r>
              <w:t xml:space="preserve"> </w:t>
            </w:r>
            <m:oMath>
              <m:sSub>
                <m:e>
                  <m:r>
                    <m:t>E</m:t>
                  </m:r>
                </m:e>
                <m:sub>
                  <m:r>
                    <m:t>g</m:t>
                  </m:r>
                </m:sub>
              </m:sSub>
            </m:oMath>
            <w:r>
              <w:t xml:space="preserve"> </w:t>
            </w:r>
            <w:r>
              <w:t xml:space="preserve">en MPa.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sSub>
                <m:e>
                  <m:r>
                    <m:t>u</m:t>
                  </m:r>
                </m:e>
                <m:sub>
                  <m:r>
                    <m:t>X</m:t>
                  </m:r>
                </m:sub>
              </m:sSub>
            </m:oMath>
            <w:r>
              <w:t xml:space="preserve"> </w:t>
            </w:r>
            <w:r>
              <w:t xml:space="preserve">es la unidad de cada resultante. Los valores corresponden al estado no mayorado del modelo híbrido, recalculado completo para cada módulo.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30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90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120</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N</m:t>
                        </m:r>
                      </m:e>
                      <m:sub>
                        <m:r>
                          <m:t>θ</m:t>
                        </m:r>
                      </m:sub>
                    </m:sSub>
                    <m:sSub>
                      <m:e>
                        <m:r>
                          <m:rPr>
                            <m:sty m:val="p"/>
                          </m:rPr>
                          <m:t>∣</m:t>
                        </m:r>
                      </m:e>
                      <m:sub>
                        <m:r>
                          <m:rPr>
                            <m:sty m:val="p"/>
                          </m:rPr>
                          <m:t>max</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M</m:t>
                        </m:r>
                      </m:e>
                      <m:sub>
                        <m:r>
                          <m:t>θ</m:t>
                        </m:r>
                      </m:sub>
                    </m:sSub>
                    <m:sSub>
                      <m:e>
                        <m:r>
                          <m:rPr>
                            <m:sty m:val="p"/>
                          </m:rPr>
                          <m:t>∣</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Q</m:t>
                        </m:r>
                      </m:e>
                      <m:sub>
                        <m:r>
                          <m:t>θ</m:t>
                        </m:r>
                      </m:sub>
                    </m:sSub>
                    <m:sSub>
                      <m:e>
                        <m:r>
                          <m:rPr>
                            <m:sty m:val="p"/>
                          </m:rPr>
                          <m:t>∣</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N</m:t>
                        </m:r>
                      </m:e>
                      <m:sub>
                        <m:r>
                          <m:t>θ</m:t>
                        </m:r>
                      </m:sub>
                    </m:sSub>
                    <m:sSub>
                      <m:e>
                        <m:r>
                          <m:rPr>
                            <m:sty m:val="p"/>
                          </m:rPr>
                          <m:t>∣</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358.1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M</m:t>
                        </m:r>
                      </m:e>
                      <m:sub>
                        <m:r>
                          <m:t>θ</m:t>
                        </m:r>
                      </m:sub>
                    </m:sSub>
                    <m:sSub>
                      <m:e>
                        <m:r>
                          <m:rPr>
                            <m:sty m:val="p"/>
                          </m:rPr>
                          <m:t>∣</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Q</m:t>
                        </m:r>
                      </m:e>
                      <m:sub>
                        <m:r>
                          <m:t>θ</m:t>
                        </m:r>
                      </m:sub>
                    </m:sSub>
                    <m:sSub>
                      <m:e>
                        <m:r>
                          <m:rPr>
                            <m:sty m:val="p"/>
                          </m:rPr>
                          <m:t>∣</m:t>
                        </m:r>
                      </m:e>
                      <m:sub>
                        <m:r>
                          <m:rPr>
                            <m:sty m:val="p"/>
                          </m:rPr>
                          <m:t>max</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r>
          </w:tbl>
          <w:bookmarkEnd w:id="118"/>
          <w:p/>
        </w:tc>
      </w:tr>
    </w:tbl>
    <w:p>
      <w:pPr>
        <w:pStyle w:val="BodyText"/>
      </w:pPr>
      <w:r>
        <w:t xml:space="preserve">Las cinco comprobaciones de la comparación AASHTO/USACE del liner (</w:t>
      </w:r>
      <w:hyperlink w:anchor="sec-calculation-steel">
        <w:r>
          <w:rPr>
            <w:rStyle w:val="Hyperlink"/>
          </w:rPr>
          <w:t xml:space="preserve">Capítulo 4</w:t>
        </w:r>
      </w:hyperlink>
      <w:r>
        <w:t xml:space="preserve">) producen utilizaciones idénticas para los cuatro módulos. La rama normativa dictamina con el empuje prismático y con el factor de rigidez del suelo tabulado, magnitudes que no dependen de</w:t>
      </w:r>
      <w:r>
        <w:t xml:space="preserve"> </w:t>
      </w:r>
      <m:oMath>
        <m:sSub>
          <m:e>
            <m:r>
              <m:t>E</m:t>
            </m:r>
          </m:e>
          <m:sub>
            <m:r>
              <m:t>g</m:t>
            </m:r>
          </m:sub>
        </m:sSub>
      </m:oMath>
      <w:r>
        <w:t xml:space="preserve">; en particular, la utilización de la costura permanece en 1.004 en todo el rango.</w:t>
      </w:r>
    </w:p>
    <w:bookmarkEnd w:id="119"/>
    <w:bookmarkStart w:id="121" w:name="hormigón-proyectado-simple"/>
    <w:p>
      <w:pPr>
        <w:pStyle w:val="Heading2"/>
      </w:pPr>
      <w:r>
        <w:t xml:space="preserve">Hormigón proyectado simple</w:t>
      </w:r>
    </w:p>
    <w:p>
      <w:pPr>
        <w:pStyle w:val="FirstParagraph"/>
      </w:pPr>
      <w:r>
        <w:t xml:space="preserve">La</w:t>
      </w:r>
      <w:r>
        <w:t xml:space="preserve"> </w:t>
      </w:r>
      <w:hyperlink w:anchor="tbl-calculation-sensitivity-plain">
        <w:r>
          <w:rPr>
            <w:rStyle w:val="Hyperlink"/>
          </w:rPr>
          <w:t xml:space="preserve">tabla 6.2</w:t>
        </w:r>
      </w:hyperlink>
      <w:r>
        <w:t xml:space="preserve"> </w:t>
      </w:r>
      <w:r>
        <w:t xml:space="preserve">presenta las utilizaciones máximas de</w:t>
      </w:r>
      <w:r>
        <w:t xml:space="preserve"> </w:t>
      </w:r>
      <w:r>
        <w:t xml:space="preserve">las dos comprobaciones evaluadas para ambos espesores.</w:t>
      </w:r>
      <w:r>
        <w:t xml:space="preserve"> </w:t>
      </w:r>
      <w:r>
        <w:t xml:space="preserve">La tracción en la fibra extrema supera la resistencia de diseño en todo el rango de módulos para los dos espesores; el rechazo de las secciones simples no depende de la incertidumbre de</w:t>
      </w:r>
      <w:r>
        <w:t xml:space="preserve"> </w:t>
      </w:r>
      <m:oMath>
        <m:sSub>
          <m:e>
            <m:r>
              <m:t>E</m:t>
            </m:r>
          </m:e>
          <m:sub>
            <m:r>
              <m:t>g</m:t>
            </m:r>
          </m:sub>
        </m:sSub>
      </m:oMath>
      <w:r>
        <w:t xml:space="preserve">.</w:t>
      </w:r>
      <w:r>
        <w:t xml:space="preserve"> </w:t>
      </w:r>
      <w:r>
        <w:t xml:space="preserve">El margen, sin embargo, es sensible: la utilización de tracción de la sección</w:t>
      </w:r>
      <w:r>
        <w:t xml:space="preserve"> </w:t>
      </w:r>
      <w:r>
        <w:t xml:space="preserve">de 100 mm cae de</w:t>
      </w:r>
      <w:r>
        <w:t xml:space="preserve"> </w:t>
      </w:r>
      <w:r>
        <w:t xml:space="preserve">6.61</w:t>
      </w:r>
      <w:r>
        <w:t xml:space="preserve"> </w:t>
      </w:r>
      <w:r>
        <w:t xml:space="preserve">a</w:t>
      </w:r>
      <w:r>
        <w:t xml:space="preserve"> </w:t>
      </w:r>
      <w:r>
        <w:t xml:space="preserve">1.19</w:t>
      </w:r>
      <w:r>
        <w:t xml:space="preserve"> </w:t>
      </w:r>
      <w:r>
        <w:t xml:space="preserve">entre los módulos extremos, y la de 150 mm de</w:t>
      </w:r>
      <w:r>
        <w:t xml:space="preserve"> </w:t>
      </w:r>
      <w:r>
        <w:t xml:space="preserve">8.12</w:t>
      </w:r>
      <w:r>
        <w:t xml:space="preserve"> </w:t>
      </w:r>
      <w:r>
        <w:t xml:space="preserve">a</w:t>
      </w:r>
      <w:r>
        <w:t xml:space="preserve"> </w:t>
      </w:r>
      <w:r>
        <w:t xml:space="preserve">2.02.</w:t>
      </w:r>
    </w:p>
    <w:tbl>
      <w:tblPr>
        <w:tblStyle w:val="Table"/>
        <w:tblLayout w:type="autofit"/>
        <w:tblLook w:firstRow="0" w:lastRow="0" w:firstColumn="0" w:lastColumn="0" w:noHBand="0" w:noVBand="0" w:val="0000"/>
      </w:tblPr>
      <w:tblGrid>
        <w:gridCol w:w="7920"/>
      </w:tblGrid>
      <w:tr>
        <w:tc>
          <w:tcPr/>
          <w:bookmarkStart w:id="120" w:name="tbl-calculation-sensitivity-plain"/>
          <w:p>
            <w:pPr>
              <w:jc w:val="left"/>
              <w:pStyle w:val="ImageCaption"/>
            </w:pPr>
            <w:r>
              <w:t xml:space="preserve">Tabla 6.2: Sensibilidad de las comprobaciones evaluadas del hormigón proyectado simple al módulo del terreno. Las columnas numeradas indican</w:t>
            </w:r>
            <w:r>
              <w:t xml:space="preserve"> </w:t>
            </w:r>
            <m:oMath>
              <m:sSub>
                <m:e>
                  <m:r>
                    <m:t>E</m:t>
                  </m:r>
                </m:e>
                <m:sub>
                  <m:r>
                    <m:t>g</m:t>
                  </m:r>
                </m:sub>
              </m:sSub>
            </m:oMath>
            <w:r>
              <w:t xml:space="preserve"> </w:t>
            </w:r>
            <w:r>
              <w:t xml:space="preserve">en MPa y</w:t>
            </w:r>
            <w:r>
              <w:t xml:space="preserve"> </w:t>
            </w:r>
            <m:oMath>
              <m:r>
                <m:t>h</m:t>
              </m:r>
            </m:oMath>
            <w:r>
              <w:t xml:space="preserve"> </w:t>
            </w:r>
            <w:r>
              <w:t xml:space="preserve">el espesor.</w:t>
            </w:r>
            <w:r>
              <w:t xml:space="preserve"> </w:t>
            </w:r>
            <m:oMath>
              <m:sSub>
                <m:e>
                  <m:r>
                    <m:t>U</m:t>
                  </m:r>
                </m:e>
                <m:sub>
                  <m:r>
                    <m:t>N</m:t>
                  </m:r>
                  <m:r>
                    <m:rPr>
                      <m:sty m:val="p"/>
                    </m:rPr>
                    <m:t>−</m:t>
                  </m:r>
                  <m:r>
                    <m:t>M</m:t>
                  </m:r>
                  <m:r>
                    <m:rPr>
                      <m:sty m:val="p"/>
                    </m:rPr>
                    <m:t>,</m:t>
                  </m:r>
                  <m:r>
                    <m:rPr>
                      <m:sty m:val="p"/>
                    </m:rPr>
                    <m:t>max</m:t>
                  </m:r>
                </m:sub>
              </m:sSub>
            </m:oMath>
            <w:r>
              <w:t xml:space="preserve"> </w:t>
            </w:r>
            <w:r>
              <w:t xml:space="preserve">es la utilización máxima de flexión compuesta con compresión axial, gobernada por la fibra traccionada, y</w:t>
            </w:r>
            <w:r>
              <w:t xml:space="preserve"> </w:t>
            </w:r>
            <m:oMath>
              <m:sSub>
                <m:e>
                  <m:r>
                    <m:t>U</m:t>
                  </m:r>
                </m:e>
                <m:sub>
                  <m:r>
                    <m:t>V</m:t>
                  </m:r>
                  <m:r>
                    <m:rPr>
                      <m:sty m:val="p"/>
                    </m:rPr>
                    <m:t>,</m:t>
                  </m:r>
                  <m:r>
                    <m:rPr>
                      <m:sty m:val="p"/>
                    </m:rPr>
                    <m:t>max</m:t>
                  </m:r>
                </m:sub>
              </m:sSub>
            </m:oMath>
            <w:r>
              <w:t xml:space="preserve"> </w:t>
            </w:r>
            <w:r>
              <w:t xml:space="preserve">la de corte unidireccional;</w:t>
            </w:r>
            <w:r>
              <w:t xml:space="preserve"> </w:t>
            </w:r>
            <m:oMath>
              <m:r>
                <m:t>U</m:t>
              </m:r>
              <m:r>
                <m:rPr>
                  <m:sty m:val="p"/>
                </m:rPr>
                <m:t>&gt;</m:t>
              </m:r>
              <m:r>
                <m:t>1</m:t>
              </m:r>
            </m:oMath>
            <w:r>
              <w:t xml:space="preserve"> </w:t>
            </w:r>
            <w:r>
              <w:t xml:space="preserve">no verifica.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h</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U</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30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90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120</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U</m:t>
                        </m:r>
                      </m:e>
                      <m:sub>
                        <m:r>
                          <m:t>N−M,</m:t>
                        </m:r>
                        <m:r>
                          <m:rPr>
                            <m:sty m:val="p"/>
                          </m:rPr>
                          <m:t>max</m:t>
                        </m:r>
                        <m:r>
                          <m:t>⁡</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6.61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U</m:t>
                        </m:r>
                      </m:e>
                      <m:sub>
                        <m:r>
                          <m:t>N−M,</m:t>
                        </m:r>
                        <m:r>
                          <m:rPr>
                            <m:sty m:val="p"/>
                          </m:rPr>
                          <m:t>max</m:t>
                        </m:r>
                        <m:r>
                          <m:t>⁡</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0.54</w:t>
                  </w:r>
                </w:p>
              </w:tc>
            </w:tr>
          </w:tbl>
          <w:bookmarkEnd w:id="120"/>
          <w:p/>
        </w:tc>
      </w:tr>
    </w:tbl>
    <w:bookmarkEnd w:id="121"/>
    <w:bookmarkStart w:id="132" w:name="familias-pm-del-hormigón-armado"/>
    <w:p>
      <w:pPr>
        <w:pStyle w:val="Heading2"/>
      </w:pPr>
      <w:r>
        <w:t xml:space="preserve">Familias P–M del hormigón armado</w:t>
      </w:r>
    </w:p>
    <w:p>
      <w:pPr>
        <w:pStyle w:val="FirstParagraph"/>
      </w:pPr>
      <w:r>
        <w:t xml:space="preserve">Las utilizaciones del estudio</w:t>
      </w:r>
      <w:r>
        <w:t xml:space="preserve"> </w:t>
      </w:r>
      <m:oMath>
        <m:r>
          <m:t>P</m:t>
        </m:r>
      </m:oMath>
      <w:r>
        <w:t xml:space="preserve">–</w:t>
      </w:r>
      <m:oMath>
        <m:r>
          <m:t>M</m:t>
        </m:r>
      </m:oMath>
      <w:r>
        <w:t xml:space="preserve"> </w:t>
      </w:r>
      <w:r>
        <w:t xml:space="preserve">se recalculan para cada módulo con las</w:t>
      </w:r>
      <w:r>
        <w:t xml:space="preserve"> </w:t>
      </w:r>
      <w:r>
        <w:t xml:space="preserve">acciones concurrentes y la rigidez fisurada de cada configuración. La</w:t>
      </w:r>
      <w:r>
        <w:t xml:space="preserve"> </w:t>
      </w:r>
      <w:hyperlink w:anchor="tbl-calculation-sensitivity-pm100">
        <w:r>
          <w:rPr>
            <w:rStyle w:val="Hyperlink"/>
          </w:rPr>
          <w:t xml:space="preserve">tabla 6.3</w:t>
        </w:r>
      </w:hyperlink>
      <w:r>
        <w:t xml:space="preserve"> </w:t>
      </w:r>
      <w:r>
        <w:t xml:space="preserve">y la</w:t>
      </w:r>
      <w:r>
        <w:t xml:space="preserve"> </w:t>
      </w:r>
      <w:hyperlink w:anchor="tbl-calculation-sensitivity-pm150">
        <w:r>
          <w:rPr>
            <w:rStyle w:val="Hyperlink"/>
          </w:rPr>
          <w:t xml:space="preserve">tabla 6.4</w:t>
        </w:r>
      </w:hyperlink>
      <w:r>
        <w:t xml:space="preserve"> </w:t>
      </w:r>
      <w:r>
        <w:t xml:space="preserve">presentan los resultados de ambos espesores.</w:t>
      </w:r>
    </w:p>
    <w:tbl>
      <w:tblPr>
        <w:tblStyle w:val="Table"/>
        <w:tblLayout w:type="autofit"/>
        <w:tblLook w:firstRow="0" w:lastRow="0" w:firstColumn="0" w:lastColumn="0" w:noHBand="0" w:noVBand="0" w:val="0000"/>
      </w:tblPr>
      <w:tblGrid>
        <w:gridCol w:w="7920"/>
      </w:tblGrid>
      <w:tr>
        <w:tc>
          <w:tcPr/>
          <w:bookmarkStart w:id="122" w:name="tbl-calculation-sensitivity-pm100"/>
          <w:p>
            <w:pPr>
              <w:jc w:val="left"/>
              <w:pStyle w:val="ImageCaption"/>
            </w:pPr>
            <w:r>
              <w:t xml:space="preserve">Tabla 6.3: Sección de 100 mm: sensibilidad de las utilizaciones del estudio</w:t>
            </w:r>
            <w:r>
              <w:t xml:space="preserve"> </w:t>
            </w:r>
            <m:oMath>
              <m:r>
                <m:t>P</m:t>
              </m:r>
            </m:oMath>
            <w:r>
              <w:t xml:space="preserve">–</w:t>
            </w:r>
            <m:oMath>
              <m:r>
                <m:t>M</m:t>
              </m:r>
            </m:oMath>
            <w:r>
              <w:t xml:space="preserve"> </w:t>
            </w:r>
            <w:r>
              <w:t xml:space="preserve">al módulo del terreno.</w:t>
            </w:r>
            <w:r>
              <w:t xml:space="preserve"> </w:t>
            </w:r>
            <m:oMath>
              <m:sSubSup>
                <m:e>
                  <m:r>
                    <m:t>U</m:t>
                  </m:r>
                </m:e>
                <m:sub>
                  <m:r>
                    <m:t>P</m:t>
                  </m:r>
                  <m:r>
                    <m:t>M</m:t>
                  </m:r>
                </m:sub>
                <m:sup>
                  <m:r>
                    <m:t>E</m:t>
                  </m:r>
                </m:sup>
              </m:sSubSup>
            </m:oMath>
            <w:r>
              <w:t xml:space="preserve"> </w:t>
            </w:r>
            <w:r>
              <w:t xml:space="preserve">y</w:t>
            </w:r>
            <w:r>
              <w:t xml:space="preserve"> </w:t>
            </w:r>
            <m:oMath>
              <m:sSubSup>
                <m:e>
                  <m:r>
                    <m:t>U</m:t>
                  </m:r>
                </m:e>
                <m:sub>
                  <m:r>
                    <m:t>V</m:t>
                  </m:r>
                </m:sub>
                <m:sup>
                  <m:r>
                    <m:t>E</m:t>
                  </m:r>
                </m:sup>
              </m:sSubSup>
            </m:oMath>
            <w:r>
              <w:t xml:space="preserve"> </w:t>
            </w:r>
            <w:r>
              <w:t xml:space="preserve">son las utilizaciones máximas de flexocompresión y de corte unidireccional para</w:t>
            </w:r>
            <w:r>
              <w:t xml:space="preserve"> </w:t>
            </w:r>
            <m:oMath>
              <m:sSub>
                <m:e>
                  <m:r>
                    <m:t>E</m:t>
                  </m:r>
                </m:e>
                <m:sub>
                  <m:r>
                    <m:t>g</m:t>
                  </m:r>
                </m:sub>
              </m:sSub>
              <m:r>
                <m:rPr>
                  <m:sty m:val="p"/>
                </m:rPr>
                <m:t>=</m:t>
              </m:r>
              <m:r>
                <m:t>E</m:t>
              </m:r>
            </m:oMath>
            <w:r>
              <w:t xml:space="preserve"> </w:t>
            </w:r>
            <w:r>
              <w:t xml:space="preserve">MPa. Los identificadores que comienzan con</w:t>
            </w:r>
            <w:r>
              <w:t xml:space="preserve"> </w:t>
            </w:r>
            <w:r>
              <w:rPr>
                <w:rStyle w:val="VerbatimChar"/>
              </w:rPr>
              <w:t xml:space="preserve">S</w:t>
            </w:r>
            <w:r>
              <w:t xml:space="preserve"> </w:t>
            </w:r>
            <w:r>
              <w:t xml:space="preserve">corresponden a las mallas simétricas y</w:t>
            </w:r>
            <w:r>
              <w:t xml:space="preserve"> </w:t>
            </w:r>
            <w:r>
              <w:rPr>
                <w:rStyle w:val="VerbatimChar"/>
              </w:rPr>
              <w:t xml:space="preserve">A</w:t>
            </w:r>
            <w:r>
              <w:t xml:space="preserve"> </w:t>
            </w:r>
            <w:r>
              <w:t xml:space="preserve">al caso asimétrico de chapa exterior más malla interior;</w:t>
            </w:r>
            <w:r>
              <w:t xml:space="preserve"> </w:t>
            </w:r>
            <m:oMath>
              <m:r>
                <m:t>U</m:t>
              </m:r>
              <m:r>
                <m:rPr>
                  <m:sty m:val="p"/>
                </m:rPr>
                <m:t>&gt;</m:t>
              </m:r>
              <m:r>
                <m:t>1</m:t>
              </m:r>
            </m:oMath>
            <w:r>
              <w:t xml:space="preserve"> </w:t>
            </w:r>
            <w:r>
              <w:t xml:space="preserve">no verifica.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30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60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90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120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30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60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90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120</m:t>
                        </m:r>
                      </m:sup>
                    </m:sSubSup>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0.39</w:t>
                  </w:r>
                </w:p>
              </w:tc>
            </w:tr>
          </w:tbl>
          <w:bookmarkEnd w:id="122"/>
          <w:p/>
        </w:tc>
      </w:tr>
    </w:tbl>
    <w:tbl>
      <w:tblPr>
        <w:tblStyle w:val="Table"/>
        <w:tblLayout w:type="autofit"/>
        <w:tblLook w:firstRow="0" w:lastRow="0" w:firstColumn="0" w:lastColumn="0" w:noHBand="0" w:noVBand="0" w:val="0000"/>
      </w:tblPr>
      <w:tblGrid>
        <w:gridCol w:w="7920"/>
      </w:tblGrid>
      <w:tr>
        <w:tc>
          <w:tcPr/>
          <w:bookmarkStart w:id="123" w:name="tbl-calculation-sensitivity-pm150"/>
          <w:p>
            <w:pPr>
              <w:jc w:val="left"/>
              <w:pStyle w:val="ImageCaption"/>
            </w:pPr>
            <w:r>
              <w:t xml:space="preserve">Tabla 6.4: Sección de 150 mm: sensibilidad de las utilizaciones del estudio</w:t>
            </w:r>
            <w:r>
              <w:t xml:space="preserve"> </w:t>
            </w:r>
            <m:oMath>
              <m:r>
                <m:t>P</m:t>
              </m:r>
            </m:oMath>
            <w:r>
              <w:t xml:space="preserve">–</w:t>
            </w:r>
            <m:oMath>
              <m:r>
                <m:t>M</m:t>
              </m:r>
            </m:oMath>
            <w:r>
              <w:t xml:space="preserve"> </w:t>
            </w:r>
            <w:r>
              <w:t xml:space="preserve">al módulo del terreno.</w:t>
            </w:r>
            <w:r>
              <w:t xml:space="preserve"> </w:t>
            </w:r>
            <m:oMath>
              <m:sSubSup>
                <m:e>
                  <m:r>
                    <m:t>U</m:t>
                  </m:r>
                </m:e>
                <m:sub>
                  <m:r>
                    <m:t>P</m:t>
                  </m:r>
                  <m:r>
                    <m:t>M</m:t>
                  </m:r>
                </m:sub>
                <m:sup>
                  <m:r>
                    <m:t>E</m:t>
                  </m:r>
                </m:sup>
              </m:sSubSup>
            </m:oMath>
            <w:r>
              <w:t xml:space="preserve"> </w:t>
            </w:r>
            <w:r>
              <w:t xml:space="preserve">y</w:t>
            </w:r>
            <w:r>
              <w:t xml:space="preserve"> </w:t>
            </w:r>
            <m:oMath>
              <m:sSubSup>
                <m:e>
                  <m:r>
                    <m:t>U</m:t>
                  </m:r>
                </m:e>
                <m:sub>
                  <m:r>
                    <m:t>V</m:t>
                  </m:r>
                </m:sub>
                <m:sup>
                  <m:r>
                    <m:t>E</m:t>
                  </m:r>
                </m:sup>
              </m:sSubSup>
            </m:oMath>
            <w:r>
              <w:t xml:space="preserve"> </w:t>
            </w:r>
            <w:r>
              <w:t xml:space="preserve">son las utilizaciones máximas de flexocompresión y de corte unidireccional para</w:t>
            </w:r>
            <w:r>
              <w:t xml:space="preserve"> </w:t>
            </w:r>
            <m:oMath>
              <m:sSub>
                <m:e>
                  <m:r>
                    <m:t>E</m:t>
                  </m:r>
                </m:e>
                <m:sub>
                  <m:r>
                    <m:t>g</m:t>
                  </m:r>
                </m:sub>
              </m:sSub>
              <m:r>
                <m:rPr>
                  <m:sty m:val="p"/>
                </m:rPr>
                <m:t>=</m:t>
              </m:r>
              <m:r>
                <m:t>E</m:t>
              </m:r>
            </m:oMath>
            <w:r>
              <w:t xml:space="preserve"> </w:t>
            </w:r>
            <w:r>
              <w:t xml:space="preserve">MPa. Los identificadores que comienzan con</w:t>
            </w:r>
            <w:r>
              <w:t xml:space="preserve"> </w:t>
            </w:r>
            <w:r>
              <w:rPr>
                <w:rStyle w:val="VerbatimChar"/>
              </w:rPr>
              <w:t xml:space="preserve">S</w:t>
            </w:r>
            <w:r>
              <w:t xml:space="preserve"> </w:t>
            </w:r>
            <w:r>
              <w:t xml:space="preserve">corresponden a las mallas simétricas y</w:t>
            </w:r>
            <w:r>
              <w:t xml:space="preserve"> </w:t>
            </w:r>
            <w:r>
              <w:rPr>
                <w:rStyle w:val="VerbatimChar"/>
              </w:rPr>
              <w:t xml:space="preserve">A</w:t>
            </w:r>
            <w:r>
              <w:t xml:space="preserve"> </w:t>
            </w:r>
            <w:r>
              <w:t xml:space="preserve">al caso asimétrico de chapa exterior más malla interior;</w:t>
            </w:r>
            <w:r>
              <w:t xml:space="preserve"> </w:t>
            </w:r>
            <m:oMath>
              <m:r>
                <m:t>U</m:t>
              </m:r>
              <m:r>
                <m:rPr>
                  <m:sty m:val="p"/>
                </m:rPr>
                <m:t>&gt;</m:t>
              </m:r>
              <m:r>
                <m:t>1</m:t>
              </m:r>
            </m:oMath>
            <w:r>
              <w:t xml:space="preserve"> </w:t>
            </w:r>
            <w:r>
              <w:t xml:space="preserve">no verifica.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30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60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90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120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30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60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90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120</m:t>
                        </m:r>
                      </m:sup>
                    </m:sSubSup>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0.69</w:t>
                  </w:r>
                </w:p>
              </w:tc>
            </w:tr>
          </w:tbl>
          <w:bookmarkEnd w:id="123"/>
          <w:p/>
        </w:tc>
      </w:tr>
    </w:tbl>
    <w:p>
      <w:pPr>
        <w:pStyle w:val="BodyText"/>
      </w:pPr>
      <w:r>
        <w:t xml:space="preserve">Para la sección de 100 mm, con el módulo adoptado de</w:t>
      </w:r>
      <w:r>
        <w:t xml:space="preserve"> </w:t>
      </w:r>
      <w:r>
        <w:t xml:space="preserve">30 MPa</w:t>
      </w:r>
      <w:r>
        <w:t xml:space="preserve"> </w:t>
      </w:r>
      <w:r>
        <w:t xml:space="preserve">satisfacen la flexocompresión S8, S10 y S12</w:t>
      </w:r>
      <w:r>
        <w:t xml:space="preserve"> </w:t>
      </w:r>
      <w:r>
        <w:t xml:space="preserve">y con 120 MPa</w:t>
      </w:r>
      <w:r>
        <w:t xml:space="preserve"> </w:t>
      </w:r>
      <w:r>
        <w:t xml:space="preserve">satisfacen S8, S10 y S12.</w:t>
      </w:r>
      <w:r>
        <w:t xml:space="preserve"> </w:t>
      </w:r>
      <w:r>
        <w:t xml:space="preserve">Para la sección de 150 mm, los dictámenes de</w:t>
      </w:r>
      <w:r>
        <w:t xml:space="preserve"> </w:t>
      </w:r>
      <w:r>
        <w:t xml:space="preserve">S8 y S10</w:t>
      </w:r>
      <w:r>
        <w:t xml:space="preserve"> </w:t>
      </w:r>
      <w:r>
        <w:t xml:space="preserve">cambian dentro del rango: con el módulo adoptado</w:t>
      </w:r>
      <w:r>
        <w:t xml:space="preserve"> </w:t>
      </w:r>
      <w:r>
        <w:t xml:space="preserve">satisface S12</w:t>
      </w:r>
      <w:r>
        <w:t xml:space="preserve"> </w:t>
      </w:r>
      <w:r>
        <w:t xml:space="preserve">y con 120 MPa</w:t>
      </w:r>
      <w:r>
        <w:t xml:space="preserve"> </w:t>
      </w:r>
      <w:r>
        <w:t xml:space="preserve">satisfacen S8, S10 y S12.</w:t>
      </w:r>
      <w:r>
        <w:t xml:space="preserve"> </w:t>
      </w:r>
      <w:r>
        <w:t xml:space="preserve">La selección de armadura del espesor de 150 mm depende, por lo tanto,</w:t>
      </w:r>
      <w:r>
        <w:t xml:space="preserve"> </w:t>
      </w:r>
      <w:r>
        <w:t xml:space="preserve">directamente del módulo que confirme la caracterización geotécnica de diseño.</w:t>
      </w:r>
    </w:p>
    <w:p>
      <w:pPr>
        <w:pStyle w:val="BodyText"/>
      </w:pPr>
      <w:r>
        <w:t xml:space="preserve">La</w:t>
      </w:r>
      <w:r>
        <w:t xml:space="preserve"> </w:t>
      </w:r>
      <w:hyperlink w:anchor="fig-pm-sensitivity-shotcrete100">
        <w:r>
          <w:rPr>
            <w:rStyle w:val="Hyperlink"/>
          </w:rPr>
          <w:t xml:space="preserve">figura 6.1</w:t>
        </w:r>
      </w:hyperlink>
      <w:r>
        <w:t xml:space="preserve"> </w:t>
      </w:r>
      <w:r>
        <w:t xml:space="preserve">y la</w:t>
      </w:r>
      <w:r>
        <w:t xml:space="preserve"> </w:t>
      </w:r>
      <w:hyperlink w:anchor="fig-pm-sensitivity-shotcrete150">
        <w:r>
          <w:rPr>
            <w:rStyle w:val="Hyperlink"/>
          </w:rPr>
          <w:t xml:space="preserve">figura 6.2</w:t>
        </w:r>
      </w:hyperlink>
      <w:r>
        <w:t xml:space="preserve"> </w:t>
      </w:r>
      <w:r>
        <w:t xml:space="preserve">superponen a los dominios resistentes las trayectorias de la demanda</w:t>
      </w:r>
      <w:r>
        <w:t xml:space="preserve"> </w:t>
      </w:r>
      <w:r>
        <w:t xml:space="preserve">gobernante al variar el módulo. La fuerza axial gobernante se mantiene casi</w:t>
      </w:r>
      <w:r>
        <w:t xml:space="preserve"> </w:t>
      </w:r>
      <w:r>
        <w:t xml:space="preserve">constante mientras el momento concurrente se reduce con la rigidez, de modo</w:t>
      </w:r>
      <w:r>
        <w:t xml:space="preserve"> </w:t>
      </w:r>
      <w:r>
        <w:t xml:space="preserve">que la demanda se desplaza hacia el interior del dominio.</w:t>
      </w:r>
    </w:p>
    <w:tbl>
      <w:tblPr>
        <w:tblStyle w:val="Table"/>
        <w:tblLayout w:type="autofit"/>
        <w:tblLook w:firstRow="0" w:lastRow="0" w:firstColumn="0" w:lastColumn="0" w:noHBand="0" w:noVBand="0" w:val="0000"/>
      </w:tblPr>
      <w:tblGrid>
        <w:gridCol w:w="7920"/>
      </w:tblGrid>
      <w:tr>
        <w:tc>
          <w:tcPr/>
          <w:bookmarkStart w:id="127" w:name="fig-pm-sensitivity-shotcrete100"/>
          <w:p>
            <w:pPr>
              <w:pStyle w:val="Compact"/>
              <w:jc w:val="center"/>
            </w:pPr>
            <w:r>
              <w:drawing>
                <wp:inline>
                  <wp:extent cx="5791200" cy="4378427"/>
                  <wp:effectExtent b="0" l="0" r="0" t="0"/>
                  <wp:docPr descr="" title="" id="125" name="Picture"/>
                  <a:graphic>
                    <a:graphicData uri="http://schemas.openxmlformats.org/drawingml/2006/picture">
                      <pic:pic>
                        <pic:nvPicPr>
                          <pic:cNvPr descr="_index/sensitivity.ES_files/figure-docx/fig-pm-sensitivity-shotcrete100-1.png" id="126" name="Picture"/>
                          <pic:cNvPicPr>
                            <a:picLocks noChangeArrowheads="1" noChangeAspect="1"/>
                          </pic:cNvPicPr>
                        </pic:nvPicPr>
                        <pic:blipFill>
                          <a:blip r:embed="rId124"/>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6.1: Sección de 100 mm: dominios resistentes de diseño</w:t>
            </w:r>
            <w:r>
              <w:t xml:space="preserve"> </w:t>
            </w:r>
            <m:oMath>
              <m:r>
                <m:t>P</m:t>
              </m:r>
            </m:oMath>
            <w:r>
              <w:t xml:space="preserve">–</w:t>
            </w:r>
            <m:oMath>
              <m:r>
                <m:t>M</m:t>
              </m:r>
            </m:oMath>
            <w:r>
              <w:t xml:space="preserve"> </w:t>
            </w:r>
            <w:r>
              <w:t xml:space="preserve">y trayectorias de la demanda gobernante al variar el módulo del terreno; el rótulo junto a cada marcador indica</w:t>
            </w:r>
            <w:r>
              <w:t xml:space="preserve"> </w:t>
            </w:r>
            <m:oMath>
              <m:sSub>
                <m:e>
                  <m:r>
                    <m:t>E</m:t>
                  </m:r>
                </m:e>
                <m:sub>
                  <m:r>
                    <m:t>g</m:t>
                  </m:r>
                </m:sub>
              </m:sSub>
            </m:oMath>
            <w:r>
              <w:t xml:space="preserve"> </w:t>
            </w:r>
            <w:r>
              <w:t xml:space="preserve">en MPa. Se muestran las trayectorias de la malla simétrica S8 y del caso asimétrico A8 para los límites Slip (S, círculos) y No Slip (NS, rombos); el dominio se representa en su mitad de fuerza axial positiva. El par gobernante se selecciona contra el dominio de cada armadura y puede cambiar de posición angular y de combinación al variar la rigidez, por lo que una trayectoria puede presentar saltos.</w:t>
            </w:r>
          </w:p>
          <w:bookmarkEnd w:id="127"/>
        </w:tc>
      </w:tr>
    </w:tbl>
    <w:tbl>
      <w:tblPr>
        <w:tblStyle w:val="Table"/>
        <w:tblLayout w:type="autofit"/>
        <w:tblLook w:firstRow="0" w:lastRow="0" w:firstColumn="0" w:lastColumn="0" w:noHBand="0" w:noVBand="0" w:val="0000"/>
      </w:tblPr>
      <w:tblGrid>
        <w:gridCol w:w="7920"/>
      </w:tblGrid>
      <w:tr>
        <w:tc>
          <w:tcPr/>
          <w:bookmarkStart w:id="131" w:name="fig-pm-sensitivity-shotcrete150"/>
          <w:p>
            <w:pPr>
              <w:pStyle w:val="Compact"/>
              <w:jc w:val="center"/>
            </w:pPr>
            <w:r>
              <w:drawing>
                <wp:inline>
                  <wp:extent cx="5791200" cy="4378427"/>
                  <wp:effectExtent b="0" l="0" r="0" t="0"/>
                  <wp:docPr descr="" title="" id="129" name="Picture"/>
                  <a:graphic>
                    <a:graphicData uri="http://schemas.openxmlformats.org/drawingml/2006/picture">
                      <pic:pic>
                        <pic:nvPicPr>
                          <pic:cNvPr descr="_index/sensitivity.ES_files/figure-docx/fig-pm-sensitivity-shotcrete150-1.png" id="130" name="Picture"/>
                          <pic:cNvPicPr>
                            <a:picLocks noChangeArrowheads="1" noChangeAspect="1"/>
                          </pic:cNvPicPr>
                        </pic:nvPicPr>
                        <pic:blipFill>
                          <a:blip r:embed="rId128"/>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6.2: Sección de 150 mm: dominios resistentes de diseño</w:t>
            </w:r>
            <w:r>
              <w:t xml:space="preserve"> </w:t>
            </w:r>
            <m:oMath>
              <m:r>
                <m:t>P</m:t>
              </m:r>
            </m:oMath>
            <w:r>
              <w:t xml:space="preserve">–</w:t>
            </w:r>
            <m:oMath>
              <m:r>
                <m:t>M</m:t>
              </m:r>
            </m:oMath>
            <w:r>
              <w:t xml:space="preserve"> </w:t>
            </w:r>
            <w:r>
              <w:t xml:space="preserve">y trayectorias de la demanda gobernante al variar el módulo del terreno; el rótulo junto a cada marcador indica</w:t>
            </w:r>
            <w:r>
              <w:t xml:space="preserve"> </w:t>
            </w:r>
            <m:oMath>
              <m:sSub>
                <m:e>
                  <m:r>
                    <m:t>E</m:t>
                  </m:r>
                </m:e>
                <m:sub>
                  <m:r>
                    <m:t>g</m:t>
                  </m:r>
                </m:sub>
              </m:sSub>
            </m:oMath>
            <w:r>
              <w:t xml:space="preserve"> </w:t>
            </w:r>
            <w:r>
              <w:t xml:space="preserve">en MPa. Se muestran las trayectorias de la malla simétrica S8 y del caso asimétrico A8 para los límites Slip (S, círculos) y No Slip (NS, rombos); el dominio se representa en su mitad de fuerza axial positiva. El par gobernante se selecciona contra el dominio de cada armadura y puede cambiar de posición angular y de combinación al variar la rigidez, por lo que una trayectoria puede presentar saltos.</w:t>
            </w:r>
          </w:p>
          <w:bookmarkEnd w:id="131"/>
        </w:tc>
      </w:tr>
    </w:tbl>
    <w:bookmarkEnd w:id="132"/>
    <w:bookmarkStart w:id="133" w:name="alcance-del-estudio"/>
    <w:p>
      <w:pPr>
        <w:pStyle w:val="Heading2"/>
      </w:pPr>
      <w:r>
        <w:t xml:space="preserve">Alcance del estudio</w:t>
      </w:r>
    </w:p>
    <w:p>
      <w:pPr>
        <w:pStyle w:val="FirstParagraph"/>
      </w:pPr>
      <w:r>
        <w:t xml:space="preserve">El estudio varía únicamente</w:t>
      </w:r>
      <w:r>
        <w:t xml:space="preserve"> </w:t>
      </w:r>
      <m:oMath>
        <m:sSub>
          <m:e>
            <m:r>
              <m:t>E</m:t>
            </m:r>
          </m:e>
          <m:sub>
            <m:r>
              <m:t>g</m:t>
            </m:r>
          </m:sub>
        </m:sSub>
      </m:oMath>
      <w:r>
        <w:t xml:space="preserve">; los pesos unitarios, el ángulo de</w:t>
      </w:r>
      <w:r>
        <w:t xml:space="preserve"> </w:t>
      </w:r>
      <w:r>
        <w:t xml:space="preserve">fricción, los espesores y las resistencias conservan los valores del</w:t>
      </w:r>
      <w:r>
        <w:t xml:space="preserve"> </w:t>
      </w:r>
      <w:r>
        <w:t xml:space="preserve">escenario adoptado. El módulo adoptado de</w:t>
      </w:r>
      <w:r>
        <w:t xml:space="preserve"> </w:t>
      </w:r>
      <w:r>
        <w:t xml:space="preserve">30 MPa es el extremo inferior</w:t>
      </w:r>
      <w:r>
        <w:t xml:space="preserve"> </w:t>
      </w:r>
      <w:r>
        <w:t xml:space="preserve">del rango estudiado y produce las demandas de interacción más altas del</w:t>
      </w:r>
      <w:r>
        <w:t xml:space="preserve"> </w:t>
      </w:r>
      <w:r>
        <w:t xml:space="preserve">barrido; las conclusiones del cuerpo de la memoria corresponden a ese</w:t>
      </w:r>
      <w:r>
        <w:t xml:space="preserve"> </w:t>
      </w:r>
      <w:r>
        <w:t xml:space="preserve">extremo. La confirmación del módulo con la caracterización geotécnica de</w:t>
      </w:r>
      <w:r>
        <w:t xml:space="preserve"> </w:t>
      </w:r>
      <w:r>
        <w:t xml:space="preserve">diseño permitirá fijar el punto del rango aplicable a la selección de la</w:t>
      </w:r>
      <w:r>
        <w:t xml:space="preserve"> </w:t>
      </w:r>
      <w:r>
        <w:t xml:space="preserve">rehabilitación.</w:t>
      </w:r>
    </w:p>
    <w:bookmarkEnd w:id="133"/>
    <w:bookmarkEnd w:id="134"/>
    <w:bookmarkStart w:id="135" w:name="sec-specifications"/>
    <w:p>
      <w:pPr>
        <w:pStyle w:val="Heading1"/>
      </w:pPr>
      <w:r>
        <w:t xml:space="preserve">Especificación técnica de inspección</w:t>
      </w:r>
    </w:p>
    <w:p>
      <w:pPr>
        <w:pStyle w:val="FirstParagraph"/>
      </w:pPr>
      <w:r>
        <w:t xml:space="preserve">Este capítulo define la inspección necesaria para sustituir las propiedades</w:t>
      </w:r>
      <w:r>
        <w:t xml:space="preserve"> </w:t>
      </w:r>
      <w:r>
        <w:t xml:space="preserve">supuestas del liner existente por datos representativos de terreno. Establece</w:t>
      </w:r>
      <w:r>
        <w:t xml:space="preserve"> </w:t>
      </w:r>
      <w:r>
        <w:t xml:space="preserve">el alcance, el equipamiento, el muestreo y los registros para medir el espesor</w:t>
      </w:r>
      <w:r>
        <w:t xml:space="preserve"> </w:t>
      </w:r>
      <w:r>
        <w:t xml:space="preserve">remanente de la chapa, evaluar las uniones apernadas, confirmar la geometría</w:t>
      </w:r>
      <w:r>
        <w:t xml:space="preserve"> </w:t>
      </w:r>
      <w:r>
        <w:t xml:space="preserve">del perfil y cuantificar la ovalización. Su objetivo es producir la evidencia</w:t>
      </w:r>
      <w:r>
        <w:t xml:space="preserve"> </w:t>
      </w:r>
      <w:r>
        <w:t xml:space="preserve">dimensional y de condición que requiere la evaluación estructural definitiva.</w:t>
      </w:r>
    </w:p>
    <w:p>
      <w:pPr>
        <w:pStyle w:val="BodyText"/>
      </w:pPr>
      <w:r>
        <w:t xml:space="preserve">La inspección comprende el ensayo de espesores, la revisión de los pernos de</w:t>
      </w:r>
      <w:r>
        <w:t xml:space="preserve"> </w:t>
      </w:r>
      <w:r>
        <w:t xml:space="preserve">conexión y la confirmación de la sección de chapa corrugada. El procedimiento</w:t>
      </w:r>
      <w:r>
        <w:t xml:space="preserve"> </w:t>
      </w:r>
      <w:r>
        <w:t xml:space="preserve">de terreno tiene los siguientes objetivos:</w:t>
      </w:r>
    </w:p>
    <w:p>
      <w:pPr>
        <w:pStyle w:val="ListNumber"/>
      </w:pPr>
      <w:r>
        <w:rPr>
          <w:b/>
          <w:bCs/>
        </w:rPr>
        <w:t xml:space="preserve">(A)</w:t>
      </w:r>
      <w:r>
        <w:t xml:space="preserve"> </w:t>
      </w:r>
      <w:r>
        <w:t xml:space="preserve">Medir por ultrasonido (UT) el espesor de la chapa de acero corrugado del túnel, en zonas representativas y en las costuras apernadas.</w:t>
      </w:r>
    </w:p>
    <w:p>
      <w:pPr>
        <w:pStyle w:val="ListNumber"/>
      </w:pPr>
      <w:r>
        <w:rPr>
          <w:b/>
          <w:bCs/>
        </w:rPr>
        <w:t xml:space="preserve">(B)</w:t>
      </w:r>
      <w:r>
        <w:t xml:space="preserve"> </w:t>
      </w:r>
      <w:r>
        <w:t xml:space="preserve">Evaluar el estado físico y la capacidad resistente de los pernos y tuercas de las uniones longitudinales y circunferenciales.</w:t>
      </w:r>
    </w:p>
    <w:p>
      <w:pPr>
        <w:pStyle w:val="ListNumber"/>
      </w:pPr>
      <w:r>
        <w:rPr>
          <w:b/>
          <w:bCs/>
        </w:rPr>
        <w:t xml:space="preserve">(C)</w:t>
      </w:r>
      <w:r>
        <w:t xml:space="preserve"> </w:t>
      </w:r>
      <w:r>
        <w:t xml:space="preserve">Confirmar la geometría real de la chapa (paso, profundidad, espesor) para verificar las propiedades de sección (A, I, S, r) usadas en la revisión estructural.</w:t>
      </w:r>
    </w:p>
    <w:p>
      <w:pPr>
        <w:pStyle w:val="ListNumber"/>
      </w:pPr>
      <w:r>
        <w:rPr>
          <w:b/>
          <w:bCs/>
        </w:rPr>
        <w:t xml:space="preserve">(D)</w:t>
      </w:r>
      <w:r>
        <w:t xml:space="preserve"> </w:t>
      </w:r>
      <w:r>
        <w:t xml:space="preserve">Medir la ovalización de la sección actual para estimar la reserva estructural a flexión del sostenimiento.</w:t>
      </w:r>
    </w:p>
    <w:p>
      <w:pPr>
        <w:pStyle w:val="BodyText"/>
      </w:pPr>
      <w:r>
        <w:t xml:space="preserve">Aplica a la totalidad del desarrollo del túnel de descarga bajo el espesador de la planta San Francisco, con énfasis en los tramos identificados con mayor deterioro visual (costuras apernadas, encuentro con el radier, zonas de escurrimiento de agua). Los antecedentes que orientan el levantamiento son:</w:t>
      </w:r>
    </w:p>
    <w:p>
      <w:pPr>
        <w:pStyle w:val="ListBullet"/>
      </w:pPr>
      <w:r>
        <w:t xml:space="preserve">Perfil de chapa identificado por croquis: paso 76 mm, profundidad 25 mm y espesor especificado de catálogo de 3.5 mm, compatible con el perfil comercial estándar 76×25 mm (</w:t>
      </w:r>
      <w:r>
        <w:t xml:space="preserve">“3″×1″”</w:t>
      </w:r>
      <w:r>
        <w:t xml:space="preserve">) de estructura de acero corrugado (AASHTO M36 / ASTM A760).</w:t>
      </w:r>
    </w:p>
    <w:p>
      <w:pPr>
        <w:pStyle w:val="ListBullet"/>
      </w:pPr>
      <w:r>
        <w:t xml:space="preserve">Diámetro interior medido: ≈2.63 m.</w:t>
      </w:r>
    </w:p>
    <w:p>
      <w:pPr>
        <w:pStyle w:val="ListBullet"/>
      </w:pPr>
      <w:r>
        <w:t xml:space="preserve">Evaluación visual preliminar de fotografías: el deterioro superficial dominante en el campo de chapa corresponde a desprendimiento de un sistema de pintura (no necesariamente pérdida de sección); la corrosión real del acero parece estar concentrada en costuras apernadas y pernos/tuercas.</w:t>
      </w:r>
    </w:p>
    <w:p>
      <w:pPr>
        <w:pStyle w:val="BodyText"/>
      </w:pPr>
      <w:r>
        <w:t xml:space="preserve">El levantamiento verificará cuantitativamente estas observaciones preliminares.</w:t>
      </w:r>
      <w:r>
        <w:t xml:space="preserve"> </w:t>
      </w:r>
      <w:r>
        <w:t xml:space="preserve">Las referencias normativas utilizadas para preparar y documentar la inspección</w:t>
      </w:r>
      <w:r>
        <w:t xml:space="preserve"> </w:t>
      </w:r>
      <w:r>
        <w:t xml:space="preserve">son:</w:t>
      </w:r>
    </w:p>
    <w:tbl>
      <w:tblPr>
        <w:tblStyle w:val="Table"/>
        <w:tblLayout w:type="autofit"/>
        <w:tblLook w:firstRow="1" w:lastRow="0" w:firstColumn="0" w:lastColumn="0" w:noHBand="0" w:noVBand="0" w:val="0020"/>
      </w:tblPr>
      <w:tblGrid>
        <w:gridCol w:w="3960"/>
        <w:gridCol w:w="3960"/>
      </w:tblGrid>
      <w:tr>
        <w:trPr>
          <w:tblHeader w:val="on"/>
        </w:trPr>
        <w:tc>
          <w:tcPr/>
          <w:p>
            <w:pPr>
              <w:pStyle w:val="Compact"/>
            </w:pPr>
            <w:r>
              <w:t xml:space="preserve">Tema</w:t>
            </w:r>
          </w:p>
        </w:tc>
        <w:tc>
          <w:tcPr/>
          <w:p>
            <w:pPr>
              <w:pStyle w:val="Compact"/>
            </w:pPr>
            <w:r>
              <w:t xml:space="preserve">Referencia</w:t>
            </w:r>
          </w:p>
        </w:tc>
      </w:tr>
      <w:tr>
        <w:tc>
          <w:tcPr/>
          <w:p>
            <w:pPr>
              <w:pStyle w:val="Compact"/>
            </w:pPr>
            <w:r>
              <w:t xml:space="preserve">Medición de espesores por ultrasonido (pulso-eco)</w:t>
            </w:r>
          </w:p>
        </w:tc>
        <w:tc>
          <w:tcPr/>
          <w:p>
            <w:pPr>
              <w:pStyle w:val="Compact"/>
            </w:pPr>
            <w:r>
              <w:t xml:space="preserve">ASTM E797/E797M; ASTM E114</w:t>
            </w:r>
          </w:p>
        </w:tc>
      </w:tr>
      <w:tr>
        <w:tc>
          <w:tcPr/>
          <w:p>
            <w:pPr>
              <w:pStyle w:val="Compact"/>
            </w:pPr>
            <w:r>
              <w:t xml:space="preserve">Tubería/estructura de acero corrugado — dimensiones y propiedades de sección</w:t>
            </w:r>
          </w:p>
        </w:tc>
        <w:tc>
          <w:tcPr/>
          <w:p>
            <w:pPr>
              <w:pStyle w:val="Compact"/>
            </w:pPr>
            <w:r>
              <w:t xml:space="preserve">AASHTO M36; ASTM A760/A760M; ASTM A796/A796M (fórmulas de propiedades de sección)</w:t>
            </w:r>
          </w:p>
        </w:tc>
      </w:tr>
      <w:tr>
        <w:tc>
          <w:tcPr/>
          <w:p>
            <w:pPr>
              <w:pStyle w:val="Compact"/>
            </w:pPr>
            <w:r>
              <w:t xml:space="preserve">Grado de oxidación sobre acero pintado (para diferenciar corrosión de desprendimiento de recubrimiento)</w:t>
            </w:r>
          </w:p>
        </w:tc>
        <w:tc>
          <w:tcPr/>
          <w:p>
            <w:pPr>
              <w:pStyle w:val="Compact"/>
            </w:pPr>
            <w:r>
              <w:t xml:space="preserve">SSPC-VIS 2; ASTM D610</w:t>
            </w:r>
          </w:p>
        </w:tc>
      </w:tr>
      <w:tr>
        <w:tc>
          <w:tcPr/>
          <w:p>
            <w:pPr>
              <w:pStyle w:val="Compact"/>
            </w:pPr>
            <w:r>
              <w:t xml:space="preserve">Pernos y elementos de unión — inspección dimensional</w:t>
            </w:r>
          </w:p>
        </w:tc>
        <w:tc>
          <w:tcPr/>
          <w:p>
            <w:pPr>
              <w:pStyle w:val="Compact"/>
            </w:pPr>
            <w:r>
              <w:t xml:space="preserve">ASTM F3125 / A307 (como referencia de grados típicos de la época; grado real a confirmar en terreno)</w:t>
            </w:r>
          </w:p>
        </w:tc>
      </w:tr>
    </w:tbl>
    <w:p>
      <w:pPr>
        <w:pStyle w:val="BodyText"/>
      </w:pPr>
      <w:r>
        <w:t xml:space="preserve">Para el registro y la interpretación de resultados se adoptan las siguientes</w:t>
      </w:r>
      <w:r>
        <w:t xml:space="preserve"> </w:t>
      </w:r>
      <w:r>
        <w:t xml:space="preserve">definiciones:</w:t>
      </w:r>
    </w:p>
    <w:p>
      <w:pPr>
        <w:pStyle w:val="ListBullet"/>
      </w:pPr>
      <w:r>
        <w:t xml:space="preserve">Espesor especificado: espesor de fabricación de catálogo; la memoria adopta 3.5 mm.</w:t>
      </w:r>
    </w:p>
    <w:p>
      <w:pPr>
        <w:pStyle w:val="ListBullet"/>
      </w:pPr>
      <w:r>
        <w:t xml:space="preserve">Espesor base de diseño: espesor tabulado sin el aporte del recubrimiento metálico; la memoria adopta 3.35 mm.</w:t>
      </w:r>
    </w:p>
    <w:p>
      <w:pPr>
        <w:pStyle w:val="ListBullet"/>
      </w:pPr>
      <w:r>
        <w:t xml:space="preserve">Espesor remanente: espesor neto de corrosión; el escenario de cálculo adopta 3.0 mm y la inspección debe confirmarlo.</w:t>
      </w:r>
    </w:p>
    <w:p>
      <w:pPr>
        <w:pStyle w:val="ListBullet"/>
      </w:pPr>
      <w:r>
        <w:t xml:space="preserve">Pérdida de sección: (espesor de diseño − espesor remanente) / espesor de diseño, expresada en %.</w:t>
      </w:r>
    </w:p>
    <w:p>
      <w:pPr>
        <w:pStyle w:val="ListBullet"/>
      </w:pPr>
      <w:r>
        <w:t xml:space="preserve">Punto de medición (PM): ubicación física individual, georreferenciada por progresiva (estación) y posición angular (corona, riñón, hastial, solera).</w:t>
      </w:r>
    </w:p>
    <w:p>
      <w:pPr>
        <w:pStyle w:val="BodyText"/>
      </w:pPr>
      <w:r>
        <w:t xml:space="preserve">La inspección requiere el siguiente equipamiento:</w:t>
      </w:r>
    </w:p>
    <w:p>
      <w:pPr>
        <w:pStyle w:val="ListBullet"/>
      </w:pPr>
      <w:r>
        <w:t xml:space="preserve">Medidor de espesores por ultrasonido, transductor dual-elemento (rango recomendado 1–10 mm, resolución 0.01 mm), con bloques de calibración certificados (escalón conocido, acero al carbono).</w:t>
      </w:r>
    </w:p>
    <w:p>
      <w:pPr>
        <w:pStyle w:val="ListBullet"/>
      </w:pPr>
      <w:r>
        <w:t xml:space="preserve">Acoplante (couplant) apto para superficie curva/vertical.</w:t>
      </w:r>
    </w:p>
    <w:p>
      <w:pPr>
        <w:pStyle w:val="ListBullet"/>
      </w:pPr>
      <w:r>
        <w:t xml:space="preserve">Amoladora angular pequeña con disco de lija fino / cepillo de cerdas para limpieza puntual (no remover metal sano).</w:t>
      </w:r>
    </w:p>
    <w:p>
      <w:pPr>
        <w:pStyle w:val="ListBullet"/>
      </w:pPr>
      <w:r>
        <w:t xml:space="preserve">Calibre pie de metro, galga de perfiles (plantilla de corrugación), cinta métrica, escuadra.</w:t>
      </w:r>
    </w:p>
    <w:p>
      <w:pPr>
        <w:pStyle w:val="ListBullet"/>
      </w:pPr>
      <w:r>
        <w:t xml:space="preserve">Martillo de inspección (sondeo por golpeteo) para detectar delaminación de óxido o pernos sueltos, o vacíos detrás de la chapa.</w:t>
      </w:r>
    </w:p>
    <w:p>
      <w:pPr>
        <w:pStyle w:val="ListBullet"/>
      </w:pPr>
      <w:r>
        <w:t xml:space="preserve">Cámara fotográfica con escala de referencia (tarjeta/regla) en cada toma.</w:t>
      </w:r>
    </w:p>
    <w:p>
      <w:pPr>
        <w:pStyle w:val="ListBullet"/>
      </w:pPr>
      <w:r>
        <w:t xml:space="preserve">Formularios de registro con planilla digital georreferenciada.</w:t>
      </w:r>
    </w:p>
    <w:p>
      <w:pPr>
        <w:pStyle w:val="ListBullet"/>
      </w:pPr>
      <w:r>
        <w:t xml:space="preserve">Torquímetro (si se decide verificar apriete de pernos accesibles) y/o llave dinamométrica.</w:t>
      </w:r>
    </w:p>
    <w:p>
      <w:pPr>
        <w:pStyle w:val="ListBullet"/>
      </w:pPr>
      <w:r>
        <w:t xml:space="preserve">Kit de extracción de muestra (si se autoriza retiro de 2–3 pernos representativos para ensayo de laboratorio).</w:t>
      </w:r>
    </w:p>
    <w:p>
      <w:pPr>
        <w:pStyle w:val="BodyText"/>
      </w:pPr>
      <w:r>
        <w:t xml:space="preserve">El muestreo se distribuirá mediante una grilla de puntos y refuerzos en las</w:t>
      </w:r>
      <w:r>
        <w:t xml:space="preserve"> </w:t>
      </w:r>
      <w:r>
        <w:t xml:space="preserve">zonas de mayor interés:</w:t>
      </w:r>
    </w:p>
    <w:p>
      <w:pPr>
        <w:pStyle w:val="ListNumber"/>
      </w:pPr>
      <w:r>
        <w:t xml:space="preserve">Definir progresivas (estaciones) cada 5 m a lo largo del túnel, referenciadas al levantamiento topográfico existente.</w:t>
      </w:r>
    </w:p>
    <w:p>
      <w:pPr>
        <w:pStyle w:val="ListNumber"/>
      </w:pPr>
      <w:r>
        <w:t xml:space="preserve">En cada estación, medir en 4 posiciones angulares: corona (12h), ambos riñones (3h y 9h) y solera/hastial bajo (6h, si accesible sin agua/lodo).</w:t>
      </w:r>
    </w:p>
    <w:p>
      <w:pPr>
        <w:pStyle w:val="ListNumber"/>
      </w:pPr>
      <w:r>
        <w:t xml:space="preserve">Zonas de refuerzo de muestreo:</w:t>
      </w:r>
    </w:p>
    <w:p>
      <w:pPr>
        <w:pStyle w:val="ListBullet2"/>
      </w:pPr>
      <w:r>
        <w:t xml:space="preserve">El 50% de las uniones circunferenciales (entre dovelas).</w:t>
      </w:r>
    </w:p>
    <w:p>
      <w:pPr>
        <w:pStyle w:val="ListBullet2"/>
      </w:pPr>
      <w:r>
        <w:t xml:space="preserve">El 100% de las uniones longitudinales visibles (entre chapas de una misma dovela).</w:t>
      </w:r>
    </w:p>
    <w:p>
      <w:pPr>
        <w:pStyle w:val="ListBullet2"/>
      </w:pPr>
      <w:r>
        <w:t xml:space="preserve">Zonas con escurrimiento de agua/óxido.</w:t>
      </w:r>
    </w:p>
    <w:p>
      <w:pPr>
        <w:pStyle w:val="ListBullet2"/>
      </w:pPr>
      <w:r>
        <w:t xml:space="preserve">Zona de encuentro chapa–hormigón (radier y frentes).</w:t>
      </w:r>
    </w:p>
    <w:p>
      <w:pPr>
        <w:pStyle w:val="ListNumber"/>
      </w:pPr>
      <w:r>
        <w:t xml:space="preserve">Registrar cada punto con: progresiva, posición angular, foto con escala, y si corresponde a campo de chapa o costura.</w:t>
      </w:r>
    </w:p>
    <w:p>
      <w:pPr>
        <w:pStyle w:val="BodyText"/>
      </w:pPr>
      <w:r>
        <w:t xml:space="preserve">El objetivo mínimo orientativo es disponer tres estaciones de grilla regular</w:t>
      </w:r>
      <w:r>
        <w:t xml:space="preserve"> </w:t>
      </w:r>
      <w:r>
        <w:t xml:space="preserve">por cada 10 m de túnel y cubrir todas las costuras accesibles. La medición de</w:t>
      </w:r>
      <w:r>
        <w:t xml:space="preserve"> </w:t>
      </w:r>
      <w:r>
        <w:t xml:space="preserve">espesores por ultrasonido se realizará mediante la siguiente secuencia:</w:t>
      </w:r>
    </w:p>
    <w:p>
      <w:pPr>
        <w:pStyle w:val="ListNumber"/>
      </w:pPr>
      <w:r>
        <w:t xml:space="preserve">Calibración del equipo al inicio de la jornada y cada 2 horas, sobre bloque patrón de mismo material base (acero al carbono).</w:t>
      </w:r>
    </w:p>
    <w:p>
      <w:pPr>
        <w:pStyle w:val="ListNumber"/>
      </w:pPr>
      <w:r>
        <w:t xml:space="preserve">Preparación: limpiar mecánicamente un área de ~50×50 mm en cada punto hasta metal sano visible (sin escamas de óxido ni pintura), evitando desbaste del metal base. Fotografiar antes y después de la limpieza.</w:t>
      </w:r>
    </w:p>
    <w:p>
      <w:pPr>
        <w:pStyle w:val="ListNumber"/>
      </w:pPr>
      <w:r>
        <w:t xml:space="preserve">Medición: tomar 5 lecturas por punto en un patrón cerrado de ~20 mm, descartando valores atípicos; registrar el mínimo y el promedio.</w:t>
      </w:r>
    </w:p>
    <w:p>
      <w:pPr>
        <w:pStyle w:val="ListNumber"/>
      </w:pPr>
      <w:r>
        <w:t xml:space="preserve">Medir en la chapa (en la cresta y en el valle) y en la chapa adyacente a la unión (a 10–20 mm del borde de solape).</w:t>
      </w:r>
    </w:p>
    <w:p>
      <w:pPr>
        <w:pStyle w:val="BodyText"/>
      </w:pPr>
      <w:r>
        <w:t xml:space="preserve">La inspección de pernos y conexiones cubrirá inicialmente el 20% de los pernos</w:t>
      </w:r>
      <w:r>
        <w:t xml:space="preserve"> </w:t>
      </w:r>
      <w:r>
        <w:t xml:space="preserve">accesibles y se ampliará cuando los hallazgos lo requieran:</w:t>
      </w:r>
    </w:p>
    <w:p>
      <w:pPr>
        <w:pStyle w:val="ListNumber"/>
      </w:pPr>
      <w:r>
        <w:t xml:space="preserve">Limpieza puntual de cabeza, tuerca y chapa circundante.</w:t>
      </w:r>
    </w:p>
    <w:p>
      <w:pPr>
        <w:pStyle w:val="ListNumber"/>
      </w:pPr>
      <w:r>
        <w:t xml:space="preserve">Inspección visual con clasificación en 4 grados:</w:t>
      </w:r>
    </w:p>
    <w:p>
      <w:pPr>
        <w:pStyle w:val="ListBullet2"/>
      </w:pPr>
      <w:r>
        <w:t xml:space="preserve">G1 — Superficial: óxido de superficie, cabeza/tuerca con geometría íntegra y roscas visibles.</w:t>
      </w:r>
    </w:p>
    <w:p>
      <w:pPr>
        <w:pStyle w:val="ListBullet2"/>
      </w:pPr>
      <w:r>
        <w:t xml:space="preserve">G2 — Moderada: óxido laminar adherido, leve redondeo de aristas de cabeza/tuerca, sin pérdida de espesor evidente.</w:t>
      </w:r>
    </w:p>
    <w:p>
      <w:pPr>
        <w:pStyle w:val="ListBullet2"/>
      </w:pPr>
      <w:r>
        <w:t xml:space="preserve">G3 — Avanzada: pérdida visible de geometría (cabeza/tuerca parcialmente consumida), posible pérdida de sección del vástago en la interfaz con la chapa.</w:t>
      </w:r>
    </w:p>
    <w:p>
      <w:pPr>
        <w:pStyle w:val="ListBullet2"/>
      </w:pPr>
      <w:r>
        <w:t xml:space="preserve">G4 — Crítica: perno roto, faltante, o con sección tan reducida que no permite identificar la cabeza.</w:t>
      </w:r>
    </w:p>
    <w:p>
      <w:pPr>
        <w:pStyle w:val="ListNumber"/>
      </w:pPr>
      <w:r>
        <w:t xml:space="preserve">Sondeo por golpeteo (martillo de inspección) sobre la unión: un sonido</w:t>
      </w:r>
      <w:r>
        <w:t xml:space="preserve"> </w:t>
      </w:r>
      <w:r>
        <w:t xml:space="preserve">“vivo”</w:t>
      </w:r>
      <w:r>
        <w:t xml:space="preserve">/metálico indica unión sana; un sonido sordo/hueco indica posible pérdida de apriete o delaminación bajo la cabeza.</w:t>
      </w:r>
    </w:p>
    <w:p>
      <w:pPr>
        <w:pStyle w:val="ListNumber"/>
      </w:pPr>
      <w:r>
        <w:t xml:space="preserve">Medición dimensional con calibre: diámetro remanente de cabeza/tuerca vs. diámetro nominal de referencia (a definir con un perno en buen estado como patrón local).</w:t>
      </w:r>
    </w:p>
    <w:p>
      <w:pPr>
        <w:pStyle w:val="ListNumber"/>
      </w:pPr>
      <w:r>
        <w:t xml:space="preserve">Verificación de apriete con torquímetro en una muestra de pernos G1/G2 accesibles, para contrastar contra pernos G3 (si el equipo lo permite sin dañar la unión).</w:t>
      </w:r>
    </w:p>
    <w:p>
      <w:pPr>
        <w:pStyle w:val="ListNumber"/>
      </w:pPr>
      <w:r>
        <w:t xml:space="preserve">Muestra física para laboratorio: retirar 2–3 pernos representativos (uno G1–G2</w:t>
      </w:r>
      <w:r>
        <w:t xml:space="preserve"> </w:t>
      </w:r>
      <w:r>
        <w:t xml:space="preserve">“sano”</w:t>
      </w:r>
      <w:r>
        <w:t xml:space="preserve"> </w:t>
      </w:r>
      <w:r>
        <w:t xml:space="preserve">de control y uno o dos G3</w:t>
      </w:r>
      <w:r>
        <w:t xml:space="preserve"> </w:t>
      </w:r>
      <w:r>
        <w:t xml:space="preserve">“críticos”</w:t>
      </w:r>
      <w:r>
        <w:t xml:space="preserve">), en ubicaciones donde su ausencia no comprometa localmente la estabilidad, para:</w:t>
      </w:r>
    </w:p>
    <w:p>
      <w:pPr>
        <w:pStyle w:val="ListBullet2"/>
      </w:pPr>
      <w:r>
        <w:t xml:space="preserve">Medición exacta de diámetro remanente y pérdida de sección.</w:t>
      </w:r>
    </w:p>
    <w:p>
      <w:pPr>
        <w:pStyle w:val="ListBullet2"/>
      </w:pPr>
      <w:r>
        <w:t xml:space="preserve">Ensayo de tracción/dureza si se requiere confirmar grado de acero.</w:t>
      </w:r>
    </w:p>
    <w:p>
      <w:pPr>
        <w:pStyle w:val="ListNumber"/>
      </w:pPr>
      <w:r>
        <w:t xml:space="preserve">Registrar cada perno con: progresiva, tipo de costura, grado (G1–G4), foto con escala, y resultado de sondeo.</w:t>
      </w:r>
    </w:p>
    <w:p>
      <w:pPr>
        <w:pStyle w:val="BodyText"/>
      </w:pPr>
      <w:r>
        <w:t xml:space="preserve">La geometría de la chapa y la ovalización del túnel se confirmarán con las</w:t>
      </w:r>
      <w:r>
        <w:t xml:space="preserve"> </w:t>
      </w:r>
      <w:r>
        <w:t xml:space="preserve">siguientes mediciones:</w:t>
      </w:r>
    </w:p>
    <w:p>
      <w:pPr>
        <w:pStyle w:val="ListNumber"/>
      </w:pPr>
      <w:r>
        <w:t xml:space="preserve">En 5 ubicaciones representativas, medir con la galga de perfiles/calibre:</w:t>
      </w:r>
    </w:p>
    <w:p>
      <w:pPr>
        <w:pStyle w:val="ListBullet2"/>
      </w:pPr>
      <w:r>
        <w:t xml:space="preserve">Paso de corrugación (cresta a cresta), 3 mediciones por ubicación.</w:t>
      </w:r>
    </w:p>
    <w:p>
      <w:pPr>
        <w:pStyle w:val="ListBullet2"/>
      </w:pPr>
      <w:r>
        <w:t xml:space="preserve">Profundidad de corrugación (cresta a valle), 3 mediciones por ubicación.</w:t>
      </w:r>
    </w:p>
    <w:p>
      <w:pPr>
        <w:pStyle w:val="ListBullet2"/>
      </w:pPr>
      <w:r>
        <w:t xml:space="preserve">Ancho de plancha entre costuras longitudinales y número de</w:t>
      </w:r>
      <w:r>
        <w:t xml:space="preserve"> </w:t>
      </w:r>
      <w:r>
        <w:t xml:space="preserve">“rodones”</w:t>
      </w:r>
      <w:r>
        <w:t xml:space="preserve"> </w:t>
      </w:r>
      <w:r>
        <w:t xml:space="preserve">por plancha (verificar los</w:t>
      </w:r>
      <w:r>
        <w:t xml:space="preserve"> </w:t>
      </w:r>
      <w:r>
        <w:t xml:space="preserve">“8 rodones”</w:t>
      </w:r>
      <w:r>
        <w:t xml:space="preserve"> </w:t>
      </w:r>
      <w:r>
        <w:t xml:space="preserve">del croquis preliminar).</w:t>
      </w:r>
    </w:p>
    <w:p>
      <w:pPr>
        <w:pStyle w:val="ListNumber"/>
      </w:pPr>
      <w:r>
        <w:t xml:space="preserve">Si existe algún tramo con acceso para corte de una probeta pequeña (p.ej. en un extremo a reparar de todos modos, o en una perforación existente), se recomienda un corte de muestra física de ~150×150 mm para medición directa y contraste con UT.</w:t>
      </w:r>
    </w:p>
    <w:p>
      <w:pPr>
        <w:pStyle w:val="ListNumber"/>
      </w:pPr>
      <w:r>
        <w:t xml:space="preserve">Medir el diámetro del túnel en dirección horizontal, vertical, y a 45º (cuatro mediciones) con precisión mínima 1 mm.</w:t>
      </w:r>
    </w:p>
    <w:p>
      <w:pPr>
        <w:pStyle w:val="BodyText"/>
      </w:pPr>
      <w:r>
        <w:t xml:space="preserve">El registro de campo y los entregables comprenderán:</w:t>
      </w:r>
    </w:p>
    <w:p>
      <w:pPr>
        <w:pStyle w:val="ListNumber"/>
      </w:pPr>
      <w:r>
        <w:t xml:space="preserve">Planilla de espesores UT (progresiva, posición, zona, lecturas, mín., promedio, % pérdida).</w:t>
      </w:r>
    </w:p>
    <w:p>
      <w:pPr>
        <w:pStyle w:val="ListNumber"/>
      </w:pPr>
      <w:r>
        <w:t xml:space="preserve">Planilla de pernos (progresiva, costura, grado G1–G4, diámetro remanente, resultado de sondeo, foto).</w:t>
      </w:r>
    </w:p>
    <w:p>
      <w:pPr>
        <w:pStyle w:val="ListNumber"/>
      </w:pPr>
      <w:r>
        <w:t xml:space="preserve">Planilla de geometría de corrugación (ubicación, paso, profundidad, ancho de plancha).</w:t>
      </w:r>
    </w:p>
    <w:p>
      <w:pPr>
        <w:pStyle w:val="ListNumber"/>
      </w:pPr>
      <w:r>
        <w:t xml:space="preserve">Registro fotográfico con escala, indexado por progresiva y vinculado a la planilla.</w:t>
      </w:r>
    </w:p>
    <w:p>
      <w:pPr>
        <w:pStyle w:val="ListNumber"/>
      </w:pPr>
      <w:r>
        <w:t xml:space="preserve">Plano de desarrollo del túnel con mapeo de resultados por color (semáforo: verde G1/pérdida&lt;5%, amarillo G2/5–10%, rojo G3-G4/&gt;10%).</w:t>
      </w:r>
    </w:p>
    <w:p>
      <w:pPr>
        <w:pStyle w:val="ListNumber"/>
      </w:pPr>
      <w:r>
        <w:t xml:space="preserve">Informe de resultados de laboratorio de pernos extraídos (si aplica).</w:t>
      </w:r>
    </w:p>
    <w:p>
      <w:pPr>
        <w:pStyle w:val="BodyText"/>
      </w:pPr>
      <w:r>
        <w:t xml:space="preserve">En síntesis, queda definido un levantamiento trazable de espesores, pernos,</w:t>
      </w:r>
      <w:r>
        <w:t xml:space="preserve"> </w:t>
      </w:r>
      <w:r>
        <w:t xml:space="preserve">geometría y ovalización, con ubicación y registro fotográfico de cada dato.</w:t>
      </w:r>
      <w:r>
        <w:t xml:space="preserve"> </w:t>
      </w:r>
      <w:r>
        <w:t xml:space="preserve">Sus entregables permitirán actualizar la sección resistente, la pérdida de</w:t>
      </w:r>
      <w:r>
        <w:t xml:space="preserve"> </w:t>
      </w:r>
      <w:r>
        <w:t xml:space="preserve">espesor, la condición de las costuras y la geometría real del túnel antes de</w:t>
      </w:r>
      <w:r>
        <w:t xml:space="preserve"> </w:t>
      </w:r>
      <w:r>
        <w:t xml:space="preserve">emitir la evaluación estructural definitiva.</w:t>
      </w:r>
    </w:p>
    <w:bookmarkEnd w:id="135"/>
    <w:bookmarkStart w:id="142" w:name="sec-calculation-appendix-k0"/>
    <w:p>
      <w:pPr>
        <w:pStyle w:val="Heading1"/>
      </w:pPr>
      <w:r>
        <w:t xml:space="preserve">Coeficiente de empuje en reposo y compactación</w:t>
      </w:r>
    </w:p>
    <w:p>
      <w:pPr>
        <w:pStyle w:val="FirstParagraph"/>
      </w:pPr>
      <w:r>
        <w:t xml:space="preserve">El cálculo del estado permanente relaciona las tensiones efectivas horizontal</w:t>
      </w:r>
      <w:r>
        <w:t xml:space="preserve"> </w:t>
      </w:r>
      <w:r>
        <w:t xml:space="preserve">y vertical mediante</w:t>
      </w:r>
      <w:r>
        <w:t xml:space="preserve"> </w:t>
      </w:r>
      <m:oMath>
        <m:sSubSup>
          <m:e>
            <m:r>
              <m:t>σ</m:t>
            </m:r>
          </m:e>
          <m:sub>
            <m:r>
              <m:t>h</m:t>
            </m:r>
          </m:sub>
          <m:sup>
            <m:r>
              <m:rPr>
                <m:sty m:val="p"/>
              </m:rPr>
              <m:t>′</m:t>
            </m:r>
          </m:sup>
        </m:sSubSup>
        <m:r>
          <m:rPr>
            <m:sty m:val="p"/>
          </m:rPr>
          <m:t>=</m:t>
        </m:r>
        <m:sSub>
          <m:e>
            <m:r>
              <m:t>K</m:t>
            </m:r>
          </m:e>
          <m:sub>
            <m:r>
              <m:t>0</m:t>
            </m:r>
          </m:sub>
        </m:sSub>
        <m:sSubSup>
          <m:e>
            <m:r>
              <m:t>σ</m:t>
            </m:r>
          </m:e>
          <m:sub>
            <m:r>
              <m:t>v</m:t>
            </m:r>
          </m:sub>
          <m:sup>
            <m:r>
              <m:rPr>
                <m:sty m:val="p"/>
              </m:rPr>
              <m:t>′</m:t>
            </m:r>
          </m:sup>
        </m:sSubSup>
      </m:oMath>
      <w:r>
        <w:t xml:space="preserve">. Para una idealización elástica</w:t>
      </w:r>
      <w:r>
        <w:t xml:space="preserve"> </w:t>
      </w:r>
      <w:r>
        <w:t xml:space="preserve">lineal e isótropa con deformación lateral impedida,</w:t>
      </w:r>
    </w:p>
    <w:p>
      <w:pPr>
        <w:pStyle w:val="BodyText"/>
      </w:pPr>
      <w:bookmarkStart w:id="136" w:name="eq-calculation-k0-elastic"/>
      <m:oMathPara>
        <m:oMathParaPr>
          <m:jc m:val="center"/>
        </m:oMathParaPr>
        <m:oMath>
          <m:sSub>
            <m:e>
              <m:r>
                <m:t>K</m:t>
              </m:r>
            </m:e>
            <m:sub>
              <m:r>
                <m:t>0</m:t>
              </m:r>
            </m:sub>
          </m:sSub>
          <m:r>
            <m:rPr>
              <m:sty m:val="p"/>
            </m:rPr>
            <m:t>=</m:t>
          </m:r>
          <m:f>
            <m:fPr>
              <m:type m:val="bar"/>
            </m:fPr>
            <m:num>
              <m:sSub>
                <m:e>
                  <m:r>
                    <m:t>ν</m:t>
                  </m:r>
                </m:e>
                <m:sub>
                  <m:r>
                    <m:t>g</m:t>
                  </m:r>
                </m:sub>
              </m:sSub>
            </m:num>
            <m:den>
              <m:r>
                <m:t>1</m:t>
              </m:r>
              <m:r>
                <m:rPr>
                  <m:sty m:val="p"/>
                </m:rPr>
                <m:t>−</m:t>
              </m:r>
              <m:sSub>
                <m:e>
                  <m:r>
                    <m:t>ν</m:t>
                  </m:r>
                </m:e>
                <m:sub>
                  <m:r>
                    <m:t>g</m:t>
                  </m:r>
                </m:sub>
              </m:sSub>
            </m:den>
          </m:f>
          <m:r>
            <m:rPr>
              <m:sty m:val="p"/>
            </m:rPr>
            <m:t>.</m:t>
          </m:r>
          <m:r>
            <m:t>  </m:t>
          </m:r>
          <m:r>
            <m:rPr>
              <m:sty m:val="p"/>
            </m:rPr>
            <m:t>(</m:t>
          </m:r>
          <m:r>
            <m:t>A</m:t>
          </m:r>
          <m:r>
            <m:t>.1</m:t>
          </m:r>
          <m:r>
            <m:rPr>
              <m:sty m:val="p"/>
            </m:rPr>
            <m:t>)</m:t>
          </m:r>
        </m:oMath>
      </m:oMathPara>
      <w:bookmarkEnd w:id="136"/>
    </w:p>
    <w:p>
      <w:pPr>
        <w:pStyle w:val="FirstParagraph"/>
      </w:pPr>
      <w:r>
        <w:t xml:space="preserve">Para carga primaria o condición normalmente consolidada se utiliza la</w:t>
      </w:r>
      <w:r>
        <w:t xml:space="preserve"> </w:t>
      </w:r>
      <w:r>
        <w:t xml:space="preserve">relación de Jáky</w:t>
      </w:r>
      <w:r>
        <w:t xml:space="preserve"> </w:t>
      </w:r>
      <w:r>
        <w:t xml:space="preserve">(</w:t>
      </w:r>
      <w:hyperlink w:anchor="ref-MayneKulhawy1982">
        <w:r>
          <w:rPr>
            <w:rStyle w:val="Hyperlink"/>
          </w:rPr>
          <w:t xml:space="preserve">Mayne y Kulhawy 1982</w:t>
        </w:r>
      </w:hyperlink>
      <w:r>
        <w:t xml:space="preserve">)</w:t>
      </w:r>
      <w:r>
        <w:t xml:space="preserve">:</w:t>
      </w:r>
    </w:p>
    <w:p>
      <w:pPr>
        <w:pStyle w:val="BodyText"/>
      </w:pPr>
      <w:bookmarkStart w:id="137" w:name="eq-calculation-k0-jaky"/>
      <m:oMathPara>
        <m:oMathParaPr>
          <m:jc m:val="center"/>
        </m:oMathParaPr>
        <m:oMath>
          <m:sSub>
            <m:e>
              <m:r>
                <m:t>K</m:t>
              </m:r>
            </m:e>
            <m:sub>
              <m:r>
                <m:t>0</m:t>
              </m:r>
              <m:r>
                <m:rPr>
                  <m:sty m:val="p"/>
                </m:rPr>
                <m:t>,</m:t>
              </m:r>
              <m:r>
                <m:t>N</m:t>
              </m:r>
              <m:r>
                <m:t>C</m:t>
              </m:r>
            </m:sub>
          </m:sSub>
          <m:r>
            <m:rPr>
              <m:sty m:val="p"/>
            </m:rPr>
            <m:t>=</m:t>
          </m:r>
          <m:r>
            <m:t>1</m:t>
          </m:r>
          <m:r>
            <m:rPr>
              <m:sty m:val="p"/>
            </m:rPr>
            <m:t>−</m:t>
          </m:r>
          <m:r>
            <m:rPr>
              <m:sty m:val="p"/>
            </m:rPr>
            <m:t>sin</m:t>
          </m:r>
          <m:sSup>
            <m:e>
              <m:r>
                <m:t>ϕ</m:t>
              </m:r>
            </m:e>
            <m:sup>
              <m:r>
                <m:rPr>
                  <m:sty m:val="p"/>
                </m:rPr>
                <m:t>′</m:t>
              </m:r>
            </m:sup>
          </m:sSup>
          <m:r>
            <m:rPr>
              <m:sty m:val="p"/>
            </m:rPr>
            <m:t>.</m:t>
          </m:r>
          <m:r>
            <m:t>  </m:t>
          </m:r>
          <m:r>
            <m:rPr>
              <m:sty m:val="p"/>
            </m:rPr>
            <m:t>(</m:t>
          </m:r>
          <m:r>
            <m:t>A</m:t>
          </m:r>
          <m:r>
            <m:t>.2</m:t>
          </m:r>
          <m:r>
            <m:rPr>
              <m:sty m:val="p"/>
            </m:rPr>
            <m:t>)</m:t>
          </m:r>
        </m:oMath>
      </m:oMathPara>
      <w:bookmarkEnd w:id="137"/>
    </w:p>
    <w:p>
      <w:pPr>
        <w:pStyle w:val="FirstParagraph"/>
      </w:pPr>
      <w:r>
        <w:t xml:space="preserve">Para una descarga demostrada desde la compresión virgen, Mayne y Kulhawy</w:t>
      </w:r>
      <w:r>
        <w:t xml:space="preserve"> </w:t>
      </w:r>
      <w:r>
        <w:t xml:space="preserve">proponen</w:t>
      </w:r>
    </w:p>
    <w:p>
      <w:pPr>
        <w:pStyle w:val="BodyText"/>
      </w:pPr>
      <w:bookmarkStart w:id="138" w:name="eq-calculation-k0-unloading"/>
      <m:oMathPara>
        <m:oMathParaPr>
          <m:jc m:val="center"/>
        </m:oMathParaPr>
        <m:oMath>
          <m:sSub>
            <m:e>
              <m:r>
                <m:t>K</m:t>
              </m:r>
            </m:e>
            <m:sub>
              <m:r>
                <m:t>0</m:t>
              </m:r>
              <m:r>
                <m:rPr>
                  <m:sty m:val="p"/>
                </m:rPr>
                <m:t>,</m:t>
              </m:r>
              <m:r>
                <m:t>O</m:t>
              </m:r>
              <m:r>
                <m:t>C</m:t>
              </m:r>
            </m:sub>
          </m:sSub>
          <m:r>
            <m:rPr>
              <m:sty m:val="p"/>
            </m:rPr>
            <m:t>=</m:t>
          </m:r>
          <m:r>
            <m:rPr>
              <m:sty m:val="p"/>
            </m:rPr>
            <m:t>(</m:t>
          </m:r>
          <m:r>
            <m:t>1</m:t>
          </m:r>
          <m:r>
            <m:rPr>
              <m:sty m:val="p"/>
            </m:rPr>
            <m:t>−</m:t>
          </m:r>
          <m:r>
            <m:rPr>
              <m:sty m:val="p"/>
            </m:rPr>
            <m:t>sin</m:t>
          </m:r>
          <m:sSup>
            <m:e>
              <m:r>
                <m:t>ϕ</m:t>
              </m:r>
            </m:e>
            <m:sup>
              <m:r>
                <m:rPr>
                  <m:sty m:val="p"/>
                </m:rPr>
                <m:t>′</m:t>
              </m:r>
            </m:sup>
          </m:sSup>
          <m:r>
            <m:rPr>
              <m:sty m:val="p"/>
            </m:rPr>
            <m:t>)</m:t>
          </m:r>
          <m:r>
            <m:t> </m:t>
          </m:r>
          <m:sSup>
            <m:e>
              <m:r>
                <m:rPr>
                  <m:sty m:val="p"/>
                </m:rPr>
                <m:t>O</m:t>
              </m:r>
              <m:r>
                <m:rPr>
                  <m:sty m:val="p"/>
                </m:rPr>
                <m:t>C</m:t>
              </m:r>
              <m:r>
                <m:rPr>
                  <m:sty m:val="p"/>
                </m:rPr>
                <m:t>R</m:t>
              </m:r>
            </m:e>
            <m:sup>
              <m:r>
                <m:rPr>
                  <m:sty m:val="p"/>
                </m:rPr>
                <m:t>sin</m:t>
              </m:r>
              <m:sSup>
                <m:e>
                  <m:r>
                    <m:t>ϕ</m:t>
                  </m:r>
                </m:e>
                <m:sup>
                  <m:r>
                    <m:rPr>
                      <m:sty m:val="p"/>
                    </m:rPr>
                    <m:t>′</m:t>
                  </m:r>
                </m:sup>
              </m:sSup>
            </m:sup>
          </m:sSup>
          <m:r>
            <m:rPr>
              <m:sty m:val="p"/>
            </m:rPr>
            <m:t>,</m:t>
          </m:r>
          <m:r>
            <m:t>  </m:t>
          </m:r>
          <m:r>
            <m:rPr>
              <m:sty m:val="p"/>
            </m:rPr>
            <m:t>O</m:t>
          </m:r>
          <m:r>
            <m:rPr>
              <m:sty m:val="p"/>
            </m:rPr>
            <m:t>C</m:t>
          </m:r>
          <m:r>
            <m:rPr>
              <m:sty m:val="p"/>
            </m:rPr>
            <m:t>R</m:t>
          </m:r>
          <m:r>
            <m:rPr>
              <m:sty m:val="p"/>
            </m:rPr>
            <m:t>=</m:t>
          </m:r>
          <m:f>
            <m:fPr>
              <m:type m:val="bar"/>
            </m:fPr>
            <m:num>
              <m:sSubSup>
                <m:e>
                  <m:r>
                    <m:t>σ</m:t>
                  </m:r>
                </m:e>
                <m:sub>
                  <m:r>
                    <m:t>v</m:t>
                  </m:r>
                  <m:r>
                    <m:rPr>
                      <m:sty m:val="p"/>
                    </m:rPr>
                    <m:t>,</m:t>
                  </m:r>
                  <m:r>
                    <m:rPr>
                      <m:sty m:val="p"/>
                    </m:rPr>
                    <m:t>max</m:t>
                  </m:r>
                </m:sub>
                <m:sup>
                  <m:r>
                    <m:rPr>
                      <m:sty m:val="p"/>
                    </m:rPr>
                    <m:t>′</m:t>
                  </m:r>
                </m:sup>
              </m:sSubSup>
            </m:num>
            <m:den>
              <m:sSubSup>
                <m:e>
                  <m:r>
                    <m:t>σ</m:t>
                  </m:r>
                </m:e>
                <m:sub>
                  <m:r>
                    <m:t>v</m:t>
                  </m:r>
                </m:sub>
                <m:sup>
                  <m:r>
                    <m:rPr>
                      <m:sty m:val="p"/>
                    </m:rPr>
                    <m:t>′</m:t>
                  </m:r>
                </m:sup>
              </m:sSubSup>
            </m:den>
          </m:f>
          <m:r>
            <m:rPr>
              <m:sty m:val="p"/>
            </m:rPr>
            <m:t>.</m:t>
          </m:r>
          <m:r>
            <m:t>  </m:t>
          </m:r>
          <m:r>
            <m:rPr>
              <m:sty m:val="p"/>
            </m:rPr>
            <m:t>(</m:t>
          </m:r>
          <m:r>
            <m:t>A</m:t>
          </m:r>
          <m:r>
            <m:t>.3</m:t>
          </m:r>
          <m:r>
            <m:rPr>
              <m:sty m:val="p"/>
            </m:rPr>
            <m:t>)</m:t>
          </m:r>
        </m:oMath>
      </m:oMathPara>
      <w:bookmarkEnd w:id="138"/>
    </w:p>
    <w:p>
      <w:pPr>
        <w:pStyle w:val="FirstParagraph"/>
      </w:pPr>
      <w:r>
        <w:t xml:space="preserve">Para una descarga seguida de recarga se define</w:t>
      </w:r>
      <w:r>
        <w:t xml:space="preserve"> </w:t>
      </w:r>
      <m:oMath>
        <m:sSub>
          <m:e>
            <m:r>
              <m:rPr>
                <m:sty m:val="p"/>
              </m:rPr>
              <m:t>O</m:t>
            </m:r>
            <m:r>
              <m:rPr>
                <m:sty m:val="p"/>
              </m:rPr>
              <m:t>C</m:t>
            </m:r>
            <m:r>
              <m:rPr>
                <m:sty m:val="p"/>
              </m:rPr>
              <m:t>R</m:t>
            </m:r>
          </m:e>
          <m:sub>
            <m:r>
              <m:rPr>
                <m:sty m:val="p"/>
              </m:rPr>
              <m:t>max</m:t>
            </m:r>
          </m:sub>
        </m:sSub>
        <m:r>
          <m:rPr>
            <m:sty m:val="p"/>
          </m:rPr>
          <m:t>=</m:t>
        </m:r>
        <m:sSubSup>
          <m:e>
            <m:r>
              <m:t>σ</m:t>
            </m:r>
          </m:e>
          <m:sub>
            <m:r>
              <m:t>v</m:t>
            </m:r>
            <m:r>
              <m:rPr>
                <m:sty m:val="p"/>
              </m:rPr>
              <m:t>,</m:t>
            </m:r>
            <m:r>
              <m:rPr>
                <m:sty m:val="p"/>
              </m:rPr>
              <m:t>max</m:t>
            </m:r>
          </m:sub>
          <m:sup>
            <m:r>
              <m:rPr>
                <m:sty m:val="p"/>
              </m:rPr>
              <m:t>′</m:t>
            </m:r>
          </m:sup>
        </m:sSubSup>
        <m:r>
          <m:rPr>
            <m:sty m:val="p"/>
          </m:rPr>
          <m:t>/</m:t>
        </m:r>
        <m:sSubSup>
          <m:e>
            <m:r>
              <m:t>σ</m:t>
            </m:r>
          </m:e>
          <m:sub>
            <m:r>
              <m:t>v</m:t>
            </m:r>
            <m:r>
              <m:rPr>
                <m:sty m:val="p"/>
              </m:rPr>
              <m:t>,</m:t>
            </m:r>
            <m:r>
              <m:rPr>
                <m:sty m:val="p"/>
              </m:rPr>
              <m:t>min</m:t>
            </m:r>
          </m:sub>
          <m:sup>
            <m:r>
              <m:rPr>
                <m:sty m:val="p"/>
              </m:rPr>
              <m:t>′</m:t>
            </m:r>
          </m:sup>
        </m:sSubSup>
      </m:oMath>
      <w:r>
        <w:t xml:space="preserve"> </w:t>
      </w:r>
      <w:r>
        <w:t xml:space="preserve">y se emplea</w:t>
      </w:r>
    </w:p>
    <w:p>
      <w:pPr>
        <w:pStyle w:val="BodyText"/>
      </w:pPr>
      <w:bookmarkStart w:id="139" w:name="eq-calculation-k0-reloading"/>
      <m:oMathPara>
        <m:oMathParaPr>
          <m:jc m:val="center"/>
        </m:oMathParaPr>
        <m:oMath>
          <m:sSub>
            <m:e>
              <m:r>
                <m:t>K</m:t>
              </m:r>
            </m:e>
            <m:sub>
              <m:r>
                <m:t>0</m:t>
              </m:r>
            </m:sub>
          </m:sSub>
          <m:r>
            <m:rPr>
              <m:sty m:val="p"/>
            </m:rPr>
            <m:t>=</m:t>
          </m:r>
          <m:r>
            <m:rPr>
              <m:sty m:val="p"/>
            </m:rPr>
            <m:t>(</m:t>
          </m:r>
          <m:r>
            <m:t>1</m:t>
          </m:r>
          <m:r>
            <m:rPr>
              <m:sty m:val="p"/>
            </m:rPr>
            <m:t>−</m:t>
          </m:r>
          <m:r>
            <m:rPr>
              <m:sty m:val="p"/>
            </m:rPr>
            <m:t>sin</m:t>
          </m:r>
          <m:sSup>
            <m:e>
              <m:r>
                <m:t>ϕ</m:t>
              </m:r>
            </m:e>
            <m:sup>
              <m:r>
                <m:rPr>
                  <m:sty m:val="p"/>
                </m:rPr>
                <m:t>′</m:t>
              </m:r>
            </m:sup>
          </m:sSup>
          <m:r>
            <m:rPr>
              <m:sty m:val="p"/>
            </m:rPr>
            <m:t>)</m:t>
          </m:r>
          <m:d>
            <m:dPr>
              <m:begChr m:val="["/>
              <m:sepChr m:val=""/>
              <m:endChr m:val="]"/>
              <m:grow/>
            </m:dPr>
            <m:e>
              <m:f>
                <m:fPr>
                  <m:type m:val="bar"/>
                </m:fPr>
                <m:num>
                  <m:r>
                    <m:rPr>
                      <m:sty m:val="p"/>
                    </m:rPr>
                    <m:t>O</m:t>
                  </m:r>
                  <m:r>
                    <m:rPr>
                      <m:sty m:val="p"/>
                    </m:rPr>
                    <m:t>C</m:t>
                  </m:r>
                  <m:r>
                    <m:rPr>
                      <m:sty m:val="p"/>
                    </m:rPr>
                    <m:t>R</m:t>
                  </m:r>
                </m:num>
                <m:den>
                  <m:sSubSup>
                    <m:e>
                      <m:r>
                        <m:rPr>
                          <m:sty m:val="p"/>
                        </m:rPr>
                        <m:t>O</m:t>
                      </m:r>
                      <m:r>
                        <m:rPr>
                          <m:sty m:val="p"/>
                        </m:rPr>
                        <m:t>C</m:t>
                      </m:r>
                      <m:r>
                        <m:rPr>
                          <m:sty m:val="p"/>
                        </m:rPr>
                        <m:t>R</m:t>
                      </m:r>
                    </m:e>
                    <m:sub>
                      <m:r>
                        <m:rPr>
                          <m:sty m:val="p"/>
                        </m:rPr>
                        <m:t>max</m:t>
                      </m:r>
                    </m:sub>
                    <m:sup>
                      <m:r>
                        <m:t> </m:t>
                      </m:r>
                      <m:r>
                        <m:t>1</m:t>
                      </m:r>
                      <m:r>
                        <m:rPr>
                          <m:sty m:val="p"/>
                        </m:rPr>
                        <m:t>−</m:t>
                      </m:r>
                      <m:r>
                        <m:rPr>
                          <m:sty m:val="p"/>
                        </m:rPr>
                        <m:t>sin</m:t>
                      </m:r>
                      <m:sSup>
                        <m:e>
                          <m:r>
                            <m:t>ϕ</m:t>
                          </m:r>
                        </m:e>
                        <m:sup>
                          <m:r>
                            <m:rPr>
                              <m:sty m:val="p"/>
                            </m:rPr>
                            <m:t>′</m:t>
                          </m:r>
                        </m:sup>
                      </m:sSup>
                    </m:sup>
                  </m:sSubSup>
                </m:den>
              </m:f>
              <m:r>
                <m:rPr>
                  <m:sty m:val="p"/>
                </m:rPr>
                <m:t>+</m:t>
              </m:r>
              <m:f>
                <m:fPr>
                  <m:type m:val="bar"/>
                </m:fPr>
                <m:num>
                  <m:r>
                    <m:t>3</m:t>
                  </m:r>
                </m:num>
                <m:den>
                  <m:r>
                    <m:t>4</m:t>
                  </m:r>
                </m:den>
              </m:f>
              <m:d>
                <m:dPr>
                  <m:begChr m:val="("/>
                  <m:sepChr m:val=""/>
                  <m:endChr m:val=")"/>
                  <m:grow/>
                </m:dPr>
                <m:e>
                  <m:r>
                    <m:t>1</m:t>
                  </m:r>
                  <m:r>
                    <m:rPr>
                      <m:sty m:val="p"/>
                    </m:rPr>
                    <m:t>−</m:t>
                  </m:r>
                  <m:f>
                    <m:fPr>
                      <m:type m:val="bar"/>
                    </m:fPr>
                    <m:num>
                      <m:r>
                        <m:rPr>
                          <m:sty m:val="p"/>
                        </m:rPr>
                        <m:t>O</m:t>
                      </m:r>
                      <m:r>
                        <m:rPr>
                          <m:sty m:val="p"/>
                        </m:rPr>
                        <m:t>C</m:t>
                      </m:r>
                      <m:r>
                        <m:rPr>
                          <m:sty m:val="p"/>
                        </m:rPr>
                        <m:t>R</m:t>
                      </m:r>
                    </m:num>
                    <m:den>
                      <m:sSub>
                        <m:e>
                          <m:r>
                            <m:rPr>
                              <m:sty m:val="p"/>
                            </m:rPr>
                            <m:t>O</m:t>
                          </m:r>
                          <m:r>
                            <m:rPr>
                              <m:sty m:val="p"/>
                            </m:rPr>
                            <m:t>C</m:t>
                          </m:r>
                          <m:r>
                            <m:rPr>
                              <m:sty m:val="p"/>
                            </m:rPr>
                            <m:t>R</m:t>
                          </m:r>
                        </m:e>
                        <m:sub>
                          <m:r>
                            <m:rPr>
                              <m:sty m:val="p"/>
                            </m:rPr>
                            <m:t>max</m:t>
                          </m:r>
                        </m:sub>
                      </m:sSub>
                    </m:den>
                  </m:f>
                </m:e>
              </m:d>
            </m:e>
          </m:d>
          <m:r>
            <m:rPr>
              <m:sty m:val="p"/>
            </m:rPr>
            <m:t>.</m:t>
          </m:r>
          <m:r>
            <m:t>  </m:t>
          </m:r>
          <m:r>
            <m:rPr>
              <m:sty m:val="p"/>
            </m:rPr>
            <m:t>(</m:t>
          </m:r>
          <m:r>
            <m:t>A</m:t>
          </m:r>
          <m:r>
            <m:t>.4</m:t>
          </m:r>
          <m:r>
            <m:rPr>
              <m:sty m:val="p"/>
            </m:rPr>
            <m:t>)</m:t>
          </m:r>
        </m:oMath>
      </m:oMathPara>
      <w:bookmarkEnd w:id="139"/>
    </w:p>
    <w:p>
      <w:pPr>
        <w:pStyle w:val="FirstParagraph"/>
      </w:pPr>
      <w:r>
        <w:t xml:space="preserve">El dominio de esta última relación requiere</w:t>
      </w:r>
      <w:r>
        <w:t xml:space="preserve"> </w:t>
      </w:r>
      <m:oMath>
        <m:r>
          <m:t>1</m:t>
        </m:r>
        <m:r>
          <m:rPr>
            <m:sty m:val="p"/>
          </m:rPr>
          <m:t>≤</m:t>
        </m:r>
        <m:r>
          <m:rPr>
            <m:sty m:val="p"/>
          </m:rPr>
          <m:t>O</m:t>
        </m:r>
        <m:r>
          <m:rPr>
            <m:sty m:val="p"/>
          </m:rPr>
          <m:t>C</m:t>
        </m:r>
        <m:r>
          <m:rPr>
            <m:sty m:val="p"/>
          </m:rPr>
          <m:t>R</m:t>
        </m:r>
        <m:r>
          <m:rPr>
            <m:sty m:val="p"/>
          </m:rPr>
          <m:t>≤</m:t>
        </m:r>
        <m:sSub>
          <m:e>
            <m:r>
              <m:rPr>
                <m:sty m:val="p"/>
              </m:rPr>
              <m:t>O</m:t>
            </m:r>
            <m:r>
              <m:rPr>
                <m:sty m:val="p"/>
              </m:rPr>
              <m:t>C</m:t>
            </m:r>
            <m:r>
              <m:rPr>
                <m:sty m:val="p"/>
              </m:rPr>
              <m:t>R</m:t>
            </m:r>
          </m:e>
          <m:sub>
            <m:r>
              <m:rPr>
                <m:sty m:val="p"/>
              </m:rPr>
              <m:t>max</m:t>
            </m:r>
          </m:sub>
        </m:sSub>
      </m:oMath>
      <w:r>
        <w:t xml:space="preserve">. El escenario calculado adopta</w:t>
      </w:r>
      <w:r>
        <w:t xml:space="preserve"> </w:t>
      </w:r>
      <m:oMath>
        <m:r>
          <m:rPr>
            <m:sty m:val="p"/>
          </m:rPr>
          <m:t>O</m:t>
        </m:r>
        <m:r>
          <m:rPr>
            <m:sty m:val="p"/>
          </m:rPr>
          <m:t>C</m:t>
        </m:r>
        <m:r>
          <m:rPr>
            <m:sty m:val="p"/>
          </m:rPr>
          <m:t>R</m:t>
        </m:r>
        <m:r>
          <m:rPr>
            <m:sty m:val="p"/>
          </m:rPr>
          <m:t>=</m:t>
        </m:r>
        <m:r>
          <m:t>1</m:t>
        </m:r>
      </m:oMath>
      <w:r>
        <w:t xml:space="preserve"> </w:t>
      </w:r>
      <w:r>
        <w:t xml:space="preserve">y, por lo tanto, utiliza la relación de Jáky. Ese valor de</w:t>
      </w:r>
      <w:r>
        <w:t xml:space="preserve"> </w:t>
      </w:r>
      <m:oMath>
        <m:sSub>
          <m:e>
            <m:r>
              <m:t>K</m:t>
            </m:r>
          </m:e>
          <m:sub>
            <m:r>
              <m:t>0</m:t>
            </m:r>
          </m:sub>
        </m:sSub>
      </m:oMath>
      <w:r>
        <w:t xml:space="preserve"> </w:t>
      </w:r>
      <w:r>
        <w:t xml:space="preserve">determina la tensión horizontal de campo libre y entra en las</w:t>
      </w:r>
      <w:r>
        <w:t xml:space="preserve"> </w:t>
      </w:r>
      <w:r>
        <w:t xml:space="preserve">resultantes de los tres revestimientos.</w:t>
      </w:r>
    </w:p>
    <w:p>
      <w:pPr>
        <w:pStyle w:val="BodyText"/>
      </w:pPr>
      <w:r>
        <w:t xml:space="preserve">FHWA-RD-98-191 representa la acción de un equipo durante la colocación del</w:t>
      </w:r>
      <w:r>
        <w:t xml:space="preserve"> </w:t>
      </w:r>
      <w:r>
        <w:t xml:space="preserve">relleno mediante la presión nodal horizontal equivalente</w:t>
      </w:r>
    </w:p>
    <w:p>
      <w:pPr>
        <w:pStyle w:val="BodyText"/>
      </w:pPr>
      <w:bookmarkStart w:id="140" w:name="eq-calculation-fhwa-compaction"/>
      <m:oMathPara>
        <m:oMathParaPr>
          <m:jc m:val="center"/>
        </m:oMathParaPr>
        <m:oMath>
          <m:sSub>
            <m:e>
              <m:r>
                <m:t>n</m:t>
              </m:r>
            </m:e>
            <m:sub>
              <m:r>
                <m:t>p</m:t>
              </m:r>
            </m:sub>
          </m:sSub>
          <m:r>
            <m:rPr>
              <m:sty m:val="p"/>
            </m:rPr>
            <m:t>=</m:t>
          </m:r>
          <m:r>
            <m:t>1.3</m:t>
          </m:r>
          <m:r>
            <m:t>P</m:t>
          </m:r>
          <m:r>
            <m:rPr>
              <m:sty m:val="p"/>
            </m:rPr>
            <m:t>(</m:t>
          </m:r>
          <m:r>
            <m:t>1</m:t>
          </m:r>
          <m:r>
            <m:rPr>
              <m:sty m:val="p"/>
            </m:rPr>
            <m:t>−</m:t>
          </m:r>
          <m:r>
            <m:rPr>
              <m:sty m:val="p"/>
            </m:rPr>
            <m:t>sin</m:t>
          </m:r>
          <m:sSub>
            <m:e>
              <m:r>
                <m:t>ϕ</m:t>
              </m:r>
            </m:e>
            <m:sub>
              <m:r>
                <m:t>ℓ</m:t>
              </m:r>
            </m:sub>
          </m:sSub>
          <m:sSup>
            <m:e>
              <m:r>
                <m:rPr>
                  <m:sty m:val="p"/>
                </m:rPr>
                <m:t>)</m:t>
              </m:r>
            </m:e>
            <m:sup>
              <m:r>
                <m:t>3</m:t>
              </m:r>
            </m:sup>
          </m:sSup>
          <m:sSup>
            <m:e>
              <m:d>
                <m:dPr>
                  <m:begChr m:val="("/>
                  <m:sepChr m:val=""/>
                  <m:endChr m:val=")"/>
                  <m:grow/>
                </m:dPr>
                <m:e>
                  <m:f>
                    <m:fPr>
                      <m:type m:val="bar"/>
                    </m:fPr>
                    <m:num>
                      <m:r>
                        <m:t>970</m:t>
                      </m:r>
                    </m:num>
                    <m:den>
                      <m:sSub>
                        <m:e>
                          <m:r>
                            <m:t>d</m:t>
                          </m:r>
                        </m:e>
                        <m:sub>
                          <m:r>
                            <m:t>c</m:t>
                          </m:r>
                        </m:sub>
                      </m:sSub>
                      <m:r>
                        <m:rPr>
                          <m:sty m:val="p"/>
                        </m:rPr>
                        <m:t>−</m:t>
                      </m:r>
                      <m:r>
                        <m:t>250</m:t>
                      </m:r>
                    </m:den>
                  </m:f>
                </m:e>
              </m:d>
            </m:e>
            <m:sup>
              <m:r>
                <m:t>2</m:t>
              </m:r>
            </m:sup>
          </m:sSup>
          <m:r>
            <m:rPr>
              <m:sty m:val="p"/>
            </m:rPr>
            <m:t>,</m:t>
          </m:r>
          <m:r>
            <m:t>  </m:t>
          </m:r>
          <m:r>
            <m:rPr>
              <m:sty m:val="p"/>
            </m:rPr>
            <m:t>(</m:t>
          </m:r>
          <m:r>
            <m:t>A</m:t>
          </m:r>
          <m:r>
            <m:t>.5</m:t>
          </m:r>
          <m:r>
            <m:rPr>
              <m:sty m:val="p"/>
            </m:rPr>
            <m:t>)</m:t>
          </m:r>
        </m:oMath>
      </m:oMathPara>
      <w:bookmarkEnd w:id="140"/>
    </w:p>
    <w:p>
      <w:pPr>
        <w:pStyle w:val="FirstParagraph"/>
      </w:pPr>
      <w:r>
        <w:t xml:space="preserve">donde</w:t>
      </w:r>
      <w:r>
        <w:t xml:space="preserve"> </w:t>
      </w:r>
      <m:oMath>
        <m:r>
          <m:t>P</m:t>
        </m:r>
      </m:oMath>
      <w:r>
        <w:t xml:space="preserve"> </w:t>
      </w:r>
      <w:r>
        <w:t xml:space="preserve">es la fuerza total del equipo en kN,</w:t>
      </w:r>
      <w:r>
        <w:t xml:space="preserve"> </w:t>
      </w:r>
      <m:oMath>
        <m:sSub>
          <m:e>
            <m:r>
              <m:t>d</m:t>
            </m:r>
          </m:e>
          <m:sub>
            <m:r>
              <m:t>c</m:t>
            </m:r>
          </m:sub>
        </m:sSub>
      </m:oMath>
      <w:r>
        <w:t xml:space="preserve"> </w:t>
      </w:r>
      <w:r>
        <w:t xml:space="preserve">es el diámetro hasta el</w:t>
      </w:r>
      <w:r>
        <w:t xml:space="preserve"> </w:t>
      </w:r>
      <w:r>
        <w:t xml:space="preserve">baricentro de la pared en mm y</w:t>
      </w:r>
      <w:r>
        <w:t xml:space="preserve"> </w:t>
      </w:r>
      <m:oMath>
        <m:sSub>
          <m:e>
            <m:r>
              <m:t>ϕ</m:t>
            </m:r>
          </m:e>
          <m:sub>
            <m:r>
              <m:t>ℓ</m:t>
            </m:r>
          </m:sub>
        </m:sSub>
      </m:oMath>
      <w:r>
        <w:t xml:space="preserve"> </w:t>
      </w:r>
      <w:r>
        <w:t xml:space="preserve">es el ángulo de fricción del</w:t>
      </w:r>
      <w:r>
        <w:t xml:space="preserve"> </w:t>
      </w:r>
      <w:r>
        <w:t xml:space="preserve">relleno suelto</w:t>
      </w:r>
      <w:r>
        <w:t xml:space="preserve"> </w:t>
      </w:r>
      <w:r>
        <w:t xml:space="preserve">(</w:t>
      </w:r>
      <w:hyperlink w:anchor="ref-McGrathEtAl1999">
        <w:r>
          <w:rPr>
            <w:rStyle w:val="Hyperlink"/>
          </w:rPr>
          <w:t xml:space="preserve">McGrath et al. 1999, sec. 5.2.1</w:t>
        </w:r>
      </w:hyperlink>
      <w:r>
        <w:t xml:space="preserve">, ec. 5.1)</w:t>
      </w:r>
      <w:r>
        <w:t xml:space="preserve">. La fuente aplica</w:t>
      </w:r>
      <w:r>
        <w:t xml:space="preserve"> </w:t>
      </w:r>
      <m:oMath>
        <m:sSub>
          <m:e>
            <m:r>
              <m:t>n</m:t>
            </m:r>
          </m:e>
          <m:sub>
            <m:r>
              <m:t>p</m:t>
            </m:r>
          </m:sub>
        </m:sSub>
      </m:oMath>
      <w:r>
        <w:t xml:space="preserve"> </w:t>
      </w:r>
      <w:r>
        <w:t xml:space="preserve">sobre los nodos ubicados hasta 300 mm por debajo de la tongada activa.</w:t>
      </w:r>
      <w:r>
        <w:t xml:space="preserve"> </w:t>
      </w:r>
      <w:r>
        <w:t xml:space="preserve">La</w:t>
      </w:r>
      <w:r>
        <w:t xml:space="preserve"> </w:t>
      </w:r>
      <w:hyperlink w:anchor="tbl-calculation-fhwa-compaction">
        <w:r>
          <w:rPr>
            <w:rStyle w:val="Hyperlink"/>
          </w:rPr>
          <w:t xml:space="preserve">tabla A.1</w:t>
        </w:r>
      </w:hyperlink>
      <w:r>
        <w:t xml:space="preserve"> </w:t>
      </w:r>
      <w:r>
        <w:t xml:space="preserve">reproduce los casos publicados que definen</w:t>
      </w:r>
      <w:r>
        <w:t xml:space="preserve"> </w:t>
      </w:r>
      <w:r>
        <w:t xml:space="preserve">el dominio de esa relación.</w:t>
      </w:r>
    </w:p>
    <w:tbl>
      <w:tblPr>
        <w:tblStyle w:val="Table"/>
        <w:tblLayout w:type="autofit"/>
        <w:tblLook w:firstRow="0" w:lastRow="0" w:firstColumn="0" w:lastColumn="0" w:noHBand="0" w:noVBand="0" w:val="0000"/>
      </w:tblPr>
      <w:tblGrid>
        <w:gridCol w:w="7920"/>
      </w:tblGrid>
      <w:tr>
        <w:tc>
          <w:tcPr/>
          <w:bookmarkStart w:id="141" w:name="tbl-calculation-fhwa-compaction"/>
          <w:p>
            <w:pPr>
              <w:jc w:val="left"/>
              <w:pStyle w:val="ImageCaption"/>
            </w:pPr>
            <w:r>
              <w:t xml:space="preserve">Tabla A.1: Casos publicados por FHWA para la presión nodal horizontal equivalente durante la compactación.</w:t>
            </w:r>
            <w:r>
              <w:t xml:space="preserve"> </w:t>
            </w:r>
            <m:oMath>
              <m:r>
                <m:t>P</m:t>
              </m:r>
            </m:oMath>
            <w:r>
              <w:t xml:space="preserve"> </w:t>
            </w:r>
            <w:r>
              <w:t xml:space="preserve">se expresa en kN,</w:t>
            </w:r>
            <w:r>
              <w:t xml:space="preserve"> </w:t>
            </w:r>
            <m:oMath>
              <m:sSub>
                <m:e>
                  <m:r>
                    <m:t>ϕ</m:t>
                  </m:r>
                </m:e>
                <m:sub>
                  <m:r>
                    <m:t>ℓ</m:t>
                  </m:r>
                </m:sub>
              </m:sSub>
            </m:oMath>
            <w:r>
              <w:t xml:space="preserve"> </w:t>
            </w:r>
            <w:r>
              <w:t xml:space="preserve">en grados,</w:t>
            </w:r>
            <w:r>
              <w:t xml:space="preserve"> </w:t>
            </w:r>
            <m:oMath>
              <m:sSub>
                <m:e>
                  <m:r>
                    <m:t>d</m:t>
                  </m:r>
                </m:e>
                <m:sub>
                  <m:r>
                    <m:t>c</m:t>
                  </m:r>
                </m:sub>
              </m:sSub>
            </m:oMath>
            <w:r>
              <w:t xml:space="preserve"> </w:t>
            </w:r>
            <w:r>
              <w:t xml:space="preserve">en mm y</w:t>
            </w:r>
            <w:r>
              <w:t xml:space="preserve"> </w:t>
            </w:r>
            <m:oMath>
              <m:sSub>
                <m:e>
                  <m:r>
                    <m:t>n</m:t>
                  </m:r>
                </m:e>
                <m:sub>
                  <m:r>
                    <m:t>p</m:t>
                  </m:r>
                </m:sub>
              </m:sSub>
            </m:oMath>
            <w:r>
              <w:t xml:space="preserve"> </w:t>
            </w:r>
            <w:r>
              <w:t xml:space="preserve">en kPa</w:t>
            </w:r>
            <w:r>
              <w:t xml:space="preserve"> </w:t>
            </w:r>
            <w:r>
              <w:t xml:space="preserve">(</w:t>
            </w:r>
            <w:hyperlink w:anchor="ref-McGrathEtAl1999">
              <w:r>
                <w:rPr>
                  <w:rStyle w:val="Hyperlink"/>
                </w:rPr>
                <w:t xml:space="preserve">McGrath et al. 1999</w:t>
              </w:r>
            </w:hyperlink>
            <w:r>
              <w:t xml:space="preserve">, tabla 5.5)</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P</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ϕ</m:t>
                        </m:r>
                      </m:e>
                      <m:sub>
                        <m:r>
                          <m:rPr>
                            <m:sty m:val="p"/>
                          </m:rPr>
                          <m:t>ℓ</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d</m:t>
                        </m:r>
                      </m:e>
                      <m:sub>
                        <m:r>
                          <m:t>c</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p</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w:t>
                  </w:r>
                </w:p>
              </w:tc>
            </w:tr>
          </w:tbl>
          <w:bookmarkEnd w:id="141"/>
          <w:p/>
        </w:tc>
      </w:tr>
    </w:tbl>
    <w:p>
      <w:pPr>
        <w:pStyle w:val="BodyText"/>
      </w:pPr>
      <w:r>
        <w:t xml:space="preserve">El estado permanente de esta memoria utiliza la relación de Jáky y una</w:t>
      </w:r>
      <w:r>
        <w:t xml:space="preserve"> </w:t>
      </w:r>
      <w:r>
        <w:t xml:space="preserve">tensión horizontal residual de compactación igual a cero. La evaluación de</w:t>
      </w:r>
      <w:r>
        <w:t xml:space="preserve"> </w:t>
      </w:r>
      <w:r>
        <w:t xml:space="preserve">una etapa constructiva con la relación FHWA requiere identificar el equipo,</w:t>
      </w:r>
      <w:r>
        <w:t xml:space="preserve"> </w:t>
      </w:r>
      <w:r>
        <w:t xml:space="preserve">la fuerza aplicada, el ángulo de fricción del relleno suelto y la secuencia de</w:t>
      </w:r>
      <w:r>
        <w:t xml:space="preserve"> </w:t>
      </w:r>
      <w:r>
        <w:t xml:space="preserve">colocación. No se dispone de esos datos; por ello</w:t>
      </w:r>
      <w:r>
        <w:t xml:space="preserve"> </w:t>
      </w:r>
      <m:oMath>
        <m:sSub>
          <m:e>
            <m:r>
              <m:t>n</m:t>
            </m:r>
          </m:e>
          <m:sub>
            <m:r>
              <m:t>p</m:t>
            </m:r>
          </m:sub>
        </m:sSub>
      </m:oMath>
      <w:r>
        <w:t xml:space="preserve"> </w:t>
      </w:r>
      <w:r>
        <w:t xml:space="preserve">no se suma al</w:t>
      </w:r>
      <w:r>
        <w:t xml:space="preserve"> </w:t>
      </w:r>
      <w:r>
        <w:t xml:space="preserve">estado permanente ni se transforma en un incremento de</w:t>
      </w:r>
      <w:r>
        <w:t xml:space="preserve"> </w:t>
      </w:r>
      <m:oMath>
        <m:sSub>
          <m:e>
            <m:r>
              <m:t>K</m:t>
            </m:r>
          </m:e>
          <m:sub>
            <m:r>
              <m:t>0</m:t>
            </m:r>
          </m:sub>
        </m:sSub>
      </m:oMath>
      <w:r>
        <w:t xml:space="preserve">.</w:t>
      </w:r>
    </w:p>
    <w:bookmarkEnd w:id="142"/>
    <w:bookmarkStart w:id="191" w:name="sec-calculation-appendix-references"/>
    <w:p>
      <w:pPr>
        <w:pStyle w:val="Heading1"/>
      </w:pPr>
      <w:r>
        <w:t xml:space="preserve">Comparación con formulaciones clásicas</w:t>
      </w:r>
    </w:p>
    <w:p>
      <w:pPr>
        <w:pStyle w:val="FirstParagraph"/>
      </w:pPr>
      <w:r>
        <w:t xml:space="preserve">Este apéndice compara, para el mismo caso de proyecto, las resultantes que</w:t>
      </w:r>
      <w:r>
        <w:t xml:space="preserve"> </w:t>
      </w:r>
      <w:r>
        <w:t xml:space="preserve">producen las formulaciones empleadas como referencia en la memoria. La</w:t>
      </w:r>
      <w:r>
        <w:t xml:space="preserve"> </w:t>
      </w:r>
      <w:r>
        <w:t xml:space="preserve">comparación conserva las acciones de servicio, las propiedades del terreno y</w:t>
      </w:r>
      <w:r>
        <w:t xml:space="preserve"> </w:t>
      </w:r>
      <w:r>
        <w:t xml:space="preserve">la geometría definidas en</w:t>
      </w:r>
      <w:r>
        <w:t xml:space="preserve"> </w:t>
      </w:r>
      <w:hyperlink w:anchor="sec-calculation-model">
        <w:r>
          <w:rPr>
            <w:rStyle w:val="Hyperlink"/>
          </w:rPr>
          <w:t xml:space="preserve">Capítulo 3</w:t>
        </w:r>
      </w:hyperlink>
      <w:r>
        <w:t xml:space="preserve">. Las tres secciones son la</w:t>
      </w:r>
      <w:r>
        <w:t xml:space="preserve"> </w:t>
      </w:r>
      <w:r>
        <w:t xml:space="preserve">chapa corrugada con espesor remanente, el revestimiento de hormigón proyectado</w:t>
      </w:r>
      <w:r>
        <w:t xml:space="preserve"> </w:t>
      </w:r>
      <w:r>
        <w:t xml:space="preserve">de 100 mm y el revestimiento de hormigón proyectado de 150 mm.</w:t>
      </w:r>
    </w:p>
    <w:bookmarkStart w:id="152" w:name="base-común-de-comparación"/>
    <w:p>
      <w:pPr>
        <w:pStyle w:val="Heading2"/>
      </w:pPr>
      <w:r>
        <w:t xml:space="preserve">Base común de comparación</w:t>
      </w:r>
    </w:p>
    <w:p>
      <w:pPr>
        <w:pStyle w:val="FirstParagraph"/>
      </w:pPr>
      <w:r>
        <w:t xml:space="preserve">La</w:t>
      </w:r>
      <w:r>
        <w:t xml:space="preserve"> </w:t>
      </w:r>
      <w:hyperlink w:anchor="tbl-calculation-classical-inputs">
        <w:r>
          <w:rPr>
            <w:rStyle w:val="Hyperlink"/>
          </w:rPr>
          <w:t xml:space="preserve">tabla B.1</w:t>
        </w:r>
      </w:hyperlink>
      <w:r>
        <w:t xml:space="preserve"> </w:t>
      </w:r>
      <w:r>
        <w:t xml:space="preserve">reúne la base de acciones. La tensión</w:t>
      </w:r>
      <w:r>
        <w:t xml:space="preserve"> </w:t>
      </w:r>
      <w:r>
        <w:t xml:space="preserve">vertical efectiva se evalúa a la profundidad del eje y la tensión horizontal</w:t>
      </w:r>
      <w:r>
        <w:t xml:space="preserve"> </w:t>
      </w:r>
      <w:r>
        <w:t xml:space="preserve">se obtiene con el coeficiente de empuje en reposo del caso. La</w:t>
      </w:r>
      <w:r>
        <w:t xml:space="preserve"> </w:t>
      </w:r>
      <w:hyperlink w:anchor="tbl-calculation-classical-sections">
        <w:r>
          <w:rPr>
            <w:rStyle w:val="Hyperlink"/>
          </w:rPr>
          <w:t xml:space="preserve">tabla B.2</w:t>
        </w:r>
      </w:hyperlink>
      <w:r>
        <w:t xml:space="preserve"> </w:t>
      </w:r>
      <w:r>
        <w:t xml:space="preserve">presenta las rigideces que diferencian la</w:t>
      </w:r>
      <w:r>
        <w:t xml:space="preserve"> </w:t>
      </w:r>
      <w:r>
        <w:t xml:space="preserve">respuesta de cada revestimiento.</w:t>
      </w:r>
    </w:p>
    <w:p>
      <w:pPr>
        <w:pStyle w:val="BodyText"/>
      </w:pPr>
      <w:r>
        <w:t xml:space="preserve">Las tablas utilizan los códigos</w:t>
      </w:r>
      <w:r>
        <w:t xml:space="preserve"> </w:t>
      </w:r>
      <w:r>
        <w:rPr>
          <w:b/>
          <w:bCs/>
        </w:rPr>
        <w:t xml:space="preserve">H</w:t>
      </w:r>
      <w:r>
        <w:t xml:space="preserve"> </w:t>
      </w:r>
      <w:r>
        <w:t xml:space="preserve">para el modelo híbrido,</w:t>
      </w:r>
      <w:r>
        <w:t xml:space="preserve"> </w:t>
      </w:r>
      <w:r>
        <w:rPr>
          <w:b/>
          <w:bCs/>
        </w:rPr>
        <w:t xml:space="preserve">SE</w:t>
      </w:r>
      <w:r>
        <w:t xml:space="preserve"> </w:t>
      </w:r>
      <w:r>
        <w:t xml:space="preserve">para</w:t>
      </w:r>
      <w:r>
        <w:t xml:space="preserve"> </w:t>
      </w:r>
      <w:r>
        <w:t xml:space="preserve">Schwartz–Einstein uniforme,</w:t>
      </w:r>
      <w:r>
        <w:t xml:space="preserve"> </w:t>
      </w:r>
      <w:r>
        <w:rPr>
          <w:b/>
          <w:bCs/>
        </w:rPr>
        <w:t xml:space="preserve">K0</w:t>
      </w:r>
      <w:r>
        <w:t xml:space="preserve"> </w:t>
      </w:r>
      <w:r>
        <w:t xml:space="preserve">para el anillo con campo prescrito,</w:t>
      </w:r>
      <w:r>
        <w:t xml:space="preserve"> </w:t>
      </w:r>
      <w:r>
        <w:rPr>
          <w:b/>
          <w:bCs/>
        </w:rPr>
        <w:t xml:space="preserve">N00</w:t>
      </w:r>
      <w:r>
        <w:t xml:space="preserve"> </w:t>
      </w:r>
      <w:r>
        <w:t xml:space="preserve">y</w:t>
      </w:r>
      <w:r>
        <w:t xml:space="preserve"> </w:t>
      </w:r>
      <w:r>
        <w:rPr>
          <w:b/>
          <w:bCs/>
        </w:rPr>
        <w:t xml:space="preserve">N14</w:t>
      </w:r>
      <w:r>
        <w:t xml:space="preserve"> </w:t>
      </w:r>
      <w:r>
        <w:t xml:space="preserve">para las dos formulaciones de Núñez, y</w:t>
      </w:r>
      <w:r>
        <w:t xml:space="preserve"> </w:t>
      </w:r>
      <w:r>
        <w:rPr>
          <w:b/>
          <w:bCs/>
        </w:rPr>
        <w:t xml:space="preserve">AU</w:t>
      </w:r>
      <w:r>
        <w:t xml:space="preserve"> </w:t>
      </w:r>
      <w:r>
        <w:t xml:space="preserve">para la</w:t>
      </w:r>
      <w:r>
        <w:t xml:space="preserve"> </w:t>
      </w:r>
      <w:r>
        <w:t xml:space="preserve">relación AASHTO/USACE. En las soluciones de interacción,</w:t>
      </w:r>
      <w:r>
        <w:t xml:space="preserve"> </w:t>
      </w:r>
      <w:r>
        <w:rPr>
          <w:b/>
          <w:bCs/>
        </w:rPr>
        <w:t xml:space="preserve">S</w:t>
      </w:r>
      <w:r>
        <w:t xml:space="preserve"> </w:t>
      </w:r>
      <w:r>
        <w:t xml:space="preserve">identifica el</w:t>
      </w:r>
      <w:r>
        <w:t xml:space="preserve"> </w:t>
      </w:r>
      <w:r>
        <w:t xml:space="preserve">límite con deslizamiento libre y</w:t>
      </w:r>
      <w:r>
        <w:t xml:space="preserve"> </w:t>
      </w:r>
      <w:r>
        <w:rPr>
          <w:b/>
          <w:bCs/>
        </w:rPr>
        <w:t xml:space="preserve">NS</w:t>
      </w:r>
      <w:r>
        <w:t xml:space="preserve"> </w:t>
      </w:r>
      <w:r>
        <w:t xml:space="preserve">el límite sin deslizamiento. Para el</w:t>
      </w:r>
      <w:r>
        <w:t xml:space="preserve"> </w:t>
      </w:r>
      <w:r>
        <w:t xml:space="preserve">anillo con campo prescrito,</w:t>
      </w:r>
      <w:r>
        <w:t xml:space="preserve"> </w:t>
      </w:r>
      <w:r>
        <w:rPr>
          <w:b/>
          <w:bCs/>
        </w:rPr>
        <w:t xml:space="preserve">PT</w:t>
      </w:r>
      <w:r>
        <w:t xml:space="preserve"> </w:t>
      </w:r>
      <w:r>
        <w:t xml:space="preserve">identifica la proyección normal y tangencial</w:t>
      </w:r>
      <w:r>
        <w:t xml:space="preserve"> </w:t>
      </w:r>
      <w:r>
        <w:t xml:space="preserve">completa y</w:t>
      </w:r>
      <w:r>
        <w:t xml:space="preserve"> </w:t>
      </w:r>
      <w:r>
        <w:rPr>
          <w:b/>
          <w:bCs/>
        </w:rPr>
        <w:t xml:space="preserve">PN</w:t>
      </w:r>
      <w:r>
        <w:t xml:space="preserve"> </w:t>
      </w:r>
      <w:r>
        <w:t xml:space="preserve">la acción exclusivamente normal.</w:t>
      </w:r>
      <w:r>
        <w:t xml:space="preserve"> </w:t>
      </w:r>
      <w:r>
        <w:rPr>
          <w:b/>
          <w:bCs/>
        </w:rPr>
        <w:t xml:space="preserve">SER</w:t>
      </w:r>
      <w:r>
        <w:t xml:space="preserve"> </w:t>
      </w:r>
      <w:r>
        <w:t xml:space="preserve">y</w:t>
      </w:r>
      <w:r>
        <w:t xml:space="preserve"> </w:t>
      </w:r>
      <w:r>
        <w:rPr>
          <w:b/>
          <w:bCs/>
        </w:rPr>
        <w:t xml:space="preserve">LRFD</w:t>
      </w:r>
      <w:r>
        <w:t xml:space="preserve"> </w:t>
      </w:r>
      <w:r>
        <w:t xml:space="preserve">distinguen el empuje de servicio y la demanda mayorada AASHTO/USACE.</w:t>
      </w:r>
    </w:p>
    <w:p>
      <w:pPr>
        <w:pStyle w:val="BodyText"/>
      </w:pPr>
      <w:r>
        <w:t xml:space="preserve">Para</w:t>
      </w:r>
      <w:r>
        <w:t xml:space="preserve"> </w:t>
      </w:r>
      <m:oMath>
        <m:r>
          <m:t>X</m:t>
        </m:r>
        <m:r>
          <m:rPr>
            <m:sty m:val="p"/>
          </m:rPr>
          <m:t>∈</m:t>
        </m:r>
        <m:r>
          <m:rPr>
            <m:sty m:val="p"/>
          </m:rPr>
          <m:t>{</m:t>
        </m:r>
        <m:r>
          <m:t>N</m:t>
        </m:r>
        <m:r>
          <m:rPr>
            <m:sty m:val="p"/>
          </m:rPr>
          <m:t>,</m:t>
        </m:r>
        <m:r>
          <m:t>M</m:t>
        </m:r>
        <m:r>
          <m:rPr>
            <m:sty m:val="p"/>
          </m:rPr>
          <m:t>,</m:t>
        </m:r>
        <m:r>
          <m:t>Q</m:t>
        </m:r>
        <m:r>
          <m:rPr>
            <m:sty m:val="p"/>
          </m:rPr>
          <m:t>}</m:t>
        </m:r>
      </m:oMath>
      <w:r>
        <w:t xml:space="preserve">, la envolvente de referencia y la razón tabulada se</w:t>
      </w:r>
      <w:r>
        <w:t xml:space="preserve"> </w:t>
      </w:r>
      <w:r>
        <w:t xml:space="preserve">definen como</w:t>
      </w:r>
    </w:p>
    <w:p>
      <w:pPr>
        <w:pStyle w:val="BodyText"/>
      </w:pPr>
      <w:bookmarkStart w:id="143" w:name="eq-calculation-classical-ratios"/>
      <m:oMathPara>
        <m:oMathParaPr>
          <m:jc m:val="center"/>
        </m:oMathParaPr>
        <m:oMath>
          <m:sSub>
            <m:e>
              <m:r>
                <m:t>X</m:t>
              </m:r>
            </m:e>
            <m:sub>
              <m:r>
                <m:t>H</m:t>
              </m:r>
            </m:sub>
          </m:sSub>
          <m:r>
            <m:rPr>
              <m:sty m:val="p"/>
            </m:rPr>
            <m:t>=</m:t>
          </m:r>
          <m:limLow>
            <m:e>
              <m:r>
                <m:rPr>
                  <m:sty m:val="p"/>
                </m:rPr>
                <m:t>max</m:t>
              </m:r>
            </m:e>
            <m:lim>
              <m:r>
                <m:t>c</m:t>
              </m:r>
              <m:r>
                <m:rPr>
                  <m:sty m:val="p"/>
                </m:rPr>
                <m:t>∈</m:t>
              </m:r>
              <m:r>
                <m:rPr>
                  <m:sty m:val="p"/>
                </m:rPr>
                <m:t>{</m:t>
              </m:r>
              <m:r>
                <m:t>S</m:t>
              </m:r>
              <m:r>
                <m:rPr>
                  <m:sty m:val="p"/>
                </m:rPr>
                <m:t>,</m:t>
              </m:r>
              <m:r>
                <m:t>N</m:t>
              </m:r>
              <m:r>
                <m:t>S</m:t>
              </m:r>
              <m:r>
                <m:rPr>
                  <m:sty m:val="p"/>
                </m:rPr>
                <m:t>}</m:t>
              </m:r>
            </m:lim>
          </m:limLow>
          <m:r>
            <m:rPr>
              <m:sty m:val="p"/>
            </m:rPr>
            <m:t>|</m:t>
          </m:r>
          <m:r>
            <m:t>X</m:t>
          </m:r>
          <m:sSub>
            <m:e>
              <m:r>
                <m:rPr>
                  <m:sty m:val="p"/>
                </m:rPr>
                <m:t>|</m:t>
              </m:r>
            </m:e>
            <m:sub>
              <m:r>
                <m:rPr>
                  <m:sty m:val="p"/>
                </m:rPr>
                <m:t>max</m:t>
              </m:r>
              <m:r>
                <m:rPr>
                  <m:sty m:val="p"/>
                </m:rPr>
                <m:t>,</m:t>
              </m:r>
              <m:r>
                <m:t>H</m:t>
              </m:r>
              <m:r>
                <m:rPr>
                  <m:sty m:val="p"/>
                </m:rPr>
                <m:t>,</m:t>
              </m:r>
              <m:r>
                <m:t>c</m:t>
              </m:r>
            </m:sub>
          </m:sSub>
          <m:r>
            <m:rPr>
              <m:sty m:val="p"/>
            </m:rPr>
            <m:t>,</m:t>
          </m:r>
          <m:r>
            <m:t>  </m:t>
          </m:r>
          <m:sSub>
            <m:e>
              <m:r>
                <m:t>r</m:t>
              </m:r>
            </m:e>
            <m:sub>
              <m:r>
                <m:t>X</m:t>
              </m:r>
            </m:sub>
          </m:sSub>
          <m:r>
            <m:rPr>
              <m:sty m:val="p"/>
            </m:rPr>
            <m:t>(</m:t>
          </m:r>
          <m:r>
            <m:t>m</m:t>
          </m:r>
          <m:r>
            <m:rPr>
              <m:sty m:val="p"/>
            </m:rPr>
            <m:t>,</m:t>
          </m:r>
          <m:r>
            <m:t>c</m:t>
          </m:r>
          <m:r>
            <m:rPr>
              <m:sty m:val="p"/>
            </m:rPr>
            <m:t>)</m:t>
          </m:r>
          <m:r>
            <m:rPr>
              <m:sty m:val="p"/>
            </m:rPr>
            <m:t>=</m:t>
          </m:r>
          <m:f>
            <m:fPr>
              <m:type m:val="bar"/>
            </m:fPr>
            <m:num>
              <m:r>
                <m:rPr>
                  <m:sty m:val="p"/>
                </m:rPr>
                <m:t>|</m:t>
              </m:r>
              <m:r>
                <m:t>X</m:t>
              </m:r>
              <m:sSub>
                <m:e>
                  <m:r>
                    <m:rPr>
                      <m:sty m:val="p"/>
                    </m:rPr>
                    <m:t>|</m:t>
                  </m:r>
                </m:e>
                <m:sub>
                  <m:r>
                    <m:rPr>
                      <m:sty m:val="p"/>
                    </m:rPr>
                    <m:t>max</m:t>
                  </m:r>
                  <m:r>
                    <m:rPr>
                      <m:sty m:val="p"/>
                    </m:rPr>
                    <m:t>,</m:t>
                  </m:r>
                  <m:r>
                    <m:t>m</m:t>
                  </m:r>
                  <m:r>
                    <m:rPr>
                      <m:sty m:val="p"/>
                    </m:rPr>
                    <m:t>,</m:t>
                  </m:r>
                  <m:r>
                    <m:t>c</m:t>
                  </m:r>
                </m:sub>
              </m:sSub>
            </m:num>
            <m:den>
              <m:sSub>
                <m:e>
                  <m:r>
                    <m:t>X</m:t>
                  </m:r>
                </m:e>
                <m:sub>
                  <m:r>
                    <m:t>H</m:t>
                  </m:r>
                </m:sub>
              </m:sSub>
            </m:den>
          </m:f>
          <m:r>
            <m:rPr>
              <m:sty m:val="p"/>
            </m:rPr>
            <m:t>.</m:t>
          </m:r>
          <m:r>
            <m:t>  </m:t>
          </m:r>
          <m:r>
            <m:rPr>
              <m:sty m:val="p"/>
            </m:rPr>
            <m:t>(</m:t>
          </m:r>
          <m:r>
            <m:t>B</m:t>
          </m:r>
          <m:r>
            <m:t>.1</m:t>
          </m:r>
          <m:r>
            <m:rPr>
              <m:sty m:val="p"/>
            </m:rPr>
            <m:t>)</m:t>
          </m:r>
        </m:oMath>
      </m:oMathPara>
      <w:bookmarkEnd w:id="143"/>
    </w:p>
    <w:p>
      <w:pPr>
        <w:pStyle w:val="FirstParagraph"/>
      </w:pPr>
      <w:r>
        <w:t xml:space="preserve">Una razón mayor que 1 indica que la formulación comparada predice un máximo</w:t>
      </w:r>
      <w:r>
        <w:t xml:space="preserve"> </w:t>
      </w:r>
      <w:r>
        <w:t xml:space="preserve">absoluto mayor que la envolvente híbrida; una razón menor que 1 indica un</w:t>
      </w:r>
      <w:r>
        <w:t xml:space="preserve"> </w:t>
      </w:r>
      <w:r>
        <w:t xml:space="preserve">máximo menor. Estas razones comparan resultantes y no representan una</w:t>
      </w:r>
      <w:r>
        <w:t xml:space="preserve"> </w:t>
      </w:r>
      <w:r>
        <w:t xml:space="preserve">utilización resistente. La raya identifica una magnitud que la formulación no</w:t>
      </w:r>
      <w:r>
        <w:t xml:space="preserve"> </w:t>
      </w:r>
      <w:r>
        <w:t xml:space="preserve">entrega o una base de comparación diferente.</w:t>
      </w:r>
    </w:p>
    <w:tbl>
      <w:tblPr>
        <w:tblStyle w:val="Table"/>
        <w:tblLayout w:type="autofit"/>
        <w:tblLook w:firstRow="0" w:lastRow="0" w:firstColumn="0" w:lastColumn="0" w:noHBand="0" w:noVBand="0" w:val="0000"/>
      </w:tblPr>
      <w:tblGrid>
        <w:gridCol w:w="7920"/>
      </w:tblGrid>
      <w:tr>
        <w:tc>
          <w:tcPr/>
          <w:bookmarkStart w:id="144" w:name="tbl-calculation-classical-inputs"/>
          <w:p>
            <w:pPr>
              <w:jc w:val="left"/>
              <w:pStyle w:val="ImageCaption"/>
            </w:pPr>
            <w:r>
              <w:t xml:space="preserve">Tabla B.1: Acciones y parámetros comunes empleados en la comparación de formulaciones.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Tapada sobre clave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Profundidad al eje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Peso unitario efectivo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Presión permanente de la capa superior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vertical al eje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horizontal al eje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K</m:t>
                        </m:r>
                      </m:e>
                      <m:sub>
                        <m:r>
                          <m:t>0</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Módulo del terreno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Coeficiente de Poisson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η</m:t>
                        </m:r>
                      </m:e>
                      <m:sub>
                        <m:r>
                          <m:t>N</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χ</m:t>
                        </m:r>
                      </m:e>
                      <m:sub>
                        <m:r>
                          <m:t>N</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44"/>
          <w:p/>
        </w:tc>
      </w:tr>
    </w:tbl>
    <w:tbl>
      <w:tblPr>
        <w:tblStyle w:val="Table"/>
        <w:tblLayout w:type="autofit"/>
        <w:tblLook w:firstRow="0" w:lastRow="0" w:firstColumn="0" w:lastColumn="0" w:noHBand="0" w:noVBand="0" w:val="0000"/>
      </w:tblPr>
      <w:tblGrid>
        <w:gridCol w:w="7920"/>
      </w:tblGrid>
      <w:tr>
        <w:tc>
          <w:tcPr/>
          <w:bookmarkStart w:id="145" w:name="tbl-calculation-classical-sections"/>
          <w:p>
            <w:pPr>
              <w:jc w:val="left"/>
              <w:pStyle w:val="ImageCaption"/>
            </w:pPr>
            <w:r>
              <w:t xml:space="preserve">Tabla B.2: Propiedades de las tres secciones analizadas. Para la chapa corrugada,</w:t>
            </w:r>
            <w:r>
              <w:t xml:space="preserve"> </w:t>
            </w:r>
            <m:oMath>
              <m:sSub>
                <m:e>
                  <m:r>
                    <m:t>e</m:t>
                  </m:r>
                </m:e>
                <m:sub>
                  <m:r>
                    <m:t>N</m:t>
                  </m:r>
                </m:sub>
              </m:sSub>
            </m:oMath>
            <w:r>
              <w:t xml:space="preserve"> </w:t>
            </w:r>
            <w:r>
              <w:t xml:space="preserve">es el espesor homogéneo que reproduce su inercia por unidad de ancho; para el hormigón proyectado coincide con el espesor de la pared.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Sección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D</m:t>
                        </m:r>
                      </m:e>
                      <m:sub>
                        <m:r>
                          <m:t>c</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t</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N</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rPr>
                            <m:sty m:val="p"/>
                          </m:rPr>
                          <m:t>ℓ</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[GPa]</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EA</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EI</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[kN·m²/m]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N</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746 686.6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2 574 296.0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0.414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3 861 444.0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2 534.1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1.483</w:t>
                  </w:r>
                </w:p>
              </w:tc>
            </w:tr>
          </w:tbl>
          <w:bookmarkEnd w:id="145"/>
          <w:p/>
        </w:tc>
      </w:tr>
    </w:tbl>
    <w:tbl>
      <w:tblPr>
        <w:tblStyle w:val="Table"/>
        <w:tblLayout w:type="autofit"/>
        <w:tblLook w:firstRow="0" w:lastRow="0" w:firstColumn="0" w:lastColumn="0" w:noHBand="0" w:noVBand="0" w:val="0000"/>
      </w:tblPr>
      <w:tblGrid>
        <w:gridCol w:w="7920"/>
      </w:tblGrid>
      <w:tr>
        <w:tc>
          <w:tcPr/>
          <w:bookmarkStart w:id="146" w:name="tbl-calculation-classical-steel"/>
          <w:p>
            <w:pPr>
              <w:jc w:val="left"/>
              <w:pStyle w:val="ImageCaption"/>
            </w:pPr>
            <w:r>
              <w:t xml:space="preserve">Tabla B.3: Comparación de resultantes para la chapa corrugada;</w:t>
            </w:r>
            <w:r>
              <w:t xml:space="preserve"> </w:t>
            </w:r>
            <m:oMath>
              <m:r>
                <m:t>N</m:t>
              </m:r>
            </m:oMath>
            <w:r>
              <w:t xml:space="preserve"> </w:t>
            </w:r>
            <w:r>
              <w:t xml:space="preserve">y</w:t>
            </w:r>
            <w:r>
              <w:t xml:space="preserve"> </w:t>
            </w:r>
            <m:oMath>
              <m:r>
                <m:t>Q</m:t>
              </m:r>
            </m:oMath>
            <w:r>
              <w:t xml:space="preserve"> </w:t>
            </w:r>
            <w:r>
              <w:t xml:space="preserve">se expresan en kN/m y</w:t>
            </w:r>
            <w:r>
              <w:t xml:space="preserve"> </w:t>
            </w:r>
            <m:oMath>
              <m:r>
                <m:t>M</m:t>
              </m:r>
            </m:oMath>
            <w:r>
              <w:t xml:space="preserve"> </w:t>
            </w:r>
            <w:r>
              <w:t xml:space="preserve">en kN·m/m. En la columna</w:t>
            </w:r>
            <w:r>
              <w:t xml:space="preserve"> </w:t>
            </w:r>
            <m:oMath>
              <m:r>
                <m:t>m</m:t>
              </m:r>
            </m:oMath>
            <w:r>
              <w:t xml:space="preserve">:</w:t>
            </w:r>
            <w:r>
              <w:t xml:space="preserve"> </w:t>
            </w:r>
            <w:r>
              <w:rPr>
                <w:rStyle w:val="VerbatimChar"/>
              </w:rPr>
              <w:t xml:space="preserve">H</w:t>
            </w:r>
            <w:r>
              <w:t xml:space="preserve">, modelo híbrido;</w:t>
            </w:r>
            <w:r>
              <w:t xml:space="preserve"> </w:t>
            </w:r>
            <w:r>
              <w:rPr>
                <w:rStyle w:val="VerbatimChar"/>
              </w:rPr>
              <w:t xml:space="preserve">SE</w:t>
            </w:r>
            <w:r>
              <w:t xml:space="preserve">, Schwartz–Einstein uniforme;</w:t>
            </w:r>
            <w:r>
              <w:t xml:space="preserve"> </w:t>
            </w:r>
            <w:r>
              <w:rPr>
                <w:rStyle w:val="VerbatimChar"/>
              </w:rPr>
              <w:t xml:space="preserve">K0</w:t>
            </w:r>
            <w:r>
              <w:t xml:space="preserve">, anillo con campo prescrito;</w:t>
            </w:r>
            <w:r>
              <w:t xml:space="preserve"> </w:t>
            </w:r>
            <w:r>
              <w:rPr>
                <w:rStyle w:val="VerbatimChar"/>
              </w:rPr>
              <w:t xml:space="preserve">N00</w:t>
            </w:r>
            <w:r>
              <w:t xml:space="preserve"> </w:t>
            </w:r>
            <w:r>
              <w:t xml:space="preserve">y</w:t>
            </w:r>
            <w:r>
              <w:t xml:space="preserve"> </w:t>
            </w:r>
            <w:r>
              <w:rPr>
                <w:rStyle w:val="VerbatimChar"/>
              </w:rPr>
              <w:t xml:space="preserve">N14</w:t>
            </w:r>
            <w:r>
              <w:t xml:space="preserve">, formulaciones de Núñez;</w:t>
            </w:r>
            <w:r>
              <w:t xml:space="preserve"> </w:t>
            </w:r>
            <w:r>
              <w:rPr>
                <w:rStyle w:val="VerbatimChar"/>
              </w:rPr>
              <w:t xml:space="preserve">AU</w:t>
            </w:r>
            <w:r>
              <w:t xml:space="preserve">, AASHTO/USACE. En la columna</w:t>
            </w:r>
            <w:r>
              <w:t xml:space="preserve"> </w:t>
            </w:r>
            <m:oMath>
              <m:r>
                <m:t>c</m:t>
              </m:r>
            </m:oMath>
            <w:r>
              <w:t xml:space="preserve">:</w:t>
            </w:r>
            <w:r>
              <w:t xml:space="preserve"> </w:t>
            </w:r>
            <w:r>
              <w:rPr>
                <w:rStyle w:val="VerbatimChar"/>
              </w:rPr>
              <w:t xml:space="preserve">S</w:t>
            </w:r>
            <w:r>
              <w:t xml:space="preserve">, Slip;</w:t>
            </w:r>
            <w:r>
              <w:t xml:space="preserve"> </w:t>
            </w:r>
            <w:r>
              <w:rPr>
                <w:rStyle w:val="VerbatimChar"/>
              </w:rPr>
              <w:t xml:space="preserve">NS</w:t>
            </w:r>
            <w:r>
              <w:t xml:space="preserve">, No Slip;</w:t>
            </w:r>
            <w:r>
              <w:t xml:space="preserve"> </w:t>
            </w:r>
            <w:r>
              <w:rPr>
                <w:rStyle w:val="VerbatimChar"/>
              </w:rPr>
              <w:t xml:space="preserve">PT</w:t>
            </w:r>
            <w:r>
              <w:t xml:space="preserve">, proyección normal y tangencial completa del campo prescrito;</w:t>
            </w:r>
            <w:r>
              <w:t xml:space="preserve"> </w:t>
            </w:r>
            <w:r>
              <w:rPr>
                <w:rStyle w:val="VerbatimChar"/>
              </w:rPr>
              <w:t xml:space="preserve">PN</w:t>
            </w:r>
            <w:r>
              <w:t xml:space="preserve">, proyección exclusivamente normal;</w:t>
            </w:r>
            <w:r>
              <w:t xml:space="preserve"> </w:t>
            </w:r>
            <w:r>
              <w:rPr>
                <w:rStyle w:val="VerbatimChar"/>
              </w:rPr>
              <w:t xml:space="preserve">SER</w:t>
            </w:r>
            <w:r>
              <w:t xml:space="preserve">, servicio;</w:t>
            </w:r>
            <w:r>
              <w:t xml:space="preserve"> </w:t>
            </w:r>
            <w:r>
              <w:rPr>
                <w:rStyle w:val="VerbatimChar"/>
              </w:rPr>
              <w:t xml:space="preserve">LRFD</w:t>
            </w:r>
            <w:r>
              <w:t xml:space="preserve">, demanda mayorada. Cada razón</w:t>
            </w:r>
            <w:r>
              <w:t xml:space="preserve"> </w:t>
            </w:r>
            <m:oMath>
              <m:sSub>
                <m:e>
                  <m:r>
                    <m:t>r</m:t>
                  </m:r>
                </m:e>
                <m:sub>
                  <m:r>
                    <m:t>X</m:t>
                  </m:r>
                </m:sub>
              </m:sSub>
            </m:oMath>
            <w:r>
              <w:t xml:space="preserve"> </w:t>
            </w:r>
            <w:r>
              <w:t xml:space="preserve">compara el máximo con la envolvente</w:t>
            </w:r>
            <w:r>
              <w:t xml:space="preserve"> </w:t>
            </w:r>
            <w:r>
              <w:rPr>
                <w:rStyle w:val="VerbatimChar"/>
              </w:rPr>
              <w:t xml:space="preserve">H</w:t>
            </w:r>
            <w:r>
              <w:t xml:space="preserve"> </w:t>
            </w:r>
            <w:r>
              <w:t xml:space="preserve">de</w:t>
            </w:r>
            <w:r>
              <w:t xml:space="preserve"> </w:t>
            </w:r>
            <w:r>
              <w:rPr>
                <w:rStyle w:val="VerbatimChar"/>
              </w:rPr>
              <w:t xml:space="preserve">S</w:t>
            </w:r>
            <w:r>
              <w:t xml:space="preserve"> </w:t>
            </w:r>
            <w:r>
              <w:t xml:space="preserve">y</w:t>
            </w:r>
            <w:r>
              <w:t xml:space="preserve"> </w:t>
            </w:r>
            <w:r>
              <w:rPr>
                <w:rStyle w:val="VerbatimChar"/>
              </w:rPr>
              <w:t xml:space="preserve">NS</w:t>
            </w:r>
            <w:r>
              <w:t xml:space="preserve">;</w:t>
            </w:r>
            <w:r>
              <w:t xml:space="preserve"> </w:t>
            </w:r>
            <m:oMath>
              <m:sSub>
                <m:e>
                  <m:r>
                    <m:t>r</m:t>
                  </m:r>
                </m:e>
                <m:sub>
                  <m:r>
                    <m:t>X</m:t>
                  </m:r>
                </m:sub>
              </m:sSub>
              <m:r>
                <m:rPr>
                  <m:sty m:val="p"/>
                </m:rPr>
                <m:t>&gt;</m:t>
              </m:r>
              <m:r>
                <m:t>1</m:t>
              </m:r>
            </m:oMath>
            <w:r>
              <w:t xml:space="preserve"> </w:t>
            </w:r>
            <w:r>
              <w:t xml:space="preserve">indica un máximo mayor, no una utilización resistente.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m</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c</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N</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M</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Q</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Q</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LRFD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46"/>
          <w:p/>
        </w:tc>
      </w:tr>
    </w:tbl>
    <w:tbl>
      <w:tblPr>
        <w:tblStyle w:val="Table"/>
        <w:tblLayout w:type="autofit"/>
        <w:tblLook w:firstRow="0" w:lastRow="0" w:firstColumn="0" w:lastColumn="0" w:noHBand="0" w:noVBand="0" w:val="0000"/>
      </w:tblPr>
      <w:tblGrid>
        <w:gridCol w:w="7920"/>
      </w:tblGrid>
      <w:tr>
        <w:tc>
          <w:tcPr/>
          <w:bookmarkStart w:id="147" w:name="tbl-calculation-classical-shotcrete-100"/>
          <w:p>
            <w:pPr>
              <w:jc w:val="left"/>
              <w:pStyle w:val="ImageCaption"/>
            </w:pPr>
            <w:r>
              <w:t xml:space="preserve">Tabla B.4: Comparación de resultantes para el hormigón proyectado de 100 mm;</w:t>
            </w:r>
            <w:r>
              <w:t xml:space="preserve"> </w:t>
            </w:r>
            <m:oMath>
              <m:r>
                <m:t>N</m:t>
              </m:r>
            </m:oMath>
            <w:r>
              <w:t xml:space="preserve"> </w:t>
            </w:r>
            <w:r>
              <w:t xml:space="preserve">y</w:t>
            </w:r>
            <w:r>
              <w:t xml:space="preserve"> </w:t>
            </w:r>
            <m:oMath>
              <m:r>
                <m:t>Q</m:t>
              </m:r>
            </m:oMath>
            <w:r>
              <w:t xml:space="preserve"> </w:t>
            </w:r>
            <w:r>
              <w:t xml:space="preserve">se expresan en kN/m y</w:t>
            </w:r>
            <w:r>
              <w:t xml:space="preserve"> </w:t>
            </w:r>
            <m:oMath>
              <m:r>
                <m:t>M</m:t>
              </m:r>
            </m:oMath>
            <w:r>
              <w:t xml:space="preserve"> </w:t>
            </w:r>
            <w:r>
              <w:t xml:space="preserve">en kN·m/m. En la columna</w:t>
            </w:r>
            <w:r>
              <w:t xml:space="preserve"> </w:t>
            </w:r>
            <m:oMath>
              <m:r>
                <m:t>m</m:t>
              </m:r>
            </m:oMath>
            <w:r>
              <w:t xml:space="preserve">:</w:t>
            </w:r>
            <w:r>
              <w:t xml:space="preserve"> </w:t>
            </w:r>
            <w:r>
              <w:rPr>
                <w:rStyle w:val="VerbatimChar"/>
              </w:rPr>
              <w:t xml:space="preserve">H</w:t>
            </w:r>
            <w:r>
              <w:t xml:space="preserve">, modelo híbrido;</w:t>
            </w:r>
            <w:r>
              <w:t xml:space="preserve"> </w:t>
            </w:r>
            <w:r>
              <w:rPr>
                <w:rStyle w:val="VerbatimChar"/>
              </w:rPr>
              <w:t xml:space="preserve">SE</w:t>
            </w:r>
            <w:r>
              <w:t xml:space="preserve">, Schwartz–Einstein uniforme;</w:t>
            </w:r>
            <w:r>
              <w:t xml:space="preserve"> </w:t>
            </w:r>
            <w:r>
              <w:rPr>
                <w:rStyle w:val="VerbatimChar"/>
              </w:rPr>
              <w:t xml:space="preserve">K0</w:t>
            </w:r>
            <w:r>
              <w:t xml:space="preserve">, anillo con campo prescrito;</w:t>
            </w:r>
            <w:r>
              <w:t xml:space="preserve"> </w:t>
            </w:r>
            <w:r>
              <w:rPr>
                <w:rStyle w:val="VerbatimChar"/>
              </w:rPr>
              <w:t xml:space="preserve">N00</w:t>
            </w:r>
            <w:r>
              <w:t xml:space="preserve"> </w:t>
            </w:r>
            <w:r>
              <w:t xml:space="preserve">y</w:t>
            </w:r>
            <w:r>
              <w:t xml:space="preserve"> </w:t>
            </w:r>
            <w:r>
              <w:rPr>
                <w:rStyle w:val="VerbatimChar"/>
              </w:rPr>
              <w:t xml:space="preserve">N14</w:t>
            </w:r>
            <w:r>
              <w:t xml:space="preserve">, formulaciones de Núñez;</w:t>
            </w:r>
            <w:r>
              <w:t xml:space="preserve"> </w:t>
            </w:r>
            <w:r>
              <w:rPr>
                <w:rStyle w:val="VerbatimChar"/>
              </w:rPr>
              <w:t xml:space="preserve">AU</w:t>
            </w:r>
            <w:r>
              <w:t xml:space="preserve">, AASHTO/USACE. En la columna</w:t>
            </w:r>
            <w:r>
              <w:t xml:space="preserve"> </w:t>
            </w:r>
            <m:oMath>
              <m:r>
                <m:t>c</m:t>
              </m:r>
            </m:oMath>
            <w:r>
              <w:t xml:space="preserve">:</w:t>
            </w:r>
            <w:r>
              <w:t xml:space="preserve"> </w:t>
            </w:r>
            <w:r>
              <w:rPr>
                <w:rStyle w:val="VerbatimChar"/>
              </w:rPr>
              <w:t xml:space="preserve">S</w:t>
            </w:r>
            <w:r>
              <w:t xml:space="preserve">, Slip;</w:t>
            </w:r>
            <w:r>
              <w:t xml:space="preserve"> </w:t>
            </w:r>
            <w:r>
              <w:rPr>
                <w:rStyle w:val="VerbatimChar"/>
              </w:rPr>
              <w:t xml:space="preserve">NS</w:t>
            </w:r>
            <w:r>
              <w:t xml:space="preserve">, No Slip;</w:t>
            </w:r>
            <w:r>
              <w:t xml:space="preserve"> </w:t>
            </w:r>
            <w:r>
              <w:rPr>
                <w:rStyle w:val="VerbatimChar"/>
              </w:rPr>
              <w:t xml:space="preserve">PT</w:t>
            </w:r>
            <w:r>
              <w:t xml:space="preserve">, proyección normal y tangencial completa del campo prescrito;</w:t>
            </w:r>
            <w:r>
              <w:t xml:space="preserve"> </w:t>
            </w:r>
            <w:r>
              <w:rPr>
                <w:rStyle w:val="VerbatimChar"/>
              </w:rPr>
              <w:t xml:space="preserve">PN</w:t>
            </w:r>
            <w:r>
              <w:t xml:space="preserve">, proyección exclusivamente normal. Cada razón</w:t>
            </w:r>
            <w:r>
              <w:t xml:space="preserve"> </w:t>
            </w:r>
            <m:oMath>
              <m:sSub>
                <m:e>
                  <m:r>
                    <m:t>r</m:t>
                  </m:r>
                </m:e>
                <m:sub>
                  <m:r>
                    <m:t>X</m:t>
                  </m:r>
                </m:sub>
              </m:sSub>
            </m:oMath>
            <w:r>
              <w:t xml:space="preserve"> </w:t>
            </w:r>
            <w:r>
              <w:t xml:space="preserve">compara el máximo con la envolvente</w:t>
            </w:r>
            <w:r>
              <w:t xml:space="preserve"> </w:t>
            </w:r>
            <w:r>
              <w:rPr>
                <w:rStyle w:val="VerbatimChar"/>
              </w:rPr>
              <w:t xml:space="preserve">H</w:t>
            </w:r>
            <w:r>
              <w:t xml:space="preserve"> </w:t>
            </w:r>
            <w:r>
              <w:t xml:space="preserve">de</w:t>
            </w:r>
            <w:r>
              <w:t xml:space="preserve"> </w:t>
            </w:r>
            <w:r>
              <w:rPr>
                <w:rStyle w:val="VerbatimChar"/>
              </w:rPr>
              <w:t xml:space="preserve">S</w:t>
            </w:r>
            <w:r>
              <w:t xml:space="preserve"> </w:t>
            </w:r>
            <w:r>
              <w:t xml:space="preserve">y</w:t>
            </w:r>
            <w:r>
              <w:t xml:space="preserve"> </w:t>
            </w:r>
            <w:r>
              <w:rPr>
                <w:rStyle w:val="VerbatimChar"/>
              </w:rPr>
              <w:t xml:space="preserve">NS</w:t>
            </w:r>
            <w:r>
              <w:t xml:space="preserve">;</w:t>
            </w:r>
            <w:r>
              <w:t xml:space="preserve"> </w:t>
            </w:r>
            <m:oMath>
              <m:sSub>
                <m:e>
                  <m:r>
                    <m:t>r</m:t>
                  </m:r>
                </m:e>
                <m:sub>
                  <m:r>
                    <m:t>X</m:t>
                  </m:r>
                </m:sub>
              </m:sSub>
              <m:r>
                <m:rPr>
                  <m:sty m:val="p"/>
                </m:rPr>
                <m:t>&gt;</m:t>
              </m:r>
              <m:r>
                <m:t>1</m:t>
              </m:r>
            </m:oMath>
            <w:r>
              <w:t xml:space="preserve"> </w:t>
            </w:r>
            <w:r>
              <w:t xml:space="preserve">indica un máximo mayor, no una utilización resistente. La raya identifica una magnitud que no corresponde a la formulación.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m</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c</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N</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M</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Q</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Q</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305.8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LRFD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47"/>
          <w:p/>
        </w:tc>
      </w:tr>
    </w:tbl>
    <w:tbl>
      <w:tblPr>
        <w:tblStyle w:val="Table"/>
        <w:tblLayout w:type="autofit"/>
        <w:tblLook w:firstRow="0" w:lastRow="0" w:firstColumn="0" w:lastColumn="0" w:noHBand="0" w:noVBand="0" w:val="0000"/>
      </w:tblPr>
      <w:tblGrid>
        <w:gridCol w:w="7920"/>
      </w:tblGrid>
      <w:tr>
        <w:tc>
          <w:tcPr/>
          <w:bookmarkStart w:id="148" w:name="tbl-calculation-classical-shotcrete-150"/>
          <w:p>
            <w:pPr>
              <w:jc w:val="left"/>
              <w:pStyle w:val="ImageCaption"/>
            </w:pPr>
            <w:r>
              <w:t xml:space="preserve">Tabla B.5: Comparación de resultantes para el hormigón proyectado de 150 mm;</w:t>
            </w:r>
            <w:r>
              <w:t xml:space="preserve"> </w:t>
            </w:r>
            <m:oMath>
              <m:r>
                <m:t>N</m:t>
              </m:r>
            </m:oMath>
            <w:r>
              <w:t xml:space="preserve"> </w:t>
            </w:r>
            <w:r>
              <w:t xml:space="preserve">y</w:t>
            </w:r>
            <w:r>
              <w:t xml:space="preserve"> </w:t>
            </w:r>
            <m:oMath>
              <m:r>
                <m:t>Q</m:t>
              </m:r>
            </m:oMath>
            <w:r>
              <w:t xml:space="preserve"> </w:t>
            </w:r>
            <w:r>
              <w:t xml:space="preserve">se expresan en kN/m y</w:t>
            </w:r>
            <w:r>
              <w:t xml:space="preserve"> </w:t>
            </w:r>
            <m:oMath>
              <m:r>
                <m:t>M</m:t>
              </m:r>
            </m:oMath>
            <w:r>
              <w:t xml:space="preserve"> </w:t>
            </w:r>
            <w:r>
              <w:t xml:space="preserve">en kN·m/m. En la columna</w:t>
            </w:r>
            <w:r>
              <w:t xml:space="preserve"> </w:t>
            </w:r>
            <m:oMath>
              <m:r>
                <m:t>m</m:t>
              </m:r>
            </m:oMath>
            <w:r>
              <w:t xml:space="preserve">:</w:t>
            </w:r>
            <w:r>
              <w:t xml:space="preserve"> </w:t>
            </w:r>
            <w:r>
              <w:rPr>
                <w:rStyle w:val="VerbatimChar"/>
              </w:rPr>
              <w:t xml:space="preserve">H</w:t>
            </w:r>
            <w:r>
              <w:t xml:space="preserve">, modelo híbrido;</w:t>
            </w:r>
            <w:r>
              <w:t xml:space="preserve"> </w:t>
            </w:r>
            <w:r>
              <w:rPr>
                <w:rStyle w:val="VerbatimChar"/>
              </w:rPr>
              <w:t xml:space="preserve">SE</w:t>
            </w:r>
            <w:r>
              <w:t xml:space="preserve">, Schwartz–Einstein uniforme;</w:t>
            </w:r>
            <w:r>
              <w:t xml:space="preserve"> </w:t>
            </w:r>
            <w:r>
              <w:rPr>
                <w:rStyle w:val="VerbatimChar"/>
              </w:rPr>
              <w:t xml:space="preserve">K0</w:t>
            </w:r>
            <w:r>
              <w:t xml:space="preserve">, anillo con campo prescrito;</w:t>
            </w:r>
            <w:r>
              <w:t xml:space="preserve"> </w:t>
            </w:r>
            <w:r>
              <w:rPr>
                <w:rStyle w:val="VerbatimChar"/>
              </w:rPr>
              <w:t xml:space="preserve">N00</w:t>
            </w:r>
            <w:r>
              <w:t xml:space="preserve"> </w:t>
            </w:r>
            <w:r>
              <w:t xml:space="preserve">y</w:t>
            </w:r>
            <w:r>
              <w:t xml:space="preserve"> </w:t>
            </w:r>
            <w:r>
              <w:rPr>
                <w:rStyle w:val="VerbatimChar"/>
              </w:rPr>
              <w:t xml:space="preserve">N14</w:t>
            </w:r>
            <w:r>
              <w:t xml:space="preserve">, formulaciones de Núñez;</w:t>
            </w:r>
            <w:r>
              <w:t xml:space="preserve"> </w:t>
            </w:r>
            <w:r>
              <w:rPr>
                <w:rStyle w:val="VerbatimChar"/>
              </w:rPr>
              <w:t xml:space="preserve">AU</w:t>
            </w:r>
            <w:r>
              <w:t xml:space="preserve">, AASHTO/USACE. En la columna</w:t>
            </w:r>
            <w:r>
              <w:t xml:space="preserve"> </w:t>
            </w:r>
            <m:oMath>
              <m:r>
                <m:t>c</m:t>
              </m:r>
            </m:oMath>
            <w:r>
              <w:t xml:space="preserve">:</w:t>
            </w:r>
            <w:r>
              <w:t xml:space="preserve"> </w:t>
            </w:r>
            <w:r>
              <w:rPr>
                <w:rStyle w:val="VerbatimChar"/>
              </w:rPr>
              <w:t xml:space="preserve">S</w:t>
            </w:r>
            <w:r>
              <w:t xml:space="preserve">, Slip;</w:t>
            </w:r>
            <w:r>
              <w:t xml:space="preserve"> </w:t>
            </w:r>
            <w:r>
              <w:rPr>
                <w:rStyle w:val="VerbatimChar"/>
              </w:rPr>
              <w:t xml:space="preserve">NS</w:t>
            </w:r>
            <w:r>
              <w:t xml:space="preserve">, No Slip;</w:t>
            </w:r>
            <w:r>
              <w:t xml:space="preserve"> </w:t>
            </w:r>
            <w:r>
              <w:rPr>
                <w:rStyle w:val="VerbatimChar"/>
              </w:rPr>
              <w:t xml:space="preserve">PT</w:t>
            </w:r>
            <w:r>
              <w:t xml:space="preserve">, proyección normal y tangencial completa del campo prescrito;</w:t>
            </w:r>
            <w:r>
              <w:t xml:space="preserve"> </w:t>
            </w:r>
            <w:r>
              <w:rPr>
                <w:rStyle w:val="VerbatimChar"/>
              </w:rPr>
              <w:t xml:space="preserve">PN</w:t>
            </w:r>
            <w:r>
              <w:t xml:space="preserve">, proyección exclusivamente normal. Cada razón</w:t>
            </w:r>
            <w:r>
              <w:t xml:space="preserve"> </w:t>
            </w:r>
            <m:oMath>
              <m:sSub>
                <m:e>
                  <m:r>
                    <m:t>r</m:t>
                  </m:r>
                </m:e>
                <m:sub>
                  <m:r>
                    <m:t>X</m:t>
                  </m:r>
                </m:sub>
              </m:sSub>
            </m:oMath>
            <w:r>
              <w:t xml:space="preserve"> </w:t>
            </w:r>
            <w:r>
              <w:t xml:space="preserve">compara el máximo con la envolvente</w:t>
            </w:r>
            <w:r>
              <w:t xml:space="preserve"> </w:t>
            </w:r>
            <w:r>
              <w:rPr>
                <w:rStyle w:val="VerbatimChar"/>
              </w:rPr>
              <w:t xml:space="preserve">H</w:t>
            </w:r>
            <w:r>
              <w:t xml:space="preserve"> </w:t>
            </w:r>
            <w:r>
              <w:t xml:space="preserve">de</w:t>
            </w:r>
            <w:r>
              <w:t xml:space="preserve"> </w:t>
            </w:r>
            <w:r>
              <w:rPr>
                <w:rStyle w:val="VerbatimChar"/>
              </w:rPr>
              <w:t xml:space="preserve">S</w:t>
            </w:r>
            <w:r>
              <w:t xml:space="preserve"> </w:t>
            </w:r>
            <w:r>
              <w:t xml:space="preserve">y</w:t>
            </w:r>
            <w:r>
              <w:t xml:space="preserve"> </w:t>
            </w:r>
            <w:r>
              <w:rPr>
                <w:rStyle w:val="VerbatimChar"/>
              </w:rPr>
              <w:t xml:space="preserve">NS</w:t>
            </w:r>
            <w:r>
              <w:t xml:space="preserve">;</w:t>
            </w:r>
            <w:r>
              <w:t xml:space="preserve"> </w:t>
            </w:r>
            <m:oMath>
              <m:sSub>
                <m:e>
                  <m:r>
                    <m:t>r</m:t>
                  </m:r>
                </m:e>
                <m:sub>
                  <m:r>
                    <m:t>X</m:t>
                  </m:r>
                </m:sub>
              </m:sSub>
              <m:r>
                <m:rPr>
                  <m:sty m:val="p"/>
                </m:rPr>
                <m:t>&gt;</m:t>
              </m:r>
              <m:r>
                <m:t>1</m:t>
              </m:r>
            </m:oMath>
            <w:r>
              <w:t xml:space="preserve"> </w:t>
            </w:r>
            <w:r>
              <w:t xml:space="preserve">indica un máximo mayor, no una utilización resistente. La raya identifica una magnitud que no corresponde a la formulación.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m</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c</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N</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M</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Q</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Q</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48.9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LRFD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48"/>
          <w:p/>
        </w:tc>
      </w:tr>
    </w:tbl>
    <w:tbl>
      <w:tblPr>
        <w:tblStyle w:val="Table"/>
        <w:tblLayout w:type="autofit"/>
        <w:tblLook w:firstRow="0" w:lastRow="0" w:firstColumn="0" w:lastColumn="0" w:noHBand="0" w:noVBand="0" w:val="0000"/>
      </w:tblPr>
      <w:tblGrid>
        <w:gridCol w:w="7920"/>
      </w:tblGrid>
      <w:tr>
        <w:tc>
          <w:tcPr/>
          <w:bookmarkStart w:id="149" w:name="tbl-calculation-classical-nunez"/>
          <w:p>
            <w:pPr>
              <w:jc w:val="left"/>
              <w:pStyle w:val="ImageCaption"/>
            </w:pPr>
            <w:r>
              <w:t xml:space="preserve">Tabla B.6: Resultantes puntuales obtenidas con las formulaciones de Núñez para las tres secciones, con compresión negativa según la convención de esta memoria.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Sección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Formulación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Posición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Solera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Solera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Solera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Máximo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bl>
          <w:bookmarkEnd w:id="149"/>
          <w:p/>
        </w:tc>
      </w:tr>
    </w:tbl>
    <w:p>
      <w:pPr>
        <w:pStyle w:val="BodyText"/>
      </w:pPr>
      <w:r>
        <w:t xml:space="preserve">Para la aplicación de Núñez, el parámetro de interacción se calcula como</w:t>
      </w:r>
    </w:p>
    <w:p>
      <w:pPr>
        <w:pStyle w:val="BodyText"/>
      </w:pPr>
      <w:bookmarkStart w:id="150" w:name="eq-calculation-nunez-project-ratio"/>
      <m:oMathPara>
        <m:oMathParaPr>
          <m:jc m:val="center"/>
        </m:oMathParaPr>
        <m:oMath>
          <m:sSub>
            <m:e>
              <m:r>
                <m:t>a</m:t>
              </m:r>
            </m:e>
            <m:sub>
              <m:r>
                <m:t>N</m:t>
              </m:r>
            </m:sub>
          </m:sSub>
          <m:r>
            <m:rPr>
              <m:sty m:val="p"/>
            </m:rPr>
            <m:t>=</m:t>
          </m:r>
          <m:f>
            <m:fPr>
              <m:type m:val="bar"/>
            </m:fPr>
            <m:num>
              <m:r>
                <m:t>16</m:t>
              </m:r>
            </m:num>
            <m:den>
              <m:sSub>
                <m:e>
                  <m:r>
                    <m:t>χ</m:t>
                  </m:r>
                </m:e>
                <m:sub>
                  <m:r>
                    <m:t>N</m:t>
                  </m:r>
                </m:sub>
              </m:sSub>
            </m:den>
          </m:f>
          <m:f>
            <m:fPr>
              <m:type m:val="bar"/>
            </m:fPr>
            <m:num>
              <m:sSub>
                <m:e>
                  <m:r>
                    <m:t>E</m:t>
                  </m:r>
                </m:e>
                <m:sub>
                  <m:r>
                    <m:t>ℓ</m:t>
                  </m:r>
                </m:sub>
              </m:sSub>
              <m:r>
                <m:rPr>
                  <m:sty m:val="p"/>
                </m:rPr>
                <m:t>/</m:t>
              </m:r>
              <m:r>
                <m:rPr>
                  <m:sty m:val="p"/>
                </m:rPr>
                <m:t>(</m:t>
              </m:r>
              <m:r>
                <m:t>1</m:t>
              </m:r>
              <m:r>
                <m:rPr>
                  <m:sty m:val="p"/>
                </m:rPr>
                <m:t>−</m:t>
              </m:r>
              <m:sSubSup>
                <m:e>
                  <m:r>
                    <m:t>ν</m:t>
                  </m:r>
                </m:e>
                <m:sub>
                  <m:r>
                    <m:t>ℓ</m:t>
                  </m:r>
                </m:sub>
                <m:sup>
                  <m:r>
                    <m:t>2</m:t>
                  </m:r>
                </m:sup>
              </m:sSubSup>
              <m:r>
                <m:rPr>
                  <m:sty m:val="p"/>
                </m:rPr>
                <m:t>)</m:t>
              </m:r>
            </m:num>
            <m:den>
              <m:sSub>
                <m:e>
                  <m:r>
                    <m:t>E</m:t>
                  </m:r>
                </m:e>
                <m:sub>
                  <m:r>
                    <m:t>g</m:t>
                  </m:r>
                </m:sub>
              </m:sSub>
              <m:r>
                <m:rPr>
                  <m:sty m:val="p"/>
                </m:rPr>
                <m:t>/</m:t>
              </m:r>
              <m:r>
                <m:rPr>
                  <m:sty m:val="p"/>
                </m:rPr>
                <m:t>(</m:t>
              </m:r>
              <m:r>
                <m:t>1</m:t>
              </m:r>
              <m:r>
                <m:rPr>
                  <m:sty m:val="p"/>
                </m:rPr>
                <m:t>−</m:t>
              </m:r>
              <m:sSubSup>
                <m:e>
                  <m:r>
                    <m:t>ν</m:t>
                  </m:r>
                </m:e>
                <m:sub>
                  <m:r>
                    <m:t>g</m:t>
                  </m:r>
                </m:sub>
                <m:sup>
                  <m:r>
                    <m:t>2</m:t>
                  </m:r>
                </m:sup>
              </m:sSubSup>
              <m:r>
                <m:rPr>
                  <m:sty m:val="p"/>
                </m:rPr>
                <m:t>)</m:t>
              </m:r>
            </m:den>
          </m:f>
          <m:sSup>
            <m:e>
              <m:d>
                <m:dPr>
                  <m:begChr m:val="("/>
                  <m:sepChr m:val=""/>
                  <m:endChr m:val=")"/>
                  <m:grow/>
                </m:dPr>
                <m:e>
                  <m:f>
                    <m:fPr>
                      <m:type m:val="bar"/>
                    </m:fPr>
                    <m:num>
                      <m:sSub>
                        <m:e>
                          <m:r>
                            <m:t>e</m:t>
                          </m:r>
                        </m:e>
                        <m:sub>
                          <m:r>
                            <m:t>N</m:t>
                          </m:r>
                        </m:sub>
                      </m:sSub>
                    </m:num>
                    <m:den>
                      <m:sSub>
                        <m:e>
                          <m:r>
                            <m:t>D</m:t>
                          </m:r>
                        </m:e>
                        <m:sub>
                          <m:r>
                            <m:t>c</m:t>
                          </m:r>
                        </m:sub>
                      </m:sSub>
                    </m:den>
                  </m:f>
                </m:e>
              </m:d>
            </m:e>
            <m:sup>
              <m:r>
                <m:t>3</m:t>
              </m:r>
            </m:sup>
          </m:sSup>
          <m:r>
            <m:rPr>
              <m:sty m:val="p"/>
            </m:rPr>
            <m:t>,</m:t>
          </m:r>
          <m:r>
            <m:t>  </m:t>
          </m:r>
          <m:r>
            <m:rPr>
              <m:sty m:val="p"/>
            </m:rPr>
            <m:t>(</m:t>
          </m:r>
          <m:r>
            <m:t>B</m:t>
          </m:r>
          <m:r>
            <m:t>.2</m:t>
          </m:r>
          <m:r>
            <m:rPr>
              <m:sty m:val="p"/>
            </m:rPr>
            <m:t>)</m:t>
          </m:r>
        </m:oMath>
      </m:oMathPara>
      <w:bookmarkEnd w:id="150"/>
    </w:p>
    <w:p>
      <w:pPr>
        <w:pStyle w:val="FirstParagraph"/>
      </w:pPr>
      <w:r>
        <w:t xml:space="preserve">donde</w:t>
      </w:r>
      <w:r>
        <w:t xml:space="preserve"> </w:t>
      </w:r>
      <m:oMath>
        <m:sSub>
          <m:e>
            <m:r>
              <m:t>D</m:t>
            </m:r>
          </m:e>
          <m:sub>
            <m:r>
              <m:t>c</m:t>
            </m:r>
          </m:sub>
        </m:sSub>
      </m:oMath>
      <w:r>
        <w:t xml:space="preserve"> </w:t>
      </w:r>
      <w:r>
        <w:t xml:space="preserve">es el diámetro centroidal. En las paredes homogéneas,</w:t>
      </w:r>
      <w:r>
        <w:t xml:space="preserve"> </w:t>
      </w:r>
      <m:oMath>
        <m:sSub>
          <m:e>
            <m:r>
              <m:t>e</m:t>
            </m:r>
          </m:e>
          <m:sub>
            <m:r>
              <m:t>N</m:t>
            </m:r>
          </m:sub>
        </m:sSub>
        <m:r>
          <m:rPr>
            <m:sty m:val="p"/>
          </m:rPr>
          <m:t>=</m:t>
        </m:r>
        <m:r>
          <m:t>t</m:t>
        </m:r>
      </m:oMath>
      <w:r>
        <w:t xml:space="preserve">. Para la chapa corrugada se utiliza el espesor homogéneo equivalente</w:t>
      </w:r>
    </w:p>
    <w:p>
      <w:pPr>
        <w:pStyle w:val="BodyText"/>
      </w:pPr>
      <w:bookmarkStart w:id="151" w:name="X8f050866f2e48ebb22f63a835e2c2f7d63b947c"/>
      <m:oMathPara>
        <m:oMathParaPr>
          <m:jc m:val="center"/>
        </m:oMathParaPr>
        <m:oMath>
          <m:sSub>
            <m:e>
              <m:r>
                <m:t>e</m:t>
              </m:r>
            </m:e>
            <m:sub>
              <m:r>
                <m:t>N</m:t>
              </m:r>
            </m:sub>
          </m:sSub>
          <m:r>
            <m:rPr>
              <m:sty m:val="p"/>
            </m:rPr>
            <m:t>=</m:t>
          </m:r>
          <m:r>
            <m:rPr>
              <m:sty m:val="p"/>
            </m:rPr>
            <m:t>(</m:t>
          </m:r>
          <m:r>
            <m:t>12</m:t>
          </m:r>
          <m:sSub>
            <m:e>
              <m:r>
                <m:t>I</m:t>
              </m:r>
            </m:e>
            <m:sub>
              <m:r>
                <m:t>ℓ</m:t>
              </m:r>
            </m:sub>
          </m:sSub>
          <m:sSup>
            <m:e>
              <m:r>
                <m:rPr>
                  <m:sty m:val="p"/>
                </m:rPr>
                <m:t>)</m:t>
              </m:r>
            </m:e>
            <m:sup>
              <m:r>
                <m:t>1</m:t>
              </m:r>
              <m:r>
                <m:rPr>
                  <m:sty m:val="p"/>
                </m:rPr>
                <m:t>/</m:t>
              </m:r>
              <m:r>
                <m:t>3</m:t>
              </m:r>
            </m:sup>
          </m:sSup>
          <m:r>
            <m:rPr>
              <m:sty m:val="p"/>
            </m:rPr>
            <m:t>,</m:t>
          </m:r>
          <m:r>
            <m:t>  </m:t>
          </m:r>
          <m:r>
            <m:rPr>
              <m:sty m:val="p"/>
            </m:rPr>
            <m:t>(</m:t>
          </m:r>
          <m:r>
            <m:t>B</m:t>
          </m:r>
          <m:r>
            <m:t>.3</m:t>
          </m:r>
          <m:r>
            <m:rPr>
              <m:sty m:val="p"/>
            </m:rPr>
            <m:t>)</m:t>
          </m:r>
        </m:oMath>
      </m:oMathPara>
      <w:bookmarkEnd w:id="151"/>
    </w:p>
    <w:p>
      <w:pPr>
        <w:pStyle w:val="FirstParagraph"/>
      </w:pPr>
      <w:r>
        <w:t xml:space="preserve">que conserva la inercia por unidad de ancho del perfil corrugado. Esta</w:t>
      </w:r>
      <w:r>
        <w:t xml:space="preserve"> </w:t>
      </w:r>
      <w:r>
        <w:t xml:space="preserve">transformación mantiene la comparación sobre la rigidez flexional efectiva de</w:t>
      </w:r>
      <w:r>
        <w:t xml:space="preserve"> </w:t>
      </w:r>
      <w:r>
        <w:t xml:space="preserve">la chapa.</w:t>
      </w:r>
    </w:p>
    <w:bookmarkEnd w:id="152"/>
    <w:bookmarkStart w:id="189" w:name="distribuciones-de-resultantes"/>
    <w:p>
      <w:pPr>
        <w:pStyle w:val="Heading2"/>
      </w:pPr>
      <w:r>
        <w:t xml:space="preserve">Distribuciones de resultantes</w:t>
      </w:r>
    </w:p>
    <w:p>
      <w:pPr>
        <w:pStyle w:val="FirstParagraph"/>
      </w:pPr>
      <w:r>
        <w:t xml:space="preserve">Las curvas muestran tres representaciones del mismo estado de servicio. El</w:t>
      </w:r>
      <w:r>
        <w:t xml:space="preserve"> </w:t>
      </w:r>
      <w:r>
        <w:t xml:space="preserve">modelo híbrido empleado en el cuerpo de la memoria combina la respuesta</w:t>
      </w:r>
      <w:r>
        <w:t xml:space="preserve"> </w:t>
      </w:r>
      <w:r>
        <w:t xml:space="preserve">uniforme de Schwartz–Einstein con la corrección equilibrada por gradiente de</w:t>
      </w:r>
      <w:r>
        <w:t xml:space="preserve"> </w:t>
      </w:r>
      <w:r>
        <w:t xml:space="preserve">profundidad. El contraste Schwartz–Einstein uniforme conserva únicamente el</w:t>
      </w:r>
      <w:r>
        <w:t xml:space="preserve"> </w:t>
      </w:r>
      <w:r>
        <w:t xml:space="preserve">campo medio evaluado al eje. El anillo con campo</w:t>
      </w:r>
      <w:r>
        <w:t xml:space="preserve"> </w:t>
      </w:r>
      <m:oMath>
        <m:sSub>
          <m:e>
            <m:r>
              <m:t>K</m:t>
            </m:r>
          </m:e>
          <m:sub>
            <m:r>
              <m:t>0</m:t>
            </m:r>
          </m:sub>
        </m:sSub>
      </m:oMath>
      <w:r>
        <w:t xml:space="preserve"> </w:t>
      </w:r>
      <w:r>
        <w:t xml:space="preserve">prescrito resuelve el</w:t>
      </w:r>
      <w:r>
        <w:t xml:space="preserve"> </w:t>
      </w:r>
      <w:r>
        <w:t xml:space="preserve">equilibrio de la distribución biaxial sin realimentación de la rigidez del</w:t>
      </w:r>
      <w:r>
        <w:t xml:space="preserve"> </w:t>
      </w:r>
      <w:r>
        <w:t xml:space="preserve">terreno. Cada representación se evalúa para los dos límites de transferencia</w:t>
      </w:r>
      <w:r>
        <w:t xml:space="preserve"> </w:t>
      </w:r>
      <w:r>
        <w:t xml:space="preserve">tangencial definidos en la memoria.</w:t>
      </w:r>
    </w:p>
    <w:p>
      <w:pPr>
        <w:pStyle w:val="BodyText"/>
      </w:pPr>
      <w:r>
        <w:t xml:space="preserve">Cada formulación se presenta con el mismo constructor polar empleado para las</w:t>
      </w:r>
      <w:r>
        <w:t xml:space="preserve"> </w:t>
      </w:r>
      <w:r>
        <w:t xml:space="preserve">resultantes del cuerpo de la memoria. Los tres paneles corresponden a</w:t>
      </w:r>
      <w:r>
        <w:t xml:space="preserve"> </w:t>
      </w:r>
      <m:oMath>
        <m:r>
          <m:t>N</m:t>
        </m:r>
      </m:oMath>
      <w:r>
        <w:t xml:space="preserve">,</w:t>
      </w:r>
      <w:r>
        <w:t xml:space="preserve"> </w:t>
      </w:r>
      <m:oMath>
        <m:r>
          <m:t>M</m:t>
        </m:r>
      </m:oMath>
      <w:r>
        <w:t xml:space="preserve"> </w:t>
      </w:r>
      <w:r>
        <w:t xml:space="preserve">y</w:t>
      </w:r>
      <w:r>
        <w:t xml:space="preserve"> </w:t>
      </w:r>
      <m:oMath>
        <m:r>
          <m:t>Q</m:t>
        </m:r>
      </m:oMath>
      <w:r>
        <w:t xml:space="preserve">; la circunferencia de referencia representa el valor nulo y cada</w:t>
      </w:r>
      <w:r>
        <w:t xml:space="preserve"> </w:t>
      </w:r>
      <w:r>
        <w:t xml:space="preserve">panel utiliza una escala radial propia. Las dos curvas de cada figura son los</w:t>
      </w:r>
      <w:r>
        <w:t xml:space="preserve"> </w:t>
      </w:r>
      <w:r>
        <w:t xml:space="preserve">límites de transferencia tangencial de la formulación correspondiente.</w:t>
      </w:r>
    </w:p>
    <w:tbl>
      <w:tblPr>
        <w:tblStyle w:val="Table"/>
        <w:tblLayout w:type="autofit"/>
        <w:tblLook w:firstRow="0" w:lastRow="0" w:firstColumn="0" w:lastColumn="0" w:noHBand="0" w:noVBand="0" w:val="0000"/>
      </w:tblPr>
      <w:tblGrid>
        <w:gridCol w:w="7920"/>
      </w:tblGrid>
      <w:tr>
        <w:tc>
          <w:tcPr/>
          <w:bookmarkStart w:id="156" w:name="fig-comparison-liner-hybrid"/>
          <w:p>
            <w:pPr>
              <w:pStyle w:val="Compact"/>
              <w:jc w:val="center"/>
            </w:pPr>
            <w:r>
              <w:drawing>
                <wp:inline>
                  <wp:extent cx="5791200" cy="3269225"/>
                  <wp:effectExtent b="0" l="0" r="0" t="0"/>
                  <wp:docPr descr="" title="" id="154" name="Picture"/>
                  <a:graphic>
                    <a:graphicData uri="http://schemas.openxmlformats.org/drawingml/2006/picture">
                      <pic:pic>
                        <pic:nvPicPr>
                          <pic:cNvPr descr="_index/reference.appendix.ES_files/figure-docx/fig-comparison-liner-hybrid-1.png" id="155" name="Picture"/>
                          <pic:cNvPicPr>
                            <a:picLocks noChangeArrowheads="1" noChangeAspect="1"/>
                          </pic:cNvPicPr>
                        </pic:nvPicPr>
                        <pic:blipFill>
                          <a:blip r:embed="rId153"/>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B.1: Distribuciones polares de fuerza normal, momento flector y corte para la chapa corrugada con el modelo híbrido. Las curvas corresponden a los límites con deslizamiento libre y sin deslizamiento.</w:t>
            </w:r>
          </w:p>
          <w:bookmarkEnd w:id="156"/>
        </w:tc>
      </w:tr>
    </w:tbl>
    <w:tbl>
      <w:tblPr>
        <w:tblStyle w:val="Table"/>
        <w:tblLayout w:type="autofit"/>
        <w:tblLook w:firstRow="0" w:lastRow="0" w:firstColumn="0" w:lastColumn="0" w:noHBand="0" w:noVBand="0" w:val="0000"/>
      </w:tblPr>
      <w:tblGrid>
        <w:gridCol w:w="7920"/>
      </w:tblGrid>
      <w:tr>
        <w:tc>
          <w:tcPr/>
          <w:bookmarkStart w:id="160" w:name="fig-comparison-liner-einstein"/>
          <w:p>
            <w:pPr>
              <w:pStyle w:val="Compact"/>
              <w:jc w:val="center"/>
            </w:pPr>
            <w:r>
              <w:drawing>
                <wp:inline>
                  <wp:extent cx="5791200" cy="3269225"/>
                  <wp:effectExtent b="0" l="0" r="0" t="0"/>
                  <wp:docPr descr="" title="" id="158" name="Picture"/>
                  <a:graphic>
                    <a:graphicData uri="http://schemas.openxmlformats.org/drawingml/2006/picture">
                      <pic:pic>
                        <pic:nvPicPr>
                          <pic:cNvPr descr="_index/reference.appendix.ES_files/figure-docx/fig-comparison-liner-einstein-1.png" id="159" name="Picture"/>
                          <pic:cNvPicPr>
                            <a:picLocks noChangeArrowheads="1" noChangeAspect="1"/>
                          </pic:cNvPicPr>
                        </pic:nvPicPr>
                        <pic:blipFill>
                          <a:blip r:embed="rId157"/>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B.2: Distribuciones polares de fuerza normal, momento flector y corte para la chapa corrugada con Schwartz–Einstein uniforme. Las curvas corresponden a los límites con deslizamiento libre y sin deslizamiento.</w:t>
            </w:r>
          </w:p>
          <w:bookmarkEnd w:id="160"/>
        </w:tc>
      </w:tr>
    </w:tbl>
    <w:tbl>
      <w:tblPr>
        <w:tblStyle w:val="Table"/>
        <w:tblLayout w:type="autofit"/>
        <w:tblLook w:firstRow="0" w:lastRow="0" w:firstColumn="0" w:lastColumn="0" w:noHBand="0" w:noVBand="0" w:val="0000"/>
      </w:tblPr>
      <w:tblGrid>
        <w:gridCol w:w="7920"/>
      </w:tblGrid>
      <w:tr>
        <w:tc>
          <w:tcPr/>
          <w:bookmarkStart w:id="164" w:name="fig-comparison-liner-k0"/>
          <w:p>
            <w:pPr>
              <w:pStyle w:val="Compact"/>
              <w:jc w:val="center"/>
            </w:pPr>
            <w:r>
              <w:drawing>
                <wp:inline>
                  <wp:extent cx="5791200" cy="3269225"/>
                  <wp:effectExtent b="0" l="0" r="0" t="0"/>
                  <wp:docPr descr="" title="" id="162" name="Picture"/>
                  <a:graphic>
                    <a:graphicData uri="http://schemas.openxmlformats.org/drawingml/2006/picture">
                      <pic:pic>
                        <pic:nvPicPr>
                          <pic:cNvPr descr="_index/reference.appendix.ES_files/figure-docx/fig-comparison-liner-k0-1.png" id="163" name="Picture"/>
                          <pic:cNvPicPr>
                            <a:picLocks noChangeArrowheads="1" noChangeAspect="1"/>
                          </pic:cNvPicPr>
                        </pic:nvPicPr>
                        <pic:blipFill>
                          <a:blip r:embed="rId161"/>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B.3: Distribuciones polares de fuerza normal, momento flector y corte para la chapa corrugada con el campo</w:t>
            </w:r>
            <w:r>
              <w:t xml:space="preserve"> </w:t>
            </w:r>
            <m:oMath>
              <m:sSub>
                <m:e>
                  <m:r>
                    <m:t>K</m:t>
                  </m:r>
                </m:e>
                <m:sub>
                  <m:r>
                    <m:t>0</m:t>
                  </m:r>
                </m:sub>
              </m:sSub>
            </m:oMath>
            <w:r>
              <w:t xml:space="preserve"> </w:t>
            </w:r>
            <w:r>
              <w:t xml:space="preserve">prescrito. Las curvas corresponden a la proyección tangencial completa y a la acción exclusivamente normal.</w:t>
            </w:r>
          </w:p>
          <w:bookmarkEnd w:id="164"/>
        </w:tc>
      </w:tr>
    </w:tbl>
    <w:tbl>
      <w:tblPr>
        <w:tblStyle w:val="Table"/>
        <w:tblLayout w:type="autofit"/>
        <w:tblLook w:firstRow="0" w:lastRow="0" w:firstColumn="0" w:lastColumn="0" w:noHBand="0" w:noVBand="0" w:val="0000"/>
      </w:tblPr>
      <w:tblGrid>
        <w:gridCol w:w="7920"/>
      </w:tblGrid>
      <w:tr>
        <w:tc>
          <w:tcPr/>
          <w:bookmarkStart w:id="168" w:name="fig-comparison-shotcrete100-hybrid"/>
          <w:p>
            <w:pPr>
              <w:pStyle w:val="Compact"/>
              <w:jc w:val="center"/>
            </w:pPr>
            <w:r>
              <w:drawing>
                <wp:inline>
                  <wp:extent cx="5791200" cy="3269225"/>
                  <wp:effectExtent b="0" l="0" r="0" t="0"/>
                  <wp:docPr descr="" title="" id="166" name="Picture"/>
                  <a:graphic>
                    <a:graphicData uri="http://schemas.openxmlformats.org/drawingml/2006/picture">
                      <pic:pic>
                        <pic:nvPicPr>
                          <pic:cNvPr descr="_index/reference.appendix.ES_files/figure-docx/fig-comparison-shotcrete100-hybrid-1.png" id="167" name="Picture"/>
                          <pic:cNvPicPr>
                            <a:picLocks noChangeArrowheads="1" noChangeAspect="1"/>
                          </pic:cNvPicPr>
                        </pic:nvPicPr>
                        <pic:blipFill>
                          <a:blip r:embed="rId165"/>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B.4: Distribuciones polares de fuerza normal, momento flector y corte para el shotcrete de 100 mm con el modelo híbrido. Las curvas corresponden a los límites con deslizamiento libre y sin deslizamiento.</w:t>
            </w:r>
          </w:p>
          <w:bookmarkEnd w:id="168"/>
        </w:tc>
      </w:tr>
    </w:tbl>
    <w:tbl>
      <w:tblPr>
        <w:tblStyle w:val="Table"/>
        <w:tblLayout w:type="autofit"/>
        <w:tblLook w:firstRow="0" w:lastRow="0" w:firstColumn="0" w:lastColumn="0" w:noHBand="0" w:noVBand="0" w:val="0000"/>
      </w:tblPr>
      <w:tblGrid>
        <w:gridCol w:w="7920"/>
      </w:tblGrid>
      <w:tr>
        <w:tc>
          <w:tcPr/>
          <w:bookmarkStart w:id="172" w:name="fig-comparison-shotcrete100-einstein"/>
          <w:p>
            <w:pPr>
              <w:pStyle w:val="Compact"/>
              <w:jc w:val="center"/>
            </w:pPr>
            <w:r>
              <w:drawing>
                <wp:inline>
                  <wp:extent cx="5791200" cy="3269225"/>
                  <wp:effectExtent b="0" l="0" r="0" t="0"/>
                  <wp:docPr descr="" title="" id="170" name="Picture"/>
                  <a:graphic>
                    <a:graphicData uri="http://schemas.openxmlformats.org/drawingml/2006/picture">
                      <pic:pic>
                        <pic:nvPicPr>
                          <pic:cNvPr descr="_index/reference.appendix.ES_files/figure-docx/fig-comparison-shotcrete100-einstein-1.png" id="171" name="Picture"/>
                          <pic:cNvPicPr>
                            <a:picLocks noChangeArrowheads="1" noChangeAspect="1"/>
                          </pic:cNvPicPr>
                        </pic:nvPicPr>
                        <pic:blipFill>
                          <a:blip r:embed="rId169"/>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B.5: Distribuciones polares de fuerza normal, momento flector y corte para el shotcrete de 100 mm con Schwartz–Einstein uniforme. Las curvas corresponden a los límites con deslizamiento libre y sin deslizamiento.</w:t>
            </w:r>
          </w:p>
          <w:bookmarkEnd w:id="172"/>
        </w:tc>
      </w:tr>
    </w:tbl>
    <w:tbl>
      <w:tblPr>
        <w:tblStyle w:val="Table"/>
        <w:tblLayout w:type="autofit"/>
        <w:tblLook w:firstRow="0" w:lastRow="0" w:firstColumn="0" w:lastColumn="0" w:noHBand="0" w:noVBand="0" w:val="0000"/>
      </w:tblPr>
      <w:tblGrid>
        <w:gridCol w:w="7920"/>
      </w:tblGrid>
      <w:tr>
        <w:tc>
          <w:tcPr/>
          <w:bookmarkStart w:id="176" w:name="fig-comparison-shotcrete100-k0"/>
          <w:p>
            <w:pPr>
              <w:pStyle w:val="Compact"/>
              <w:jc w:val="center"/>
            </w:pPr>
            <w:r>
              <w:drawing>
                <wp:inline>
                  <wp:extent cx="5791200" cy="3269225"/>
                  <wp:effectExtent b="0" l="0" r="0" t="0"/>
                  <wp:docPr descr="" title="" id="174" name="Picture"/>
                  <a:graphic>
                    <a:graphicData uri="http://schemas.openxmlformats.org/drawingml/2006/picture">
                      <pic:pic>
                        <pic:nvPicPr>
                          <pic:cNvPr descr="_index/reference.appendix.ES_files/figure-docx/fig-comparison-shotcrete100-k0-1.png" id="175" name="Picture"/>
                          <pic:cNvPicPr>
                            <a:picLocks noChangeArrowheads="1" noChangeAspect="1"/>
                          </pic:cNvPicPr>
                        </pic:nvPicPr>
                        <pic:blipFill>
                          <a:blip r:embed="rId173"/>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B.6: Distribuciones polares de fuerza normal, momento flector y corte para el shotcrete de 100 mm con el campo</w:t>
            </w:r>
            <w:r>
              <w:t xml:space="preserve"> </w:t>
            </w:r>
            <m:oMath>
              <m:sSub>
                <m:e>
                  <m:r>
                    <m:t>K</m:t>
                  </m:r>
                </m:e>
                <m:sub>
                  <m:r>
                    <m:t>0</m:t>
                  </m:r>
                </m:sub>
              </m:sSub>
            </m:oMath>
            <w:r>
              <w:t xml:space="preserve"> </w:t>
            </w:r>
            <w:r>
              <w:t xml:space="preserve">prescrito. Las curvas corresponden a la proyección tangencial completa y a la acción exclusivamente normal.</w:t>
            </w:r>
          </w:p>
          <w:bookmarkEnd w:id="176"/>
        </w:tc>
      </w:tr>
    </w:tbl>
    <w:tbl>
      <w:tblPr>
        <w:tblStyle w:val="Table"/>
        <w:tblLayout w:type="autofit"/>
        <w:tblLook w:firstRow="0" w:lastRow="0" w:firstColumn="0" w:lastColumn="0" w:noHBand="0" w:noVBand="0" w:val="0000"/>
      </w:tblPr>
      <w:tblGrid>
        <w:gridCol w:w="7920"/>
      </w:tblGrid>
      <w:tr>
        <w:tc>
          <w:tcPr/>
          <w:bookmarkStart w:id="180" w:name="fig-comparison-shotcrete150-hybrid"/>
          <w:p>
            <w:pPr>
              <w:pStyle w:val="Compact"/>
              <w:jc w:val="center"/>
            </w:pPr>
            <w:r>
              <w:drawing>
                <wp:inline>
                  <wp:extent cx="5791200" cy="3269225"/>
                  <wp:effectExtent b="0" l="0" r="0" t="0"/>
                  <wp:docPr descr="" title="" id="178" name="Picture"/>
                  <a:graphic>
                    <a:graphicData uri="http://schemas.openxmlformats.org/drawingml/2006/picture">
                      <pic:pic>
                        <pic:nvPicPr>
                          <pic:cNvPr descr="_index/reference.appendix.ES_files/figure-docx/fig-comparison-shotcrete150-hybrid-1.png" id="179" name="Picture"/>
                          <pic:cNvPicPr>
                            <a:picLocks noChangeArrowheads="1" noChangeAspect="1"/>
                          </pic:cNvPicPr>
                        </pic:nvPicPr>
                        <pic:blipFill>
                          <a:blip r:embed="rId177"/>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B.7: Distribuciones polares de fuerza normal, momento flector y corte para el shotcrete de 150 mm con el modelo híbrido. Las curvas corresponden a los límites con deslizamiento libre y sin deslizamiento.</w:t>
            </w:r>
          </w:p>
          <w:bookmarkEnd w:id="180"/>
        </w:tc>
      </w:tr>
    </w:tbl>
    <w:tbl>
      <w:tblPr>
        <w:tblStyle w:val="Table"/>
        <w:tblLayout w:type="autofit"/>
        <w:tblLook w:firstRow="0" w:lastRow="0" w:firstColumn="0" w:lastColumn="0" w:noHBand="0" w:noVBand="0" w:val="0000"/>
      </w:tblPr>
      <w:tblGrid>
        <w:gridCol w:w="7920"/>
      </w:tblGrid>
      <w:tr>
        <w:tc>
          <w:tcPr/>
          <w:bookmarkStart w:id="184" w:name="fig-comparison-shotcrete150-einstein"/>
          <w:p>
            <w:pPr>
              <w:pStyle w:val="Compact"/>
              <w:jc w:val="center"/>
            </w:pPr>
            <w:r>
              <w:drawing>
                <wp:inline>
                  <wp:extent cx="5791200" cy="3269225"/>
                  <wp:effectExtent b="0" l="0" r="0" t="0"/>
                  <wp:docPr descr="" title="" id="182" name="Picture"/>
                  <a:graphic>
                    <a:graphicData uri="http://schemas.openxmlformats.org/drawingml/2006/picture">
                      <pic:pic>
                        <pic:nvPicPr>
                          <pic:cNvPr descr="_index/reference.appendix.ES_files/figure-docx/fig-comparison-shotcrete150-einstein-1.png" id="183" name="Picture"/>
                          <pic:cNvPicPr>
                            <a:picLocks noChangeArrowheads="1" noChangeAspect="1"/>
                          </pic:cNvPicPr>
                        </pic:nvPicPr>
                        <pic:blipFill>
                          <a:blip r:embed="rId181"/>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B.8: Distribuciones polares de fuerza normal, momento flector y corte para el shotcrete de 150 mm con Schwartz–Einstein uniforme. Las curvas corresponden a los límites con deslizamiento libre y sin deslizamiento.</w:t>
            </w:r>
          </w:p>
          <w:bookmarkEnd w:id="184"/>
        </w:tc>
      </w:tr>
    </w:tbl>
    <w:tbl>
      <w:tblPr>
        <w:tblStyle w:val="Table"/>
        <w:tblLayout w:type="autofit"/>
        <w:tblLook w:firstRow="0" w:lastRow="0" w:firstColumn="0" w:lastColumn="0" w:noHBand="0" w:noVBand="0" w:val="0000"/>
      </w:tblPr>
      <w:tblGrid>
        <w:gridCol w:w="7920"/>
      </w:tblGrid>
      <w:tr>
        <w:tc>
          <w:tcPr/>
          <w:bookmarkStart w:id="188" w:name="fig-comparison-shotcrete150-k0"/>
          <w:p>
            <w:pPr>
              <w:pStyle w:val="Compact"/>
              <w:jc w:val="center"/>
            </w:pPr>
            <w:r>
              <w:drawing>
                <wp:inline>
                  <wp:extent cx="5791200" cy="3269225"/>
                  <wp:effectExtent b="0" l="0" r="0" t="0"/>
                  <wp:docPr descr="" title="" id="186" name="Picture"/>
                  <a:graphic>
                    <a:graphicData uri="http://schemas.openxmlformats.org/drawingml/2006/picture">
                      <pic:pic>
                        <pic:nvPicPr>
                          <pic:cNvPr descr="_index/reference.appendix.ES_files/figure-docx/fig-comparison-shotcrete150-k0-1.png" id="187" name="Picture"/>
                          <pic:cNvPicPr>
                            <a:picLocks noChangeArrowheads="1" noChangeAspect="1"/>
                          </pic:cNvPicPr>
                        </pic:nvPicPr>
                        <pic:blipFill>
                          <a:blip r:embed="rId185"/>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B.9: Distribuciones polares de fuerza normal, momento flector y corte para el shotcrete de 150 mm con el campo</w:t>
            </w:r>
            <w:r>
              <w:t xml:space="preserve"> </w:t>
            </w:r>
            <m:oMath>
              <m:sSub>
                <m:e>
                  <m:r>
                    <m:t>K</m:t>
                  </m:r>
                </m:e>
                <m:sub>
                  <m:r>
                    <m:t>0</m:t>
                  </m:r>
                </m:sub>
              </m:sSub>
            </m:oMath>
            <w:r>
              <w:t xml:space="preserve"> </w:t>
            </w:r>
            <w:r>
              <w:t xml:space="preserve">prescrito. Las curvas corresponden a la proyección tangencial completa y a la acción exclusivamente normal.</w:t>
            </w:r>
          </w:p>
          <w:bookmarkEnd w:id="188"/>
        </w:tc>
      </w:tr>
    </w:tbl>
    <w:p>
      <w:pPr>
        <w:pStyle w:val="BodyText"/>
      </w:pPr>
      <w:r>
        <w:t xml:space="preserve">Los máximos absolutos y sus razones respecto de la envolvente híbrida se</w:t>
      </w:r>
      <w:r>
        <w:t xml:space="preserve"> </w:t>
      </w:r>
      <w:r>
        <w:t xml:space="preserve">informan en las tablas del apartado anterior.</w:t>
      </w:r>
    </w:p>
    <w:p>
      <w:pPr>
        <w:pStyle w:val="BodyText"/>
      </w:pPr>
      <w:r>
        <w:t xml:space="preserve">La diferencia entre la curva híbrida y Schwartz–Einstein uniforme mide el</w:t>
      </w:r>
      <w:r>
        <w:t xml:space="preserve"> </w:t>
      </w:r>
      <w:r>
        <w:t xml:space="preserve">efecto de trasladar la resultante lateral mediante el gradiente equilibrado.</w:t>
      </w:r>
      <w:r>
        <w:t xml:space="preserve"> </w:t>
      </w:r>
      <w:r>
        <w:t xml:space="preserve">La diferencia entre revestimientos refleja el cambio de rigidez que entra en</w:t>
      </w:r>
      <w:r>
        <w:t xml:space="preserve"> </w:t>
      </w:r>
      <w:r>
        <w:t xml:space="preserve">los parámetros</w:t>
      </w:r>
      <w:r>
        <w:t xml:space="preserve"> </w:t>
      </w:r>
      <m:oMath>
        <m:sSup>
          <m:e>
            <m:r>
              <m:t>C</m:t>
            </m:r>
          </m:e>
          <m:sup>
            <m:r>
              <m:rPr>
                <m:sty m:val="p"/>
              </m:rPr>
              <m:t>*</m:t>
            </m:r>
          </m:sup>
        </m:sSup>
      </m:oMath>
      <w:r>
        <w:t xml:space="preserve"> </w:t>
      </w:r>
      <w:r>
        <w:t xml:space="preserve">y</w:t>
      </w:r>
      <w:r>
        <w:t xml:space="preserve"> </w:t>
      </w:r>
      <m:oMath>
        <m:sSup>
          <m:e>
            <m:r>
              <m:t>F</m:t>
            </m:r>
          </m:e>
          <m:sup>
            <m:r>
              <m:rPr>
                <m:sty m:val="p"/>
              </m:rPr>
              <m:t>*</m:t>
            </m:r>
          </m:sup>
        </m:sSup>
      </m:oMath>
      <w:r>
        <w:t xml:space="preserve"> </w:t>
      </w:r>
      <w:r>
        <w:t xml:space="preserve">de Schwartz–Einstein. El campo</w:t>
      </w:r>
      <w:r>
        <w:t xml:space="preserve"> </w:t>
      </w:r>
      <m:oMath>
        <m:sSub>
          <m:e>
            <m:r>
              <m:t>K</m:t>
            </m:r>
          </m:e>
          <m:sub>
            <m:r>
              <m:t>0</m:t>
            </m:r>
          </m:sub>
        </m:sSub>
      </m:oMath>
      <w:r>
        <w:t xml:space="preserve"> </w:t>
      </w:r>
      <w:r>
        <w:t xml:space="preserve">prescrito</w:t>
      </w:r>
      <w:r>
        <w:t xml:space="preserve"> </w:t>
      </w:r>
      <w:r>
        <w:t xml:space="preserve">sirve como referencia de un anillo sometido a acciones dadas y, por ello,</w:t>
      </w:r>
      <w:r>
        <w:t xml:space="preserve"> </w:t>
      </w:r>
      <w:r>
        <w:t xml:space="preserve">separa el efecto de la carga del efecto de interacción terreno–revestimiento.</w:t>
      </w:r>
    </w:p>
    <w:bookmarkEnd w:id="189"/>
    <w:bookmarkStart w:id="190" w:name="resultantes-puntuales-y-empuje-normativo"/>
    <w:p>
      <w:pPr>
        <w:pStyle w:val="Heading2"/>
      </w:pPr>
      <w:r>
        <w:t xml:space="preserve">Resultantes puntuales y empuje normativo</w:t>
      </w:r>
    </w:p>
    <w:p>
      <w:pPr>
        <w:pStyle w:val="FirstParagraph"/>
      </w:pPr>
      <w:r>
        <w:t xml:space="preserve">Las formulaciones de Núñez de 2000 y de Núñez, Sfriso y Laiún de 2014 producen</w:t>
      </w:r>
      <w:r>
        <w:t xml:space="preserve"> </w:t>
      </w:r>
      <w:r>
        <w:t xml:space="preserve">resultantes en posiciones características y un momento máximo. En esta</w:t>
      </w:r>
      <w:r>
        <w:t xml:space="preserve"> </w:t>
      </w:r>
      <w:r>
        <w:t xml:space="preserve">sensibilidad se emplean los valores de</w:t>
      </w:r>
      <w:r>
        <w:t xml:space="preserve"> </w:t>
      </w:r>
      <m:oMath>
        <m:sSub>
          <m:e>
            <m:r>
              <m:t>η</m:t>
            </m:r>
          </m:e>
          <m:sub>
            <m:r>
              <m:t>N</m:t>
            </m:r>
          </m:sub>
        </m:sSub>
      </m:oMath>
      <w:r>
        <w:t xml:space="preserve"> </w:t>
      </w:r>
      <w:r>
        <w:t xml:space="preserve">y</w:t>
      </w:r>
      <w:r>
        <w:t xml:space="preserve"> </w:t>
      </w:r>
      <m:oMath>
        <m:sSub>
          <m:e>
            <m:r>
              <m:t>χ</m:t>
            </m:r>
          </m:e>
          <m:sub>
            <m:r>
              <m:t>N</m:t>
            </m:r>
          </m:sub>
        </m:sSub>
      </m:oMath>
      <w:r>
        <w:t xml:space="preserve"> </w:t>
      </w:r>
      <w:r>
        <w:t xml:space="preserve">declarados en la</w:t>
      </w:r>
      <w:r>
        <w:t xml:space="preserve"> </w:t>
      </w:r>
      <w:hyperlink w:anchor="tbl-calculation-classical-inputs">
        <w:r>
          <w:rPr>
            <w:rStyle w:val="Hyperlink"/>
          </w:rPr>
          <w:t xml:space="preserve">tabla B.1</w:t>
        </w:r>
      </w:hyperlink>
      <w:r>
        <w:t xml:space="preserve">. Su dominio original corresponde a túneles</w:t>
      </w:r>
      <w:r>
        <w:t xml:space="preserve"> </w:t>
      </w:r>
      <w:r>
        <w:t xml:space="preserve">excavados; su incorporación en este apéndice cuantifica la sensibilidad del</w:t>
      </w:r>
      <w:r>
        <w:t xml:space="preserve"> </w:t>
      </w:r>
      <w:r>
        <w:t xml:space="preserve">caso colocado en trinchera frente a una formulación clásica adicional. La</w:t>
      </w:r>
      <w:r>
        <w:t xml:space="preserve"> </w:t>
      </w:r>
      <w:hyperlink w:anchor="tbl-calculation-classical-nunez">
        <w:r>
          <w:rPr>
            <w:rStyle w:val="Hyperlink"/>
          </w:rPr>
          <w:t xml:space="preserve">tabla B.6</w:t>
        </w:r>
      </w:hyperlink>
      <w:r>
        <w:t xml:space="preserve"> </w:t>
      </w:r>
      <w:r>
        <w:t xml:space="preserve">conserva las posiciones y magnitudes que cada</w:t>
      </w:r>
      <w:r>
        <w:t xml:space="preserve"> </w:t>
      </w:r>
      <w:r>
        <w:t xml:space="preserve">fuente define.</w:t>
      </w:r>
    </w:p>
    <w:p>
      <w:pPr>
        <w:pStyle w:val="BodyText"/>
      </w:pPr>
      <w:r>
        <w:t xml:space="preserve">La relación AASHTO/USACE desarrollada en</w:t>
      </w:r>
      <w:r>
        <w:t xml:space="preserve"> </w:t>
      </w:r>
      <w:hyperlink w:anchor="sec-calculation-steel">
        <w:r>
          <w:rPr>
            <w:rStyle w:val="Hyperlink"/>
          </w:rPr>
          <w:t xml:space="preserve">Capítulo 4</w:t>
        </w:r>
      </w:hyperlink>
      <w:r>
        <w:t xml:space="preserve"> </w:t>
      </w:r>
      <w:r>
        <w:t xml:space="preserve">se aplica a la chapa corrugada y entrega un</w:t>
      </w:r>
      <w:r>
        <w:t xml:space="preserve"> </w:t>
      </w:r>
      <w:r>
        <w:t xml:space="preserve">empuje escalar. La fila</w:t>
      </w:r>
      <w:r>
        <w:t xml:space="preserve"> </w:t>
      </w:r>
      <w:r>
        <w:rPr>
          <w:b/>
          <w:bCs/>
        </w:rPr>
        <w:t xml:space="preserve">SER</w:t>
      </w:r>
      <w:r>
        <w:t xml:space="preserve"> </w:t>
      </w:r>
      <w:r>
        <w:t xml:space="preserve">informa el valor de servicio y la fila</w:t>
      </w:r>
      <w:r>
        <w:t xml:space="preserve"> </w:t>
      </w:r>
      <w:r>
        <w:rPr>
          <w:b/>
          <w:bCs/>
        </w:rPr>
        <w:t xml:space="preserve">LRFD</w:t>
      </w:r>
      <w:r>
        <w:t xml:space="preserve"> </w:t>
      </w:r>
      <w:r>
        <w:t xml:space="preserve">conserva la demanda mayorada. La relación fuente define fuerza</w:t>
      </w:r>
      <w:r>
        <w:t xml:space="preserve"> </w:t>
      </w:r>
      <w:r>
        <w:t xml:space="preserve">normal; por esa razón las columnas de momento y corte se muestran con raya.</w:t>
      </w:r>
      <w:r>
        <w:t xml:space="preserve"> </w:t>
      </w:r>
      <w:r>
        <w:t xml:space="preserve">Las secciones de hormigón también se muestran con raya en esas filas, porque</w:t>
      </w:r>
      <w:r>
        <w:t xml:space="preserve"> </w:t>
      </w:r>
      <w:r>
        <w:t xml:space="preserve">la rama normativa corresponde al producto de acero corrugado.</w:t>
      </w:r>
    </w:p>
    <w:p>
      <w:pPr>
        <w:pStyle w:val="BodyText"/>
      </w:pPr>
      <w:r>
        <w:t xml:space="preserve">El tratamiento FHWA de compactación representa una acción de construcción</w:t>
      </w:r>
      <w:r>
        <w:t xml:space="preserve"> </w:t>
      </w:r>
      <w:r>
        <w:t xml:space="preserve">asociada al equipo, al material suelto y a la secuencia de colocación. Su</w:t>
      </w:r>
      <w:r>
        <w:t xml:space="preserve"> </w:t>
      </w:r>
      <w:r>
        <w:t xml:space="preserve">evaluación para el proyecto requiere la fuerza del compactador, el ángulo de</w:t>
      </w:r>
      <w:r>
        <w:t xml:space="preserve"> </w:t>
      </w:r>
      <w:r>
        <w:t xml:space="preserve">fricción del relleno suelto y la retención de esa acción al completar el</w:t>
      </w:r>
      <w:r>
        <w:t xml:space="preserve"> </w:t>
      </w:r>
      <w:r>
        <w:t xml:space="preserve">relleno. No se dispone de esos parámetros; el estado comparado en este</w:t>
      </w:r>
      <w:r>
        <w:t xml:space="preserve"> </w:t>
      </w:r>
      <w:r>
        <w:t xml:space="preserve">apéndice corresponde al relleno completado.</w:t>
      </w:r>
    </w:p>
    <w:p>
      <w:pPr>
        <w:pStyle w:val="BodyText"/>
      </w:pPr>
      <w:r>
        <w:t xml:space="preserve">En conjunto, la comparación permite reconocer cuánto varían las resultantes</w:t>
      </w:r>
      <w:r>
        <w:t xml:space="preserve"> </w:t>
      </w:r>
      <w:r>
        <w:t xml:space="preserve">del proyecto al cambiar de formulación, manteniendo explícitas la base de</w:t>
      </w:r>
      <w:r>
        <w:t xml:space="preserve"> </w:t>
      </w:r>
      <w:r>
        <w:t xml:space="preserve">acciones, la rigidez de cada sección y el dominio de cada referencia.</w:t>
      </w:r>
    </w:p>
    <w:bookmarkEnd w:id="190"/>
    <w:bookmarkEnd w:id="191"/>
    <w:bookmarkStart w:id="213" w:name="referencias"/>
    <w:p>
      <w:pPr>
        <w:pStyle w:val="Heading1"/>
      </w:pPr>
      <w:r>
        <w:t xml:space="preserve">Referencias</w:t>
      </w:r>
    </w:p>
    <w:bookmarkStart w:id="212" w:name="refs"/>
    <w:bookmarkStart w:id="193" w:name="ref-ACI31825"/>
    <w:p>
      <w:pPr>
        <w:pStyle w:val="Bibliography"/>
      </w:pPr>
      <w:r>
        <w:t xml:space="preserve">ACI Committee 318. 2025.</w:t>
      </w:r>
      <w:r>
        <w:t xml:space="preserve"> </w:t>
      </w:r>
      <w:r>
        <w:rPr>
          <w:i/>
          <w:iCs/>
        </w:rPr>
        <w:t xml:space="preserve">Building Code for Structural Concrete—Code Requirements and Commentary</w:t>
      </w:r>
      <w:r>
        <w:t xml:space="preserve">. ACI CODE-318-25. American Concrete Institute.</w:t>
      </w:r>
      <w:r>
        <w:t xml:space="preserve"> </w:t>
      </w:r>
      <w:hyperlink r:id="rId192">
        <w:r>
          <w:rPr>
            <w:rStyle w:val="Hyperlink"/>
          </w:rPr>
          <w:t xml:space="preserve">https://www.concrete.org/store/productdetail?ItemID=318U25&amp;Language=English</w:t>
        </w:r>
      </w:hyperlink>
      <w:r>
        <w:t xml:space="preserve">.</w:t>
      </w:r>
    </w:p>
    <w:bookmarkEnd w:id="193"/>
    <w:bookmarkStart w:id="195" w:name="ref-AASHTO2024TOC"/>
    <w:p>
      <w:pPr>
        <w:pStyle w:val="Bibliography"/>
      </w:pPr>
      <w:r>
        <w:t xml:space="preserve">American Association of State Highway and Transportation Officials. 2024.</w:t>
      </w:r>
      <w:r>
        <w:t xml:space="preserve"> </w:t>
      </w:r>
      <w:r>
        <w:rPr>
          <w:i/>
          <w:iCs/>
        </w:rPr>
        <w:t xml:space="preserve">AASHTO LRFD Bridge Design Specifications</w:t>
      </w:r>
      <w:r>
        <w:rPr>
          <w:i/>
          <w:iCs/>
        </w:rPr>
        <w:t xml:space="preserve">, Tenth Edition: Table of Contents and Index</w:t>
      </w:r>
      <w:r>
        <w:t xml:space="preserve">. 10.ª ed. Washington, D.C.</w:t>
      </w:r>
      <w:r>
        <w:t xml:space="preserve"> </w:t>
      </w:r>
      <w:hyperlink r:id="rId194">
        <w:r>
          <w:rPr>
            <w:rStyle w:val="Hyperlink"/>
          </w:rPr>
          <w:t xml:space="preserve">https://store.transportation.org/Common/DownloadContentFiles?id=2493</w:t>
        </w:r>
      </w:hyperlink>
      <w:r>
        <w:t xml:space="preserve">.</w:t>
      </w:r>
    </w:p>
    <w:bookmarkEnd w:id="195"/>
    <w:bookmarkStart w:id="197" w:name="ref-AndersonEtAl2023"/>
    <w:p>
      <w:pPr>
        <w:pStyle w:val="Bibliography"/>
      </w:pPr>
      <w:r>
        <w:t xml:space="preserve">Anderson, J. Brian, James S. Davidson, Bujing Liu, Chukwuma C. Okafor, Olga L. Rojas, y Kelly N. Turner. 2023.</w:t>
      </w:r>
      <w:r>
        <w:t xml:space="preserve"> </w:t>
      </w:r>
      <w:r>
        <w:rPr>
          <w:i/>
          <w:iCs/>
        </w:rPr>
        <w:t xml:space="preserve">Load Rating for Corrugated Metal Culverts under Shallow Cover Depths</w:t>
      </w:r>
      <w:r>
        <w:t xml:space="preserve">. Final Research Report prepared for the Alabama Department of Transportation. Highway Research Center; Department of Civil Engineering, Auburn University.</w:t>
      </w:r>
      <w:r>
        <w:t xml:space="preserve"> </w:t>
      </w:r>
      <w:hyperlink r:id="rId196">
        <w:r>
          <w:rPr>
            <w:rStyle w:val="Hyperlink"/>
          </w:rPr>
          <w:t xml:space="preserve">https://rosap.ntl.bts.gov/view/dot/68707</w:t>
        </w:r>
      </w:hyperlink>
      <w:r>
        <w:t xml:space="preserve">.</w:t>
      </w:r>
    </w:p>
    <w:bookmarkEnd w:id="197"/>
    <w:bookmarkStart w:id="198" w:name="ref-ChristopherEtAl2006"/>
    <w:p>
      <w:pPr>
        <w:pStyle w:val="Bibliography"/>
      </w:pPr>
      <w:r>
        <w:t xml:space="preserve">Christopher, Barry R., Charles Schwartz, y Richard Boudreau. 2006.</w:t>
      </w:r>
      <w:r>
        <w:t xml:space="preserve"> </w:t>
      </w:r>
      <w:r>
        <w:rPr>
          <w:i/>
          <w:iCs/>
        </w:rPr>
        <w:t xml:space="preserve">Geotechnical Aspects of Pavements</w:t>
      </w:r>
      <w:r>
        <w:t xml:space="preserve">. Reference Manual and Participant Workbook FHWA NHI-05-037. Federal Highway Administration, National Highway Institute.</w:t>
      </w:r>
    </w:p>
    <w:bookmarkEnd w:id="198"/>
    <w:bookmarkStart w:id="200" w:name="ref-CSPIHandbookChapter2"/>
    <w:p>
      <w:pPr>
        <w:pStyle w:val="Bibliography"/>
      </w:pPr>
      <w:r>
        <w:t xml:space="preserve">Corrugated Steel Pipe Institute. s. f.-a.</w:t>
      </w:r>
      <w:r>
        <w:t xml:space="preserve"> </w:t>
      </w:r>
      <w:r>
        <w:rPr>
          <w:i/>
          <w:iCs/>
        </w:rPr>
        <w:t xml:space="preserve">Handbook of Steel Drainage and Highway Construction Products: Product Details and Fabrication</w:t>
      </w:r>
      <w:r>
        <w:t xml:space="preserve">. Accedido 13 de agosto de 2026.</w:t>
      </w:r>
      <w:r>
        <w:t xml:space="preserve"> </w:t>
      </w:r>
      <w:hyperlink r:id="rId199">
        <w:r>
          <w:rPr>
            <w:rStyle w:val="Hyperlink"/>
          </w:rPr>
          <w:t xml:space="preserve">https://cspi.ca/wp-content/uploads/2021/04/handbook_chapter02.pdf</w:t>
        </w:r>
      </w:hyperlink>
      <w:r>
        <w:t xml:space="preserve">.</w:t>
      </w:r>
    </w:p>
    <w:bookmarkEnd w:id="200"/>
    <w:bookmarkStart w:id="202" w:name="ref-CSPIHandbookChapter6"/>
    <w:p>
      <w:pPr>
        <w:pStyle w:val="Bibliography"/>
      </w:pPr>
      <w:r>
        <w:t xml:space="preserve">Corrugated Steel Pipe Institute. s. f.-b.</w:t>
      </w:r>
      <w:r>
        <w:t xml:space="preserve"> </w:t>
      </w:r>
      <w:r>
        <w:rPr>
          <w:i/>
          <w:iCs/>
        </w:rPr>
        <w:t xml:space="preserve">Handbook of Steel Drainage and Highway Construction Products: Structural Design</w:t>
      </w:r>
      <w:r>
        <w:t xml:space="preserve">. Accedido 14 de agosto de 2026.</w:t>
      </w:r>
      <w:r>
        <w:t xml:space="preserve"> </w:t>
      </w:r>
      <w:hyperlink r:id="rId201">
        <w:r>
          <w:rPr>
            <w:rStyle w:val="Hyperlink"/>
          </w:rPr>
          <w:t xml:space="preserve">https://www.cspi.ca/sites/default/files/download/handbook_chapter06.pdf</w:t>
        </w:r>
      </w:hyperlink>
      <w:r>
        <w:t xml:space="preserve">.</w:t>
      </w:r>
    </w:p>
    <w:bookmarkEnd w:id="202"/>
    <w:bookmarkStart w:id="204" w:name="ref-CIRSOC8044"/>
    <w:p>
      <w:pPr>
        <w:pStyle w:val="Bibliography"/>
      </w:pPr>
      <w:r>
        <w:t xml:space="preserve">INTI-CIRSOC. 2023.</w:t>
      </w:r>
      <w:r>
        <w:t xml:space="preserve"> </w:t>
      </w:r>
      <w:r>
        <w:rPr>
          <w:i/>
          <w:iCs/>
        </w:rPr>
        <w:t xml:space="preserve">Reglamento Argentino para el Diseño de Puentes Carreteros: Estructuras Enterradas y Revestimientos para Túneles</w:t>
      </w:r>
      <w:r>
        <w:t xml:space="preserve">. CIRSOC 804-4.</w:t>
      </w:r>
      <w:r>
        <w:t xml:space="preserve"> </w:t>
      </w:r>
      <w:hyperlink r:id="rId203">
        <w:r>
          <w:rPr>
            <w:rStyle w:val="Hyperlink"/>
          </w:rPr>
          <w:t xml:space="preserve">https://www.inti.gob.ar/assets/uploads/files/cirsoc/06-reglamentos-2da-generacion/area800/1/06_Area800_07-A-Reglamento-CIRSOC-804-4-2023_APROBADO.pdf</w:t>
        </w:r>
      </w:hyperlink>
      <w:r>
        <w:t xml:space="preserve">.</w:t>
      </w:r>
    </w:p>
    <w:bookmarkEnd w:id="204"/>
    <w:bookmarkStart w:id="206" w:name="ref-MayneKulhawy1982"/>
    <w:p>
      <w:pPr>
        <w:pStyle w:val="Bibliography"/>
      </w:pPr>
      <w:r>
        <w:t xml:space="preserve">Mayne, Paul W., y Fred H. Kulhawy. 1982.</w:t>
      </w:r>
      <w:r>
        <w:t xml:space="preserve"> </w:t>
      </w:r>
      <w:r>
        <w:t xml:space="preserve">«</w:t>
      </w:r>
      <m:oMath>
        <m:sSub>
          <m:e>
            <m:r>
              <m:t>K</m:t>
            </m:r>
          </m:e>
          <m:sub>
            <m:r>
              <m:t>0</m:t>
            </m:r>
          </m:sub>
        </m:sSub>
      </m:oMath>
      <w:r>
        <w:t xml:space="preserve">–</w:t>
      </w:r>
      <w:r>
        <w:t xml:space="preserve">OCR</w:t>
      </w:r>
      <w:r>
        <w:t xml:space="preserve"> </w:t>
      </w:r>
      <w:r>
        <w:t xml:space="preserve">Relationships in Soil</w:t>
      </w:r>
      <w:r>
        <w:t xml:space="preserve">»</w:t>
      </w:r>
      <w:r>
        <w:t xml:space="preserve">.</w:t>
      </w:r>
      <w:r>
        <w:t xml:space="preserve"> </w:t>
      </w:r>
      <w:r>
        <w:rPr>
          <w:i/>
          <w:iCs/>
        </w:rPr>
        <w:t xml:space="preserve">Journal of the Geotechnical Engineering Division</w:t>
      </w:r>
      <w:r>
        <w:t xml:space="preserve"> </w:t>
      </w:r>
      <w:r>
        <w:t xml:space="preserve">108 (6): 851-72.</w:t>
      </w:r>
      <w:r>
        <w:t xml:space="preserve"> </w:t>
      </w:r>
      <w:hyperlink r:id="rId205">
        <w:r>
          <w:rPr>
            <w:rStyle w:val="Hyperlink"/>
          </w:rPr>
          <w:t xml:space="preserve">https://doi.org/10.1061/AJGEB6.0001306</w:t>
        </w:r>
      </w:hyperlink>
      <w:r>
        <w:t xml:space="preserve">.</w:t>
      </w:r>
    </w:p>
    <w:bookmarkEnd w:id="206"/>
    <w:bookmarkStart w:id="207" w:name="ref-McGrathEtAl1999"/>
    <w:p>
      <w:pPr>
        <w:pStyle w:val="Bibliography"/>
      </w:pPr>
      <w:r>
        <w:t xml:space="preserve">McGrath, Timothy J., Ernest T. Selig, Mark C. Webb, y Glenn V. Zoladz. 1999.</w:t>
      </w:r>
      <w:r>
        <w:t xml:space="preserve"> </w:t>
      </w:r>
      <w:r>
        <w:rPr>
          <w:i/>
          <w:iCs/>
        </w:rPr>
        <w:t xml:space="preserve">Pipe Interaction with the Backfill Envelope</w:t>
      </w:r>
      <w:r>
        <w:t xml:space="preserve">. Final Report FHWA-RD-98-191. Federal Highway Administration, Research, Development; Technology, Turner-Fairbank Highway Research Center.</w:t>
      </w:r>
    </w:p>
    <w:bookmarkEnd w:id="207"/>
    <w:bookmarkStart w:id="209" w:name="ref-Michalowski2005"/>
    <w:p>
      <w:pPr>
        <w:pStyle w:val="Bibliography"/>
      </w:pPr>
      <w:r>
        <w:t xml:space="preserve">Michalowski, Radoslaw L. 2005.</w:t>
      </w:r>
      <w:r>
        <w:t xml:space="preserve"> </w:t>
      </w:r>
      <w:r>
        <w:t xml:space="preserve">«Coefficient of Earth Pressure at Rest»</w:t>
      </w:r>
      <w:r>
        <w:t xml:space="preserve">.</w:t>
      </w:r>
      <w:r>
        <w:t xml:space="preserve"> </w:t>
      </w:r>
      <w:r>
        <w:rPr>
          <w:i/>
          <w:iCs/>
        </w:rPr>
        <w:t xml:space="preserve">Journal of Geotechnical and Geoenvironmental Engineering</w:t>
      </w:r>
      <w:r>
        <w:t xml:space="preserve"> </w:t>
      </w:r>
      <w:r>
        <w:t xml:space="preserve">131 (11): 1429-33.</w:t>
      </w:r>
      <w:r>
        <w:t xml:space="preserve"> </w:t>
      </w:r>
      <w:hyperlink r:id="rId208">
        <w:r>
          <w:rPr>
            <w:rStyle w:val="Hyperlink"/>
          </w:rPr>
          <w:t xml:space="preserve">https://doi.org/10.1061/(ASCE)1090-0241(2005)131:11(1429)</w:t>
        </w:r>
      </w:hyperlink>
      <w:r>
        <w:t xml:space="preserve">.</w:t>
      </w:r>
    </w:p>
    <w:bookmarkEnd w:id="209"/>
    <w:bookmarkStart w:id="210" w:name="ref-SRKArgentina2026EISF"/>
    <w:p>
      <w:pPr>
        <w:pStyle w:val="Bibliography"/>
      </w:pPr>
      <w:r>
        <w:t xml:space="preserve">SRK Consulting (Argentina) S.A. 2026.</w:t>
      </w:r>
      <w:r>
        <w:t xml:space="preserve"> </w:t>
      </w:r>
      <w:r>
        <w:rPr>
          <w:i/>
          <w:iCs/>
        </w:rPr>
        <w:t xml:space="preserve">Servicio de soporte geotécnico para el desarrollo de la planta</w:t>
      </w:r>
      <w:r>
        <w:rPr>
          <w:i/>
          <w:iCs/>
        </w:rPr>
        <w:t xml:space="preserve"> </w:t>
      </w:r>
      <w:r>
        <w:rPr>
          <w:i/>
          <w:iCs/>
        </w:rPr>
        <w:t xml:space="preserve">EI-SF</w:t>
      </w:r>
      <w:r>
        <w:t xml:space="preserve">. Memo Técnico Final S-ABK0-06. SRK Consulting (Argentina) S.A.</w:t>
      </w:r>
    </w:p>
    <w:bookmarkEnd w:id="210"/>
    <w:bookmarkStart w:id="211" w:name="ref-USACE2020"/>
    <w:p>
      <w:pPr>
        <w:pStyle w:val="Bibliography"/>
      </w:pPr>
      <w:r>
        <w:t xml:space="preserve">U.S. Army Corps of Engineers. 2020.</w:t>
      </w:r>
      <w:r>
        <w:t xml:space="preserve"> </w:t>
      </w:r>
      <w:r>
        <w:rPr>
          <w:i/>
          <w:iCs/>
        </w:rPr>
        <w:t xml:space="preserve">Conduits, Pipes, and Culverts Associated with Dams and Levee Systems</w:t>
      </w:r>
      <w:r>
        <w:t xml:space="preserve">. EM 1110-2-2902. Washington, D.C.</w:t>
      </w:r>
    </w:p>
    <w:bookmarkEnd w:id="211"/>
    <w:bookmarkEnd w:id="212"/>
    <w:bookmarkEnd w:id="213"/>
    <w:sectPr w:rsidR="00336EE6" w:rsidSect="00801857">
      <w:headerReference r:id="rId11" w:type="default"/>
      <w:footerReference r:id="rId12" w:type="default"/>
      <w:pgSz w:code="1" w:h="15840" w:w="12240"/>
      <w:pgMar w:bottom="1701" w:footer="397" w:gutter="0" w:header="567" w:left="2268" w:right="851" w:top="1985"/>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SemiBold">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Wingdings 2">
    <w:panose1 w:val="05020102010507070707"/>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B722C" w14:textId="77777777" w:rsidR="00801857" w:rsidRDefault="00801857" w:rsidP="00336EE6">
    <w:pPr>
      <w:pStyle w:val="Footer"/>
      <w:ind w:left="-1440"/>
    </w:pPr>
    <w:r w:rsidRPr="00C43FB3">
      <w:t xml:space="preserve">SRK CONSULTING  </w:t>
    </w:r>
    <w:r w:rsidRPr="00035AF0">
      <w:rPr>
        <w:rFonts w:cstheme="minorHAnsi"/>
        <w:color w:val="F37021"/>
      </w:rPr>
      <w:sym w:font="Wingdings 2" w:char="F0A1"/>
    </w:r>
    <w:r w:rsidRPr="00035AF0">
      <w:t xml:space="preserve">  </w:t>
    </w:r>
    <w:sdt>
      <w:sdtPr>
        <w:tag w:val="Publish Date"/>
        <w:id w:val="-24404949"/>
        <w:placeholder>
          <w:docPart w:val="016216A70DCEE44EB48EF4AE61D0F80E"/>
        </w:placeholder>
        <w:showingPlcHdr/>
        <w:dataBinding w:prefixMappings="xmlns:ns0='http://schemas.microsoft.com/office/2006/coverPageProps' " w:xpath="/ns0:CoverPageProperties[1]/ns0:PublishDate[1]" w:storeItemID="{55AF091B-3C7A-41E3-B477-F2FDAA23CFDA}"/>
        <w:date>
          <w:dateFormat w:val="MMMM yyyy"/>
          <w:lid w:val="en-US"/>
          <w:storeMappedDataAs w:val="dateTime"/>
          <w:calendar w:val="gregorian"/>
        </w:date>
      </w:sdtPr>
      <w:sdtContent>
        <w:r w:rsidR="000A3DF4" w:rsidRPr="000A3DF4">
          <w:t>[Publish Date]</w:t>
        </w:r>
      </w:sdtContent>
    </w:sdt>
    <w:r w:rsidRPr="00035AF0">
      <w:t xml:space="preserve">  </w:t>
    </w:r>
    <w:r w:rsidRPr="00035AF0">
      <w:rPr>
        <w:rFonts w:cstheme="minorHAnsi"/>
        <w:color w:val="F37021"/>
      </w:rPr>
      <w:sym w:font="Wingdings 2" w:char="F0A1"/>
    </w:r>
    <w:r w:rsidRPr="00035AF0">
      <w:t xml:space="preserve">  </w:t>
    </w:r>
    <w:sdt>
      <w:sdtPr>
        <w:tag w:val="Footer"/>
        <w:id w:val="1405183133"/>
        <w:placeholder>
          <w:docPart w:val="92C2FEF28DB092499559294F41B8092F"/>
        </w:placeholder>
        <w:showingPlcHdr/>
        <w:dataBinding w:prefixMappings="xmlns:ns0='http://schemas.microsoft.com/office/2006/coverPageProps' " w:xpath="/ns0:CoverPageProperties[1]/ns0:Abstract[1]" w:storeItemID="{55AF091B-3C7A-41E3-B477-F2FDAA23CFDA}"/>
        <w:text/>
      </w:sdtPr>
      <w:sdtContent>
        <w:r w:rsidR="00760AE7" w:rsidRPr="00760AE7">
          <w:t>ADD NOTE OR DELETE INCLUDING PRECEDING BULLET.</w:t>
        </w:r>
      </w:sdtContent>
    </w:sdt>
    <w:r w:rsidRPr="00035AF0">
      <w:ptab w:relativeTo="margin" w:alignment="right" w:leader="none"/>
    </w:r>
    <w:r w:rsidRPr="00035AF0">
      <w:fldChar w:fldCharType="begin"/>
    </w:r>
    <w:r w:rsidRPr="00035AF0">
      <w:instrText xml:space="preserve"> PAGE   \* MERGEFORMAT </w:instrText>
    </w:r>
    <w:r w:rsidRPr="00035AF0">
      <w:fldChar w:fldCharType="separate"/>
    </w:r>
    <w:r>
      <w:t>iii</w:t>
    </w:r>
    <w:r w:rsidRPr="00035AF0">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8097A" w14:textId="77777777" w:rsidR="00336EE6" w:rsidRDefault="00336EE6" w:rsidP="00A42351">
    <w:pPr>
      <w:pStyle w:val="Footer"/>
      <w:pBdr>
        <w:top w:val="none" w:sz="0" w:space="0" w:color="auto"/>
      </w:pBd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CF9C9" w14:textId="77777777" w:rsidR="00801857" w:rsidRDefault="00000000" w:rsidP="00336EE6">
    <w:pPr>
      <w:pStyle w:val="Header"/>
      <w:ind w:left="-1440"/>
    </w:pPr>
    <w:sdt>
      <w:sdtPr>
        <w:alias w:val="Title"/>
        <w:tag w:val=""/>
        <w:id w:val="-1291671324"/>
        <w:placeholder>
          <w:docPart w:val="1C1CBEF7DCCB0246AA6C35E8CA938EC5"/>
        </w:placeholder>
        <w:showingPlcHdr/>
        <w:dataBinding w:prefixMappings="xmlns:ns0='http://purl.org/dc/elements/1.1/' xmlns:ns1='http://schemas.openxmlformats.org/package/2006/metadata/core-properties' " w:xpath="/ns1:coreProperties[1]/ns0:title[1]" w:storeItemID="{6C3C8BC8-F283-45AE-878A-BAB7291924A1}"/>
        <w:text/>
      </w:sdtPr>
      <w:sdtContent>
        <w:r w:rsidR="00801857" w:rsidRPr="00C43FB3">
          <w:t>[Title]</w:t>
        </w:r>
      </w:sdtContent>
    </w:sdt>
    <w:r w:rsidR="00801857" w:rsidRPr="00035AF0">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9DDB0" w14:textId="77777777" w:rsidR="00336EE6" w:rsidRPr="00A42351" w:rsidRDefault="00336EE6" w:rsidP="00A42351">
    <w:pPr>
      <w:pStyle w:val="Header"/>
      <w:pBdr>
        <w:bottom w:val="none" w:sz="0" w:space="0" w:color="auto"/>
      </w:pBd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102266CA"/>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1FA1E6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F0E4E84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01CAB2C"/>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0E89B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6B82BD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03C8934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773CB8C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451A53D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7BA81C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F14725"/>
    <w:multiLevelType w:val="multilevel"/>
    <w:tmpl w:val="C54EBE22"/>
    <w:styleLink w:val="SRKBulletList"/>
    <w:lvl w:ilvl="0">
      <w:start w:val="1"/>
      <w:numFmt w:val="bullet"/>
      <w:pStyle w:val="ListBullet"/>
      <w:lvlText w:val="▪"/>
      <w:lvlJc w:val="left"/>
      <w:pPr>
        <w:tabs>
          <w:tab w:pos="360" w:val="num"/>
        </w:tabs>
        <w:ind w:hanging="360" w:left="360"/>
      </w:pPr>
      <w:rPr>
        <w:rFonts w:ascii="Aptos SemiBold" w:hAnsi="Aptos SemiBold" w:hint="default"/>
        <w:color w:themeColor="text2" w:val="F37021"/>
      </w:rPr>
    </w:lvl>
    <w:lvl w:ilvl="1">
      <w:start w:val="1"/>
      <w:numFmt w:val="bullet"/>
      <w:pStyle w:val="ListBullet2"/>
      <w:lvlText w:val="–"/>
      <w:lvlJc w:val="left"/>
      <w:pPr>
        <w:tabs>
          <w:tab w:pos="720" w:val="num"/>
        </w:tabs>
        <w:ind w:hanging="360" w:left="720"/>
      </w:pPr>
      <w:rPr>
        <w:rFonts w:ascii="Aptos SemiBold" w:hAnsi="Aptos SemiBold" w:hint="default"/>
        <w:color w:themeColor="text2" w:val="F37021"/>
      </w:rPr>
    </w:lvl>
    <w:lvl w:ilvl="2">
      <w:start w:val="1"/>
      <w:numFmt w:val="bullet"/>
      <w:pStyle w:val="ListBullet3"/>
      <w:lvlText w:val="▪"/>
      <w:lvlJc w:val="left"/>
      <w:pPr>
        <w:tabs>
          <w:tab w:pos="1080" w:val="num"/>
        </w:tabs>
        <w:ind w:hanging="360" w:left="1080"/>
      </w:pPr>
      <w:rPr>
        <w:rFonts w:ascii="Aptos SemiBold" w:hAnsi="Aptos SemiBold" w:hint="default"/>
        <w:color w:themeColor="text2" w:val="F37021"/>
      </w:rPr>
    </w:lvl>
    <w:lvl w:ilvl="3">
      <w:start w:val="1"/>
      <w:numFmt w:val="bullet"/>
      <w:pStyle w:val="ListBullet4"/>
      <w:lvlText w:val="–"/>
      <w:lvlJc w:val="left"/>
      <w:pPr>
        <w:tabs>
          <w:tab w:pos="1440" w:val="num"/>
        </w:tabs>
        <w:ind w:hanging="360" w:left="1440"/>
      </w:pPr>
      <w:rPr>
        <w:rFonts w:ascii="Aptos SemiBold" w:hAnsi="Aptos SemiBold" w:hint="default"/>
        <w:color w:themeColor="text2" w:val="F37021"/>
      </w:rPr>
    </w:lvl>
    <w:lvl w:ilvl="4">
      <w:start w:val="1"/>
      <w:numFmt w:val="bullet"/>
      <w:pStyle w:val="ListBullet5"/>
      <w:lvlText w:val="▪"/>
      <w:lvlJc w:val="left"/>
      <w:pPr>
        <w:tabs>
          <w:tab w:pos="1800" w:val="num"/>
        </w:tabs>
        <w:ind w:hanging="360" w:left="1800"/>
      </w:pPr>
      <w:rPr>
        <w:rFonts w:ascii="Aptos SemiBold" w:hAnsi="Aptos SemiBold" w:hint="default"/>
        <w:color w:themeColor="text2" w:val="F37021"/>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11">
    <w:nsid w:val="0AF75A05"/>
    <w:multiLevelType w:val="multilevel"/>
    <w:tmpl w:val="DCF8C812"/>
    <w:lvl w:ilvl="0">
      <w:start w:val="1"/>
      <w:numFmt w:val="decimal"/>
      <w:lvlText w:val="%1."/>
      <w:lvlJc w:val="left"/>
      <w:pPr>
        <w:ind w:hanging="360" w:left="360"/>
      </w:pPr>
      <w:rPr>
        <w:rFonts w:hint="default"/>
        <w:color w:themeColor="accent2" w:val="AEAEAE"/>
      </w:rPr>
    </w:lvl>
    <w:lvl w:ilvl="1">
      <w:start w:val="1"/>
      <w:numFmt w:val="none"/>
      <w:lvlText w:val=""/>
      <w:lvlJc w:val="left"/>
      <w:pPr>
        <w:ind w:hanging="360" w:left="360"/>
      </w:pPr>
      <w:rPr>
        <w:rFonts w:hint="default"/>
      </w:rPr>
    </w:lvl>
    <w:lvl w:ilvl="2">
      <w:start w:val="1"/>
      <w:numFmt w:val="none"/>
      <w:lvlText w:val=""/>
      <w:lvlJc w:val="left"/>
      <w:pPr>
        <w:ind w:hanging="360" w:left="360"/>
      </w:pPr>
      <w:rPr>
        <w:rFonts w:hint="default"/>
      </w:rPr>
    </w:lvl>
    <w:lvl w:ilvl="3">
      <w:start w:val="1"/>
      <w:numFmt w:val="none"/>
      <w:lvlText w:val=""/>
      <w:lvlJc w:val="left"/>
      <w:pPr>
        <w:ind w:hanging="360" w:left="360"/>
      </w:pPr>
      <w:rPr>
        <w:rFonts w:hint="default"/>
      </w:rPr>
    </w:lvl>
    <w:lvl w:ilvl="4">
      <w:start w:val="1"/>
      <w:numFmt w:val="none"/>
      <w:lvlText w:val=""/>
      <w:lvlJc w:val="left"/>
      <w:pPr>
        <w:ind w:hanging="360" w:left="360"/>
      </w:pPr>
      <w:rPr>
        <w:rFonts w:hint="default"/>
      </w:rPr>
    </w:lvl>
    <w:lvl w:ilvl="5">
      <w:start w:val="1"/>
      <w:numFmt w:val="none"/>
      <w:lvlText w:val=""/>
      <w:lvlJc w:val="left"/>
      <w:pPr>
        <w:ind w:hanging="360" w:left="360"/>
      </w:pPr>
      <w:rPr>
        <w:rFonts w:hint="default"/>
      </w:rPr>
    </w:lvl>
    <w:lvl w:ilvl="6">
      <w:start w:val="1"/>
      <w:numFmt w:val="none"/>
      <w:lvlText w:val=""/>
      <w:lvlJc w:val="left"/>
      <w:pPr>
        <w:ind w:hanging="360" w:left="360"/>
      </w:pPr>
      <w:rPr>
        <w:rFonts w:hint="default"/>
      </w:rPr>
    </w:lvl>
    <w:lvl w:ilvl="7">
      <w:start w:val="1"/>
      <w:numFmt w:val="none"/>
      <w:lvlText w:val=""/>
      <w:lvlJc w:val="left"/>
      <w:pPr>
        <w:ind w:hanging="360" w:left="360"/>
      </w:pPr>
      <w:rPr>
        <w:rFonts w:hint="default"/>
      </w:rPr>
    </w:lvl>
    <w:lvl w:ilvl="8">
      <w:start w:val="1"/>
      <w:numFmt w:val="none"/>
      <w:lvlText w:val=""/>
      <w:lvlJc w:val="left"/>
      <w:pPr>
        <w:ind w:hanging="360" w:left="360"/>
      </w:pPr>
      <w:rPr>
        <w:rFonts w:hint="default"/>
      </w:rPr>
    </w:lvl>
  </w:abstractNum>
  <w:abstractNum w15:restartNumberingAfterBreak="0" w:abstractNumId="12">
    <w:nsid w:val="0EF05286"/>
    <w:multiLevelType w:val="hybridMultilevel"/>
    <w:tmpl w:val="6B32BB28"/>
    <w:lvl w:ilvl="0" w:tplc="8278A8DC">
      <w:start w:val="1"/>
      <w:numFmt w:val="decimal"/>
      <w:lvlText w:val="%1."/>
      <w:lvlJc w:val="left"/>
      <w:pPr>
        <w:ind w:hanging="360" w:left="720"/>
      </w:pPr>
    </w:lvl>
    <w:lvl w:ilvl="1" w:tplc="9648AE98">
      <w:start w:val="1"/>
      <w:numFmt w:val="decimal"/>
      <w:lvlText w:val="%2."/>
      <w:lvlJc w:val="left"/>
      <w:pPr>
        <w:ind w:hanging="360" w:left="720"/>
      </w:pPr>
    </w:lvl>
    <w:lvl w:ilvl="2" w:tplc="8C7A8A4E">
      <w:start w:val="1"/>
      <w:numFmt w:val="decimal"/>
      <w:lvlText w:val="%3."/>
      <w:lvlJc w:val="left"/>
      <w:pPr>
        <w:ind w:hanging="360" w:left="720"/>
      </w:pPr>
    </w:lvl>
    <w:lvl w:ilvl="3" w:tplc="49CEE7F4">
      <w:start w:val="1"/>
      <w:numFmt w:val="decimal"/>
      <w:lvlText w:val="%4."/>
      <w:lvlJc w:val="left"/>
      <w:pPr>
        <w:ind w:hanging="360" w:left="720"/>
      </w:pPr>
    </w:lvl>
    <w:lvl w:ilvl="4" w:tplc="2AF4235A">
      <w:start w:val="1"/>
      <w:numFmt w:val="decimal"/>
      <w:lvlText w:val="%5."/>
      <w:lvlJc w:val="left"/>
      <w:pPr>
        <w:ind w:hanging="360" w:left="720"/>
      </w:pPr>
    </w:lvl>
    <w:lvl w:ilvl="5" w:tplc="BC06B6C2">
      <w:start w:val="1"/>
      <w:numFmt w:val="decimal"/>
      <w:lvlText w:val="%6."/>
      <w:lvlJc w:val="left"/>
      <w:pPr>
        <w:ind w:hanging="360" w:left="720"/>
      </w:pPr>
    </w:lvl>
    <w:lvl w:ilvl="6" w:tplc="CFCEB13E">
      <w:start w:val="1"/>
      <w:numFmt w:val="decimal"/>
      <w:lvlText w:val="%7."/>
      <w:lvlJc w:val="left"/>
      <w:pPr>
        <w:ind w:hanging="360" w:left="720"/>
      </w:pPr>
    </w:lvl>
    <w:lvl w:ilvl="7" w:tplc="28C439D2">
      <w:start w:val="1"/>
      <w:numFmt w:val="decimal"/>
      <w:lvlText w:val="%8."/>
      <w:lvlJc w:val="left"/>
      <w:pPr>
        <w:ind w:hanging="360" w:left="720"/>
      </w:pPr>
    </w:lvl>
    <w:lvl w:ilvl="8" w:tplc="941A2360">
      <w:start w:val="1"/>
      <w:numFmt w:val="decimal"/>
      <w:lvlText w:val="%9."/>
      <w:lvlJc w:val="left"/>
      <w:pPr>
        <w:ind w:hanging="360" w:left="720"/>
      </w:pPr>
    </w:lvl>
  </w:abstractNum>
  <w:abstractNum w15:restartNumberingAfterBreak="0" w:abstractNumId="13">
    <w:nsid w:val="1FBA4A2D"/>
    <w:multiLevelType w:val="hybridMultilevel"/>
    <w:tmpl w:val="B8366280"/>
    <w:lvl w:ilvl="0" w:tplc="53E29752">
      <w:start w:val="1"/>
      <w:numFmt w:val="decimal"/>
      <w:lvlText w:val="%1."/>
      <w:lvlJc w:val="left"/>
      <w:pPr>
        <w:ind w:hanging="360" w:left="720"/>
      </w:pPr>
    </w:lvl>
    <w:lvl w:ilvl="1" w:tplc="A3D2462A">
      <w:start w:val="1"/>
      <w:numFmt w:val="decimal"/>
      <w:lvlText w:val="%2."/>
      <w:lvlJc w:val="left"/>
      <w:pPr>
        <w:ind w:hanging="360" w:left="720"/>
      </w:pPr>
    </w:lvl>
    <w:lvl w:ilvl="2" w:tplc="0DA24B44">
      <w:start w:val="1"/>
      <w:numFmt w:val="decimal"/>
      <w:lvlText w:val="%3."/>
      <w:lvlJc w:val="left"/>
      <w:pPr>
        <w:ind w:hanging="360" w:left="720"/>
      </w:pPr>
    </w:lvl>
    <w:lvl w:ilvl="3" w:tplc="E15E9016">
      <w:start w:val="1"/>
      <w:numFmt w:val="decimal"/>
      <w:lvlText w:val="%4."/>
      <w:lvlJc w:val="left"/>
      <w:pPr>
        <w:ind w:hanging="360" w:left="720"/>
      </w:pPr>
    </w:lvl>
    <w:lvl w:ilvl="4" w:tplc="2F68F6BA">
      <w:start w:val="1"/>
      <w:numFmt w:val="decimal"/>
      <w:lvlText w:val="%5."/>
      <w:lvlJc w:val="left"/>
      <w:pPr>
        <w:ind w:hanging="360" w:left="720"/>
      </w:pPr>
    </w:lvl>
    <w:lvl w:ilvl="5" w:tplc="C354ED1E">
      <w:start w:val="1"/>
      <w:numFmt w:val="decimal"/>
      <w:lvlText w:val="%6."/>
      <w:lvlJc w:val="left"/>
      <w:pPr>
        <w:ind w:hanging="360" w:left="720"/>
      </w:pPr>
    </w:lvl>
    <w:lvl w:ilvl="6" w:tplc="514A065A">
      <w:start w:val="1"/>
      <w:numFmt w:val="decimal"/>
      <w:lvlText w:val="%7."/>
      <w:lvlJc w:val="left"/>
      <w:pPr>
        <w:ind w:hanging="360" w:left="720"/>
      </w:pPr>
    </w:lvl>
    <w:lvl w:ilvl="7" w:tplc="1422D3F2">
      <w:start w:val="1"/>
      <w:numFmt w:val="decimal"/>
      <w:lvlText w:val="%8."/>
      <w:lvlJc w:val="left"/>
      <w:pPr>
        <w:ind w:hanging="360" w:left="720"/>
      </w:pPr>
    </w:lvl>
    <w:lvl w:ilvl="8" w:tplc="80DAC356">
      <w:start w:val="1"/>
      <w:numFmt w:val="decimal"/>
      <w:lvlText w:val="%9."/>
      <w:lvlJc w:val="left"/>
      <w:pPr>
        <w:ind w:hanging="360" w:left="720"/>
      </w:pPr>
    </w:lvl>
  </w:abstractNum>
  <w:abstractNum w15:restartNumberingAfterBreak="0" w:abstractNumId="14">
    <w:nsid w:val="25567F41"/>
    <w:multiLevelType w:val="hybridMultilevel"/>
    <w:tmpl w:val="8B1AE702"/>
    <w:lvl w:ilvl="0" w:tplc="B61026FA">
      <w:start w:val="1"/>
      <w:numFmt w:val="decimal"/>
      <w:lvlText w:val="%1."/>
      <w:lvlJc w:val="left"/>
      <w:pPr>
        <w:ind w:hanging="360" w:left="720"/>
      </w:pPr>
    </w:lvl>
    <w:lvl w:ilvl="1" w:tplc="C63A4A18">
      <w:start w:val="1"/>
      <w:numFmt w:val="decimal"/>
      <w:lvlText w:val="%2."/>
      <w:lvlJc w:val="left"/>
      <w:pPr>
        <w:ind w:hanging="360" w:left="720"/>
      </w:pPr>
    </w:lvl>
    <w:lvl w:ilvl="2" w:tplc="0FDA790E">
      <w:start w:val="1"/>
      <w:numFmt w:val="decimal"/>
      <w:lvlText w:val="%3."/>
      <w:lvlJc w:val="left"/>
      <w:pPr>
        <w:ind w:hanging="360" w:left="720"/>
      </w:pPr>
    </w:lvl>
    <w:lvl w:ilvl="3" w:tplc="765AC4AE">
      <w:start w:val="1"/>
      <w:numFmt w:val="decimal"/>
      <w:lvlText w:val="%4."/>
      <w:lvlJc w:val="left"/>
      <w:pPr>
        <w:ind w:hanging="360" w:left="720"/>
      </w:pPr>
    </w:lvl>
    <w:lvl w:ilvl="4" w:tplc="ECE82ACE">
      <w:start w:val="1"/>
      <w:numFmt w:val="decimal"/>
      <w:lvlText w:val="%5."/>
      <w:lvlJc w:val="left"/>
      <w:pPr>
        <w:ind w:hanging="360" w:left="720"/>
      </w:pPr>
    </w:lvl>
    <w:lvl w:ilvl="5" w:tplc="6A40941E">
      <w:start w:val="1"/>
      <w:numFmt w:val="decimal"/>
      <w:lvlText w:val="%6."/>
      <w:lvlJc w:val="left"/>
      <w:pPr>
        <w:ind w:hanging="360" w:left="720"/>
      </w:pPr>
    </w:lvl>
    <w:lvl w:ilvl="6" w:tplc="E4D0B08A">
      <w:start w:val="1"/>
      <w:numFmt w:val="decimal"/>
      <w:lvlText w:val="%7."/>
      <w:lvlJc w:val="left"/>
      <w:pPr>
        <w:ind w:hanging="360" w:left="720"/>
      </w:pPr>
    </w:lvl>
    <w:lvl w:ilvl="7" w:tplc="16763308">
      <w:start w:val="1"/>
      <w:numFmt w:val="decimal"/>
      <w:lvlText w:val="%8."/>
      <w:lvlJc w:val="left"/>
      <w:pPr>
        <w:ind w:hanging="360" w:left="720"/>
      </w:pPr>
    </w:lvl>
    <w:lvl w:ilvl="8" w:tplc="40848526">
      <w:start w:val="1"/>
      <w:numFmt w:val="decimal"/>
      <w:lvlText w:val="%9."/>
      <w:lvlJc w:val="left"/>
      <w:pPr>
        <w:ind w:hanging="360" w:left="720"/>
      </w:pPr>
    </w:lvl>
  </w:abstractNum>
  <w:abstractNum w15:restartNumberingAfterBreak="0" w:abstractNumId="15">
    <w:nsid w:val="26105DFC"/>
    <w:multiLevelType w:val="multilevel"/>
    <w:tmpl w:val="C54EBE22"/>
    <w:numStyleLink w:val="SRKBulletList"/>
  </w:abstractNum>
  <w:abstractNum w15:restartNumberingAfterBreak="0" w:abstractNumId="16">
    <w:nsid w:val="26AA78DC"/>
    <w:multiLevelType w:val="multilevel"/>
    <w:tmpl w:val="280EE35A"/>
    <w:styleLink w:val="CurrentList4"/>
    <w:lvl w:ilvl="0">
      <w:start w:val="1"/>
      <w:numFmt w:val="decimal"/>
      <w:lvlText w:val="%1."/>
      <w:lvlJc w:val="left"/>
      <w:pPr>
        <w:ind w:hanging="360" w:left="1440"/>
      </w:pPr>
      <w:rPr>
        <w:rFonts w:hint="default"/>
        <w:color w:themeColor="accent2" w:val="AEAEAE"/>
      </w:rPr>
    </w:lvl>
    <w:lvl w:ilvl="1">
      <w:start w:val="1"/>
      <w:numFmt w:val="none"/>
      <w:lvlText w:val=""/>
      <w:lvlJc w:val="left"/>
      <w:pPr>
        <w:ind w:hanging="360" w:left="1440"/>
      </w:pPr>
      <w:rPr>
        <w:rFonts w:hint="default"/>
      </w:rPr>
    </w:lvl>
    <w:lvl w:ilvl="2">
      <w:start w:val="1"/>
      <w:numFmt w:val="none"/>
      <w:lvlText w:val=""/>
      <w:lvlJc w:val="left"/>
      <w:pPr>
        <w:ind w:hanging="360" w:left="1440"/>
      </w:pPr>
      <w:rPr>
        <w:rFonts w:hint="default"/>
      </w:rPr>
    </w:lvl>
    <w:lvl w:ilvl="3">
      <w:start w:val="1"/>
      <w:numFmt w:val="none"/>
      <w:lvlText w:val=""/>
      <w:lvlJc w:val="left"/>
      <w:pPr>
        <w:ind w:hanging="360" w:left="1440"/>
      </w:pPr>
      <w:rPr>
        <w:rFonts w:hint="default"/>
      </w:rPr>
    </w:lvl>
    <w:lvl w:ilvl="4">
      <w:start w:val="1"/>
      <w:numFmt w:val="none"/>
      <w:lvlText w:val=""/>
      <w:lvlJc w:val="left"/>
      <w:pPr>
        <w:ind w:hanging="360" w:left="1440"/>
      </w:pPr>
      <w:rPr>
        <w:rFonts w:hint="default"/>
      </w:rPr>
    </w:lvl>
    <w:lvl w:ilvl="5">
      <w:start w:val="1"/>
      <w:numFmt w:val="none"/>
      <w:lvlText w:val=""/>
      <w:lvlJc w:val="right"/>
      <w:pPr>
        <w:ind w:hanging="360" w:left="1440"/>
      </w:pPr>
      <w:rPr>
        <w:rFonts w:hint="default"/>
      </w:rPr>
    </w:lvl>
    <w:lvl w:ilvl="6">
      <w:start w:val="1"/>
      <w:numFmt w:val="none"/>
      <w:lvlText w:val=""/>
      <w:lvlJc w:val="left"/>
      <w:pPr>
        <w:ind w:hanging="360" w:left="1440"/>
      </w:pPr>
      <w:rPr>
        <w:rFonts w:hint="default"/>
      </w:rPr>
    </w:lvl>
    <w:lvl w:ilvl="7">
      <w:start w:val="1"/>
      <w:numFmt w:val="none"/>
      <w:lvlText w:val=""/>
      <w:lvlJc w:val="left"/>
      <w:pPr>
        <w:ind w:hanging="360" w:left="1440"/>
      </w:pPr>
      <w:rPr>
        <w:rFonts w:hint="default"/>
      </w:rPr>
    </w:lvl>
    <w:lvl w:ilvl="8">
      <w:start w:val="1"/>
      <w:numFmt w:val="none"/>
      <w:lvlText w:val=""/>
      <w:lvlJc w:val="right"/>
      <w:pPr>
        <w:ind w:hanging="360" w:left="1440"/>
      </w:pPr>
      <w:rPr>
        <w:rFonts w:hint="default"/>
      </w:rPr>
    </w:lvl>
  </w:abstractNum>
  <w:abstractNum w15:restartNumberingAfterBreak="0" w:abstractNumId="17">
    <w:nsid w:val="292E05C5"/>
    <w:multiLevelType w:val="multilevel"/>
    <w:tmpl w:val="176272B6"/>
    <w:styleLink w:val="SRKTableFootnotes"/>
    <w:lvl w:ilvl="0">
      <w:start w:val="1"/>
      <w:numFmt w:val="decimal"/>
      <w:pStyle w:val="TableFootnote"/>
      <w:lvlText w:val="%1."/>
      <w:lvlJc w:val="left"/>
      <w:pPr>
        <w:tabs>
          <w:tab w:pos="360" w:val="num"/>
        </w:tabs>
        <w:ind w:hanging="360" w:left="360"/>
      </w:pPr>
      <w:rPr>
        <w:rFonts w:hint="default"/>
        <w:color w:themeColor="text2" w:val="F37021"/>
      </w:rPr>
    </w:lvl>
    <w:lvl w:ilvl="1">
      <w:start w:val="1"/>
      <w:numFmt w:val="none"/>
      <w:lvlText w:val=""/>
      <w:lvlJc w:val="left"/>
      <w:pPr>
        <w:tabs>
          <w:tab w:pos="360" w:val="num"/>
        </w:tabs>
        <w:ind w:hanging="360" w:left="360"/>
      </w:pPr>
      <w:rPr>
        <w:rFonts w:hint="default"/>
      </w:rPr>
    </w:lvl>
    <w:lvl w:ilvl="2">
      <w:start w:val="1"/>
      <w:numFmt w:val="none"/>
      <w:lvlText w:val=""/>
      <w:lvlJc w:val="left"/>
      <w:pPr>
        <w:tabs>
          <w:tab w:pos="360" w:val="num"/>
        </w:tabs>
        <w:ind w:hanging="360" w:left="360"/>
      </w:pPr>
      <w:rPr>
        <w:rFonts w:hint="default"/>
      </w:rPr>
    </w:lvl>
    <w:lvl w:ilvl="3">
      <w:start w:val="1"/>
      <w:numFmt w:val="none"/>
      <w:lvlText w:val=""/>
      <w:lvlJc w:val="left"/>
      <w:pPr>
        <w:tabs>
          <w:tab w:pos="360" w:val="num"/>
        </w:tabs>
        <w:ind w:hanging="360" w:left="360"/>
      </w:pPr>
      <w:rPr>
        <w:rFonts w:hint="default"/>
      </w:rPr>
    </w:lvl>
    <w:lvl w:ilvl="4">
      <w:start w:val="1"/>
      <w:numFmt w:val="none"/>
      <w:lvlText w:val=""/>
      <w:lvlJc w:val="left"/>
      <w:pPr>
        <w:tabs>
          <w:tab w:pos="360" w:val="num"/>
        </w:tabs>
        <w:ind w:hanging="360" w:left="360"/>
      </w:pPr>
      <w:rPr>
        <w:rFonts w:hint="default"/>
      </w:rPr>
    </w:lvl>
    <w:lvl w:ilvl="5">
      <w:start w:val="1"/>
      <w:numFmt w:val="none"/>
      <w:lvlText w:val=""/>
      <w:lvlJc w:val="left"/>
      <w:pPr>
        <w:tabs>
          <w:tab w:pos="360" w:val="num"/>
        </w:tabs>
        <w:ind w:hanging="360" w:left="360"/>
      </w:pPr>
      <w:rPr>
        <w:rFonts w:hint="default"/>
      </w:rPr>
    </w:lvl>
    <w:lvl w:ilvl="6">
      <w:start w:val="1"/>
      <w:numFmt w:val="none"/>
      <w:lvlText w:val=""/>
      <w:lvlJc w:val="left"/>
      <w:pPr>
        <w:tabs>
          <w:tab w:pos="360" w:val="num"/>
        </w:tabs>
        <w:ind w:hanging="360" w:left="360"/>
      </w:pPr>
      <w:rPr>
        <w:rFonts w:hint="default"/>
      </w:rPr>
    </w:lvl>
    <w:lvl w:ilvl="7">
      <w:start w:val="1"/>
      <w:numFmt w:val="none"/>
      <w:lvlText w:val=""/>
      <w:lvlJc w:val="left"/>
      <w:pPr>
        <w:tabs>
          <w:tab w:pos="360" w:val="num"/>
        </w:tabs>
        <w:ind w:hanging="360" w:left="360"/>
      </w:pPr>
      <w:rPr>
        <w:rFonts w:hint="default"/>
      </w:rPr>
    </w:lvl>
    <w:lvl w:ilvl="8">
      <w:start w:val="1"/>
      <w:numFmt w:val="none"/>
      <w:lvlText w:val=""/>
      <w:lvlJc w:val="left"/>
      <w:pPr>
        <w:tabs>
          <w:tab w:pos="360" w:val="num"/>
        </w:tabs>
        <w:ind w:hanging="360" w:left="360"/>
      </w:pPr>
      <w:rPr>
        <w:rFonts w:hint="default"/>
      </w:rPr>
    </w:lvl>
  </w:abstractNum>
  <w:abstractNum w15:restartNumberingAfterBreak="0" w:abstractNumId="18">
    <w:nsid w:val="2FAC2485"/>
    <w:multiLevelType w:val="multilevel"/>
    <w:tmpl w:val="176272B6"/>
    <w:numStyleLink w:val="SRKTableFootnotes"/>
  </w:abstractNum>
  <w:abstractNum w15:restartNumberingAfterBreak="0" w:abstractNumId="19">
    <w:nsid w:val="34196550"/>
    <w:multiLevelType w:val="multilevel"/>
    <w:tmpl w:val="C0AE54D4"/>
    <w:styleLink w:val="CurrentList1"/>
    <w:lvl w:ilvl="0">
      <w:start w:val="1"/>
      <w:numFmt w:val="bullet"/>
      <w:lvlText w:val="▪"/>
      <w:lvlJc w:val="left"/>
      <w:pPr>
        <w:ind w:hanging="360" w:left="1440"/>
      </w:pPr>
      <w:rPr>
        <w:rFonts w:ascii="Aptos SemiBold" w:hAnsi="Aptos SemiBold" w:hint="default"/>
        <w:color w:themeColor="accent2" w:val="AEAEAE"/>
      </w:rPr>
    </w:lvl>
    <w:lvl w:ilvl="1">
      <w:start w:val="1"/>
      <w:numFmt w:val="bullet"/>
      <w:lvlText w:val="–"/>
      <w:lvlJc w:val="left"/>
      <w:pPr>
        <w:ind w:hanging="360" w:left="1800"/>
      </w:pPr>
      <w:rPr>
        <w:rFonts w:ascii="Aptos SemiBold" w:hAnsi="Aptos SemiBold" w:hint="default"/>
        <w:color w:themeColor="accent2" w:val="AEAEAE"/>
      </w:rPr>
    </w:lvl>
    <w:lvl w:ilvl="2">
      <w:start w:val="1"/>
      <w:numFmt w:val="bullet"/>
      <w:lvlText w:val="▪"/>
      <w:lvlJc w:val="left"/>
      <w:pPr>
        <w:ind w:hanging="360" w:left="2160"/>
      </w:pPr>
      <w:rPr>
        <w:rFonts w:ascii="Aptos SemiBold" w:hAnsi="Aptos SemiBold" w:hint="default"/>
        <w:color w:themeColor="accent2" w:val="AEAEAE"/>
      </w:rPr>
    </w:lvl>
    <w:lvl w:ilvl="3">
      <w:start w:val="1"/>
      <w:numFmt w:val="bullet"/>
      <w:lvlText w:val="–"/>
      <w:lvlJc w:val="left"/>
      <w:pPr>
        <w:ind w:hanging="360" w:left="2520"/>
      </w:pPr>
      <w:rPr>
        <w:rFonts w:ascii="Aptos SemiBold" w:hAnsi="Aptos SemiBold" w:hint="default"/>
        <w:color w:themeColor="accent2" w:val="AEAEAE"/>
      </w:rPr>
    </w:lvl>
    <w:lvl w:ilvl="4">
      <w:start w:val="1"/>
      <w:numFmt w:val="bullet"/>
      <w:lvlText w:val="▪"/>
      <w:lvlJc w:val="left"/>
      <w:pPr>
        <w:ind w:hanging="360" w:left="2880"/>
      </w:pPr>
      <w:rPr>
        <w:rFonts w:ascii="Aptos SemiBold" w:hAnsi="Aptos SemiBold" w:hint="default"/>
        <w:color w:themeColor="accent2" w:val="AEAEAE"/>
      </w:rPr>
    </w:lvl>
    <w:lvl w:ilvl="5">
      <w:start w:val="1"/>
      <w:numFmt w:val="none"/>
      <w:lvlText w:val=""/>
      <w:lvlJc w:val="left"/>
      <w:pPr>
        <w:ind w:hanging="360" w:left="3240"/>
      </w:pPr>
      <w:rPr>
        <w:rFonts w:hint="default"/>
      </w:rPr>
    </w:lvl>
    <w:lvl w:ilvl="6">
      <w:start w:val="1"/>
      <w:numFmt w:val="none"/>
      <w:lvlText w:val=""/>
      <w:lvlJc w:val="left"/>
      <w:pPr>
        <w:ind w:hanging="360" w:left="3600"/>
      </w:pPr>
      <w:rPr>
        <w:rFonts w:hint="default"/>
      </w:rPr>
    </w:lvl>
    <w:lvl w:ilvl="7">
      <w:start w:val="1"/>
      <w:numFmt w:val="none"/>
      <w:lvlText w:val=""/>
      <w:lvlJc w:val="left"/>
      <w:pPr>
        <w:ind w:hanging="360" w:left="3960"/>
      </w:pPr>
      <w:rPr>
        <w:rFonts w:hint="default"/>
      </w:rPr>
    </w:lvl>
    <w:lvl w:ilvl="8">
      <w:start w:val="1"/>
      <w:numFmt w:val="none"/>
      <w:lvlText w:val=""/>
      <w:lvlJc w:val="left"/>
      <w:pPr>
        <w:ind w:hanging="360" w:left="4320"/>
      </w:pPr>
      <w:rPr>
        <w:rFonts w:hint="default"/>
      </w:rPr>
    </w:lvl>
  </w:abstractNum>
  <w:abstractNum w15:restartNumberingAfterBreak="0" w:abstractNumId="20">
    <w:nsid w:val="39E00228"/>
    <w:multiLevelType w:val="multilevel"/>
    <w:tmpl w:val="24868AC4"/>
    <w:lvl w:ilvl="0">
      <w:start w:val="1"/>
      <w:numFmt w:val="bullet"/>
      <w:lvlText w:val="▪"/>
      <w:lvlJc w:val="left"/>
      <w:pPr>
        <w:ind w:hanging="360" w:left="1440"/>
      </w:pPr>
      <w:rPr>
        <w:rFonts w:ascii="Aptos SemiBold" w:hAnsi="Aptos SemiBold" w:hint="default"/>
        <w:color w:themeColor="accent2" w:val="AEAEAE"/>
      </w:rPr>
    </w:lvl>
    <w:lvl w:ilvl="1">
      <w:start w:val="1"/>
      <w:numFmt w:val="bullet"/>
      <w:lvlText w:val="–"/>
      <w:lvlJc w:val="left"/>
      <w:pPr>
        <w:ind w:hanging="360" w:left="1800"/>
      </w:pPr>
      <w:rPr>
        <w:rFonts w:ascii="Aptos SemiBold" w:hAnsi="Aptos SemiBold" w:hint="default"/>
        <w:color w:themeColor="accent2" w:val="AEAEAE"/>
      </w:rPr>
    </w:lvl>
    <w:lvl w:ilvl="2">
      <w:start w:val="1"/>
      <w:numFmt w:val="bullet"/>
      <w:lvlText w:val="▪"/>
      <w:lvlJc w:val="left"/>
      <w:pPr>
        <w:ind w:hanging="360" w:left="2160"/>
      </w:pPr>
      <w:rPr>
        <w:rFonts w:ascii="Aptos SemiBold" w:hAnsi="Aptos SemiBold" w:hint="default"/>
        <w:color w:themeColor="accent2" w:val="AEAEAE"/>
      </w:rPr>
    </w:lvl>
    <w:lvl w:ilvl="3">
      <w:start w:val="1"/>
      <w:numFmt w:val="bullet"/>
      <w:lvlText w:val="–"/>
      <w:lvlJc w:val="left"/>
      <w:pPr>
        <w:ind w:hanging="360" w:left="2520"/>
      </w:pPr>
      <w:rPr>
        <w:rFonts w:ascii="Aptos SemiBold" w:hAnsi="Aptos SemiBold" w:hint="default"/>
        <w:color w:themeColor="accent2" w:val="AEAEAE"/>
      </w:rPr>
    </w:lvl>
    <w:lvl w:ilvl="4">
      <w:start w:val="1"/>
      <w:numFmt w:val="bullet"/>
      <w:lvlText w:val="▪"/>
      <w:lvlJc w:val="left"/>
      <w:pPr>
        <w:ind w:hanging="360" w:left="2880"/>
      </w:pPr>
      <w:rPr>
        <w:rFonts w:ascii="Aptos SemiBold" w:hAnsi="Aptos SemiBold" w:hint="default"/>
        <w:color w:themeColor="accent2" w:val="AEAEAE"/>
      </w:rPr>
    </w:lvl>
    <w:lvl w:ilvl="5">
      <w:start w:val="1"/>
      <w:numFmt w:val="none"/>
      <w:lvlText w:val=""/>
      <w:lvlJc w:val="left"/>
      <w:pPr>
        <w:ind w:hanging="360" w:left="3240"/>
      </w:pPr>
      <w:rPr>
        <w:rFonts w:hint="default"/>
      </w:rPr>
    </w:lvl>
    <w:lvl w:ilvl="6">
      <w:start w:val="1"/>
      <w:numFmt w:val="none"/>
      <w:lvlText w:val=""/>
      <w:lvlJc w:val="left"/>
      <w:pPr>
        <w:ind w:hanging="360" w:left="3600"/>
      </w:pPr>
      <w:rPr>
        <w:rFonts w:hint="default"/>
      </w:rPr>
    </w:lvl>
    <w:lvl w:ilvl="7">
      <w:start w:val="1"/>
      <w:numFmt w:val="none"/>
      <w:lvlText w:val=""/>
      <w:lvlJc w:val="left"/>
      <w:pPr>
        <w:ind w:hanging="360" w:left="3960"/>
      </w:pPr>
      <w:rPr>
        <w:rFonts w:hint="default"/>
      </w:rPr>
    </w:lvl>
    <w:lvl w:ilvl="8">
      <w:start w:val="1"/>
      <w:numFmt w:val="none"/>
      <w:lvlText w:val=""/>
      <w:lvlJc w:val="left"/>
      <w:pPr>
        <w:ind w:hanging="360" w:left="4320"/>
      </w:pPr>
      <w:rPr>
        <w:rFonts w:hint="default"/>
      </w:rPr>
    </w:lvl>
  </w:abstractNum>
  <w:abstractNum w15:restartNumberingAfterBreak="0" w:abstractNumId="21">
    <w:nsid w:val="3A6F70D9"/>
    <w:multiLevelType w:val="hybridMultilevel"/>
    <w:tmpl w:val="034CDC6E"/>
    <w:lvl w:ilvl="0" w:tplc="03A2C670">
      <w:start w:val="1"/>
      <w:numFmt w:val="decimal"/>
      <w:lvlText w:val="%1."/>
      <w:lvlJc w:val="left"/>
      <w:pPr>
        <w:ind w:hanging="360" w:left="720"/>
      </w:pPr>
    </w:lvl>
    <w:lvl w:ilvl="1" w:tplc="5E7C4B2C">
      <w:start w:val="1"/>
      <w:numFmt w:val="decimal"/>
      <w:lvlText w:val="%2."/>
      <w:lvlJc w:val="left"/>
      <w:pPr>
        <w:ind w:hanging="360" w:left="720"/>
      </w:pPr>
    </w:lvl>
    <w:lvl w:ilvl="2" w:tplc="2B36462C">
      <w:start w:val="1"/>
      <w:numFmt w:val="decimal"/>
      <w:lvlText w:val="%3."/>
      <w:lvlJc w:val="left"/>
      <w:pPr>
        <w:ind w:hanging="360" w:left="720"/>
      </w:pPr>
    </w:lvl>
    <w:lvl w:ilvl="3" w:tplc="9546016C">
      <w:start w:val="1"/>
      <w:numFmt w:val="decimal"/>
      <w:lvlText w:val="%4."/>
      <w:lvlJc w:val="left"/>
      <w:pPr>
        <w:ind w:hanging="360" w:left="720"/>
      </w:pPr>
    </w:lvl>
    <w:lvl w:ilvl="4" w:tplc="E048E620">
      <w:start w:val="1"/>
      <w:numFmt w:val="decimal"/>
      <w:lvlText w:val="%5."/>
      <w:lvlJc w:val="left"/>
      <w:pPr>
        <w:ind w:hanging="360" w:left="720"/>
      </w:pPr>
    </w:lvl>
    <w:lvl w:ilvl="5" w:tplc="F828C000">
      <w:start w:val="1"/>
      <w:numFmt w:val="decimal"/>
      <w:lvlText w:val="%6."/>
      <w:lvlJc w:val="left"/>
      <w:pPr>
        <w:ind w:hanging="360" w:left="720"/>
      </w:pPr>
    </w:lvl>
    <w:lvl w:ilvl="6" w:tplc="73CCB68A">
      <w:start w:val="1"/>
      <w:numFmt w:val="decimal"/>
      <w:lvlText w:val="%7."/>
      <w:lvlJc w:val="left"/>
      <w:pPr>
        <w:ind w:hanging="360" w:left="720"/>
      </w:pPr>
    </w:lvl>
    <w:lvl w:ilvl="7" w:tplc="5D7CBC66">
      <w:start w:val="1"/>
      <w:numFmt w:val="decimal"/>
      <w:lvlText w:val="%8."/>
      <w:lvlJc w:val="left"/>
      <w:pPr>
        <w:ind w:hanging="360" w:left="720"/>
      </w:pPr>
    </w:lvl>
    <w:lvl w:ilvl="8" w:tplc="0AFEF98C">
      <w:start w:val="1"/>
      <w:numFmt w:val="decimal"/>
      <w:lvlText w:val="%9."/>
      <w:lvlJc w:val="left"/>
      <w:pPr>
        <w:ind w:hanging="360" w:left="720"/>
      </w:pPr>
    </w:lvl>
  </w:abstractNum>
  <w:abstractNum w15:restartNumberingAfterBreak="0" w:abstractNumId="22">
    <w:nsid w:val="3EE35ABB"/>
    <w:multiLevelType w:val="multilevel"/>
    <w:tmpl w:val="176272B6"/>
    <w:numStyleLink w:val="SRKTableFootnotes"/>
  </w:abstractNum>
  <w:abstractNum w15:restartNumberingAfterBreak="0" w:abstractNumId="23">
    <w:nsid w:val="403D34D3"/>
    <w:multiLevelType w:val="multilevel"/>
    <w:tmpl w:val="49B888CC"/>
    <w:lvl w:ilvl="0">
      <w:start w:val="1"/>
      <w:numFmt w:val="decimal"/>
      <w:pStyle w:val="TableNumberList"/>
      <w:lvlText w:val="%1."/>
      <w:lvlJc w:val="left"/>
      <w:pPr>
        <w:ind w:hanging="288" w:left="288"/>
      </w:pPr>
      <w:rPr>
        <w:rFonts w:hint="default"/>
      </w:rPr>
    </w:lvl>
    <w:lvl w:ilvl="1">
      <w:start w:val="1"/>
      <w:numFmt w:val="lowerLetter"/>
      <w:pStyle w:val="TableNumberList2"/>
      <w:lvlText w:val="%2."/>
      <w:lvlJc w:val="left"/>
      <w:pPr>
        <w:ind w:hanging="288" w:left="576"/>
      </w:pPr>
      <w:rPr>
        <w:rFonts w:hint="default"/>
      </w:rPr>
    </w:lvl>
    <w:lvl w:ilvl="2">
      <w:start w:val="1"/>
      <w:numFmt w:val="decimal"/>
      <w:pStyle w:val="TableNumberList3"/>
      <w:lvlText w:val="%3."/>
      <w:lvlJc w:val="left"/>
      <w:pPr>
        <w:ind w:hanging="288" w:left="864"/>
      </w:pPr>
      <w:rPr>
        <w:rFonts w:hint="default"/>
      </w:rPr>
    </w:lvl>
    <w:lvl w:ilvl="3">
      <w:start w:val="1"/>
      <w:numFmt w:val="none"/>
      <w:lvlText w:val=""/>
      <w:lvlJc w:val="left"/>
      <w:pPr>
        <w:ind w:hanging="288" w:left="864"/>
      </w:pPr>
      <w:rPr>
        <w:rFonts w:hint="default"/>
      </w:rPr>
    </w:lvl>
    <w:lvl w:ilvl="4">
      <w:start w:val="1"/>
      <w:numFmt w:val="none"/>
      <w:lvlText w:val=""/>
      <w:lvlJc w:val="left"/>
      <w:pPr>
        <w:ind w:hanging="288" w:left="864"/>
      </w:pPr>
      <w:rPr>
        <w:rFonts w:hint="default"/>
      </w:rPr>
    </w:lvl>
    <w:lvl w:ilvl="5">
      <w:start w:val="1"/>
      <w:numFmt w:val="none"/>
      <w:lvlText w:val=""/>
      <w:lvlJc w:val="left"/>
      <w:pPr>
        <w:ind w:hanging="288" w:left="864"/>
      </w:pPr>
      <w:rPr>
        <w:rFonts w:hint="default"/>
      </w:rPr>
    </w:lvl>
    <w:lvl w:ilvl="6">
      <w:start w:val="1"/>
      <w:numFmt w:val="none"/>
      <w:lvlText w:val=""/>
      <w:lvlJc w:val="left"/>
      <w:pPr>
        <w:ind w:hanging="288" w:left="864"/>
      </w:pPr>
      <w:rPr>
        <w:rFonts w:hint="default"/>
      </w:rPr>
    </w:lvl>
    <w:lvl w:ilvl="7">
      <w:start w:val="1"/>
      <w:numFmt w:val="none"/>
      <w:lvlText w:val=""/>
      <w:lvlJc w:val="left"/>
      <w:pPr>
        <w:ind w:hanging="288" w:left="864"/>
      </w:pPr>
      <w:rPr>
        <w:rFonts w:hint="default"/>
      </w:rPr>
    </w:lvl>
    <w:lvl w:ilvl="8">
      <w:start w:val="1"/>
      <w:numFmt w:val="none"/>
      <w:lvlText w:val=""/>
      <w:lvlJc w:val="left"/>
      <w:pPr>
        <w:ind w:hanging="288" w:left="864"/>
      </w:pPr>
      <w:rPr>
        <w:rFonts w:hint="default"/>
      </w:rPr>
    </w:lvl>
  </w:abstractNum>
  <w:abstractNum w15:restartNumberingAfterBreak="0" w:abstractNumId="24">
    <w:nsid w:val="42F33629"/>
    <w:multiLevelType w:val="multilevel"/>
    <w:tmpl w:val="7F30ECA4"/>
    <w:styleLink w:val="CurrentList5"/>
    <w:lvl w:ilvl="0">
      <w:start w:val="1"/>
      <w:numFmt w:val="decimal"/>
      <w:lvlText w:val="%1."/>
      <w:lvlJc w:val="left"/>
      <w:pPr>
        <w:ind w:hanging="360" w:left="360"/>
      </w:pPr>
      <w:rPr>
        <w:rFonts w:hint="default"/>
        <w:color w:themeColor="accent2" w:val="AEAEAE"/>
      </w:rPr>
    </w:lvl>
    <w:lvl w:ilvl="1">
      <w:start w:val="1"/>
      <w:numFmt w:val="none"/>
      <w:lvlText w:val=""/>
      <w:lvlJc w:val="left"/>
      <w:pPr>
        <w:ind w:hanging="360" w:left="360"/>
      </w:pPr>
      <w:rPr>
        <w:rFonts w:hint="default"/>
      </w:rPr>
    </w:lvl>
    <w:lvl w:ilvl="2">
      <w:start w:val="1"/>
      <w:numFmt w:val="none"/>
      <w:lvlText w:val=""/>
      <w:lvlJc w:val="left"/>
      <w:pPr>
        <w:ind w:hanging="360" w:left="360"/>
      </w:pPr>
      <w:rPr>
        <w:rFonts w:hint="default"/>
      </w:rPr>
    </w:lvl>
    <w:lvl w:ilvl="3">
      <w:start w:val="1"/>
      <w:numFmt w:val="none"/>
      <w:lvlText w:val=""/>
      <w:lvlJc w:val="left"/>
      <w:pPr>
        <w:ind w:hanging="360" w:left="360"/>
      </w:pPr>
      <w:rPr>
        <w:rFonts w:hint="default"/>
      </w:rPr>
    </w:lvl>
    <w:lvl w:ilvl="4">
      <w:start w:val="1"/>
      <w:numFmt w:val="none"/>
      <w:lvlText w:val=""/>
      <w:lvlJc w:val="left"/>
      <w:pPr>
        <w:ind w:hanging="360" w:left="360"/>
      </w:pPr>
      <w:rPr>
        <w:rFonts w:hint="default"/>
      </w:rPr>
    </w:lvl>
    <w:lvl w:ilvl="5">
      <w:start w:val="1"/>
      <w:numFmt w:val="none"/>
      <w:lvlText w:val=""/>
      <w:lvlJc w:val="left"/>
      <w:pPr>
        <w:ind w:hanging="360" w:left="360"/>
      </w:pPr>
      <w:rPr>
        <w:rFonts w:hint="default"/>
      </w:rPr>
    </w:lvl>
    <w:lvl w:ilvl="6">
      <w:start w:val="1"/>
      <w:numFmt w:val="none"/>
      <w:lvlText w:val=""/>
      <w:lvlJc w:val="left"/>
      <w:pPr>
        <w:ind w:hanging="360" w:left="360"/>
      </w:pPr>
      <w:rPr>
        <w:rFonts w:hint="default"/>
      </w:rPr>
    </w:lvl>
    <w:lvl w:ilvl="7">
      <w:start w:val="1"/>
      <w:numFmt w:val="none"/>
      <w:lvlText w:val=""/>
      <w:lvlJc w:val="left"/>
      <w:pPr>
        <w:ind w:hanging="360" w:left="360"/>
      </w:pPr>
      <w:rPr>
        <w:rFonts w:hint="default"/>
      </w:rPr>
    </w:lvl>
    <w:lvl w:ilvl="8">
      <w:start w:val="1"/>
      <w:numFmt w:val="none"/>
      <w:lvlText w:val=""/>
      <w:lvlJc w:val="left"/>
      <w:pPr>
        <w:ind w:hanging="360" w:left="360"/>
      </w:pPr>
      <w:rPr>
        <w:rFonts w:hint="default"/>
      </w:rPr>
    </w:lvl>
  </w:abstractNum>
  <w:abstractNum w15:restartNumberingAfterBreak="0" w:abstractNumId="25">
    <w:nsid w:val="49A513B0"/>
    <w:multiLevelType w:val="hybridMultilevel"/>
    <w:tmpl w:val="FA6472BC"/>
    <w:lvl w:ilvl="0" w:tplc="2862B7CE">
      <w:start w:val="1"/>
      <w:numFmt w:val="decimal"/>
      <w:lvlText w:val="%1."/>
      <w:lvlJc w:val="left"/>
      <w:pPr>
        <w:ind w:hanging="360" w:left="720"/>
      </w:pPr>
    </w:lvl>
    <w:lvl w:ilvl="1" w:tplc="F5BCBA42">
      <w:start w:val="1"/>
      <w:numFmt w:val="decimal"/>
      <w:lvlText w:val="%2."/>
      <w:lvlJc w:val="left"/>
      <w:pPr>
        <w:ind w:hanging="360" w:left="720"/>
      </w:pPr>
    </w:lvl>
    <w:lvl w:ilvl="2" w:tplc="F42E0B92">
      <w:start w:val="1"/>
      <w:numFmt w:val="decimal"/>
      <w:lvlText w:val="%3."/>
      <w:lvlJc w:val="left"/>
      <w:pPr>
        <w:ind w:hanging="360" w:left="720"/>
      </w:pPr>
    </w:lvl>
    <w:lvl w:ilvl="3" w:tplc="2398DD1C">
      <w:start w:val="1"/>
      <w:numFmt w:val="decimal"/>
      <w:lvlText w:val="%4."/>
      <w:lvlJc w:val="left"/>
      <w:pPr>
        <w:ind w:hanging="360" w:left="720"/>
      </w:pPr>
    </w:lvl>
    <w:lvl w:ilvl="4" w:tplc="26C0D72A">
      <w:start w:val="1"/>
      <w:numFmt w:val="decimal"/>
      <w:lvlText w:val="%5."/>
      <w:lvlJc w:val="left"/>
      <w:pPr>
        <w:ind w:hanging="360" w:left="720"/>
      </w:pPr>
    </w:lvl>
    <w:lvl w:ilvl="5" w:tplc="FDF08EDC">
      <w:start w:val="1"/>
      <w:numFmt w:val="decimal"/>
      <w:lvlText w:val="%6."/>
      <w:lvlJc w:val="left"/>
      <w:pPr>
        <w:ind w:hanging="360" w:left="720"/>
      </w:pPr>
    </w:lvl>
    <w:lvl w:ilvl="6" w:tplc="17F44372">
      <w:start w:val="1"/>
      <w:numFmt w:val="decimal"/>
      <w:lvlText w:val="%7."/>
      <w:lvlJc w:val="left"/>
      <w:pPr>
        <w:ind w:hanging="360" w:left="720"/>
      </w:pPr>
    </w:lvl>
    <w:lvl w:ilvl="7" w:tplc="EE3AB0DA">
      <w:start w:val="1"/>
      <w:numFmt w:val="decimal"/>
      <w:lvlText w:val="%8."/>
      <w:lvlJc w:val="left"/>
      <w:pPr>
        <w:ind w:hanging="360" w:left="720"/>
      </w:pPr>
    </w:lvl>
    <w:lvl w:ilvl="8" w:tplc="399C98E6">
      <w:start w:val="1"/>
      <w:numFmt w:val="decimal"/>
      <w:lvlText w:val="%9."/>
      <w:lvlJc w:val="left"/>
      <w:pPr>
        <w:ind w:hanging="360" w:left="720"/>
      </w:pPr>
    </w:lvl>
  </w:abstractNum>
  <w:abstractNum w15:restartNumberingAfterBreak="0" w:abstractNumId="26">
    <w:nsid w:val="4E695031"/>
    <w:multiLevelType w:val="multilevel"/>
    <w:tmpl w:val="C0AE54D4"/>
    <w:styleLink w:val="CurrentList2"/>
    <w:lvl w:ilvl="0">
      <w:start w:val="1"/>
      <w:numFmt w:val="bullet"/>
      <w:lvlText w:val="▪"/>
      <w:lvlJc w:val="left"/>
      <w:pPr>
        <w:ind w:hanging="360" w:left="1440"/>
      </w:pPr>
      <w:rPr>
        <w:rFonts w:ascii="Aptos SemiBold" w:hAnsi="Aptos SemiBold" w:hint="default"/>
        <w:color w:themeColor="accent2" w:val="AEAEAE"/>
      </w:rPr>
    </w:lvl>
    <w:lvl w:ilvl="1">
      <w:start w:val="1"/>
      <w:numFmt w:val="bullet"/>
      <w:lvlText w:val="–"/>
      <w:lvlJc w:val="left"/>
      <w:pPr>
        <w:ind w:hanging="360" w:left="1800"/>
      </w:pPr>
      <w:rPr>
        <w:rFonts w:ascii="Aptos SemiBold" w:hAnsi="Aptos SemiBold" w:hint="default"/>
        <w:color w:themeColor="accent2" w:val="AEAEAE"/>
      </w:rPr>
    </w:lvl>
    <w:lvl w:ilvl="2">
      <w:start w:val="1"/>
      <w:numFmt w:val="bullet"/>
      <w:lvlText w:val="▪"/>
      <w:lvlJc w:val="left"/>
      <w:pPr>
        <w:ind w:hanging="360" w:left="2160"/>
      </w:pPr>
      <w:rPr>
        <w:rFonts w:ascii="Aptos SemiBold" w:hAnsi="Aptos SemiBold" w:hint="default"/>
        <w:color w:themeColor="accent2" w:val="AEAEAE"/>
      </w:rPr>
    </w:lvl>
    <w:lvl w:ilvl="3">
      <w:start w:val="1"/>
      <w:numFmt w:val="bullet"/>
      <w:lvlText w:val="–"/>
      <w:lvlJc w:val="left"/>
      <w:pPr>
        <w:ind w:hanging="360" w:left="2520"/>
      </w:pPr>
      <w:rPr>
        <w:rFonts w:ascii="Aptos SemiBold" w:hAnsi="Aptos SemiBold" w:hint="default"/>
        <w:color w:themeColor="accent2" w:val="AEAEAE"/>
      </w:rPr>
    </w:lvl>
    <w:lvl w:ilvl="4">
      <w:start w:val="1"/>
      <w:numFmt w:val="bullet"/>
      <w:lvlText w:val="▪"/>
      <w:lvlJc w:val="left"/>
      <w:pPr>
        <w:ind w:hanging="360" w:left="2880"/>
      </w:pPr>
      <w:rPr>
        <w:rFonts w:ascii="Aptos SemiBold" w:hAnsi="Aptos SemiBold" w:hint="default"/>
        <w:color w:themeColor="accent2" w:val="AEAEAE"/>
      </w:rPr>
    </w:lvl>
    <w:lvl w:ilvl="5">
      <w:start w:val="1"/>
      <w:numFmt w:val="none"/>
      <w:lvlText w:val=""/>
      <w:lvlJc w:val="left"/>
      <w:pPr>
        <w:ind w:hanging="360" w:left="3240"/>
      </w:pPr>
      <w:rPr>
        <w:rFonts w:hint="default"/>
      </w:rPr>
    </w:lvl>
    <w:lvl w:ilvl="6">
      <w:start w:val="1"/>
      <w:numFmt w:val="none"/>
      <w:lvlText w:val=""/>
      <w:lvlJc w:val="left"/>
      <w:pPr>
        <w:ind w:hanging="360" w:left="3600"/>
      </w:pPr>
      <w:rPr>
        <w:rFonts w:hint="default"/>
      </w:rPr>
    </w:lvl>
    <w:lvl w:ilvl="7">
      <w:start w:val="1"/>
      <w:numFmt w:val="none"/>
      <w:lvlText w:val=""/>
      <w:lvlJc w:val="left"/>
      <w:pPr>
        <w:ind w:hanging="360" w:left="3960"/>
      </w:pPr>
      <w:rPr>
        <w:rFonts w:hint="default"/>
      </w:rPr>
    </w:lvl>
    <w:lvl w:ilvl="8">
      <w:start w:val="1"/>
      <w:numFmt w:val="none"/>
      <w:lvlText w:val=""/>
      <w:lvlJc w:val="left"/>
      <w:pPr>
        <w:ind w:hanging="360" w:left="4320"/>
      </w:pPr>
      <w:rPr>
        <w:rFonts w:hint="default"/>
      </w:rPr>
    </w:lvl>
  </w:abstractNum>
  <w:abstractNum w15:restartNumberingAfterBreak="0" w:abstractNumId="27">
    <w:nsid w:val="53104405"/>
    <w:multiLevelType w:val="hybridMultilevel"/>
    <w:tmpl w:val="8C90D7EC"/>
    <w:lvl w:ilvl="0" w:tplc="2DC40B16">
      <w:start w:val="1"/>
      <w:numFmt w:val="decimal"/>
      <w:lvlText w:val="%1."/>
      <w:lvlJc w:val="left"/>
      <w:pPr>
        <w:ind w:hanging="360" w:left="720"/>
      </w:pPr>
    </w:lvl>
    <w:lvl w:ilvl="1" w:tplc="AEB26708">
      <w:start w:val="1"/>
      <w:numFmt w:val="decimal"/>
      <w:lvlText w:val="%2."/>
      <w:lvlJc w:val="left"/>
      <w:pPr>
        <w:ind w:hanging="360" w:left="720"/>
      </w:pPr>
    </w:lvl>
    <w:lvl w:ilvl="2" w:tplc="14A451C8">
      <w:start w:val="1"/>
      <w:numFmt w:val="decimal"/>
      <w:lvlText w:val="%3."/>
      <w:lvlJc w:val="left"/>
      <w:pPr>
        <w:ind w:hanging="360" w:left="720"/>
      </w:pPr>
    </w:lvl>
    <w:lvl w:ilvl="3" w:tplc="FF38A6DE">
      <w:start w:val="1"/>
      <w:numFmt w:val="decimal"/>
      <w:lvlText w:val="%4."/>
      <w:lvlJc w:val="left"/>
      <w:pPr>
        <w:ind w:hanging="360" w:left="720"/>
      </w:pPr>
    </w:lvl>
    <w:lvl w:ilvl="4" w:tplc="FFFA9FB2">
      <w:start w:val="1"/>
      <w:numFmt w:val="decimal"/>
      <w:lvlText w:val="%5."/>
      <w:lvlJc w:val="left"/>
      <w:pPr>
        <w:ind w:hanging="360" w:left="720"/>
      </w:pPr>
    </w:lvl>
    <w:lvl w:ilvl="5" w:tplc="1968F3EC">
      <w:start w:val="1"/>
      <w:numFmt w:val="decimal"/>
      <w:lvlText w:val="%6."/>
      <w:lvlJc w:val="left"/>
      <w:pPr>
        <w:ind w:hanging="360" w:left="720"/>
      </w:pPr>
    </w:lvl>
    <w:lvl w:ilvl="6" w:tplc="4E0C9D28">
      <w:start w:val="1"/>
      <w:numFmt w:val="decimal"/>
      <w:lvlText w:val="%7."/>
      <w:lvlJc w:val="left"/>
      <w:pPr>
        <w:ind w:hanging="360" w:left="720"/>
      </w:pPr>
    </w:lvl>
    <w:lvl w:ilvl="7" w:tplc="8F52B3F8">
      <w:start w:val="1"/>
      <w:numFmt w:val="decimal"/>
      <w:lvlText w:val="%8."/>
      <w:lvlJc w:val="left"/>
      <w:pPr>
        <w:ind w:hanging="360" w:left="720"/>
      </w:pPr>
    </w:lvl>
    <w:lvl w:ilvl="8" w:tplc="DB8E55E4">
      <w:start w:val="1"/>
      <w:numFmt w:val="decimal"/>
      <w:lvlText w:val="%9."/>
      <w:lvlJc w:val="left"/>
      <w:pPr>
        <w:ind w:hanging="360" w:left="720"/>
      </w:pPr>
    </w:lvl>
  </w:abstractNum>
  <w:abstractNum w15:restartNumberingAfterBreak="0" w:abstractNumId="28">
    <w:nsid w:val="54760CD4"/>
    <w:multiLevelType w:val="hybridMultilevel"/>
    <w:tmpl w:val="B29A5EE8"/>
    <w:lvl w:ilvl="0" w:tplc="58C4E7DC">
      <w:start w:val="1"/>
      <w:numFmt w:val="decimal"/>
      <w:lvlText w:val="%1."/>
      <w:lvlJc w:val="left"/>
      <w:pPr>
        <w:ind w:hanging="360" w:left="720"/>
      </w:pPr>
    </w:lvl>
    <w:lvl w:ilvl="1" w:tplc="9ADC8DC0">
      <w:start w:val="1"/>
      <w:numFmt w:val="decimal"/>
      <w:lvlText w:val="%2."/>
      <w:lvlJc w:val="left"/>
      <w:pPr>
        <w:ind w:hanging="360" w:left="720"/>
      </w:pPr>
    </w:lvl>
    <w:lvl w:ilvl="2" w:tplc="91284F80">
      <w:start w:val="1"/>
      <w:numFmt w:val="decimal"/>
      <w:lvlText w:val="%3."/>
      <w:lvlJc w:val="left"/>
      <w:pPr>
        <w:ind w:hanging="360" w:left="720"/>
      </w:pPr>
    </w:lvl>
    <w:lvl w:ilvl="3" w:tplc="480ECBA0">
      <w:start w:val="1"/>
      <w:numFmt w:val="decimal"/>
      <w:lvlText w:val="%4."/>
      <w:lvlJc w:val="left"/>
      <w:pPr>
        <w:ind w:hanging="360" w:left="720"/>
      </w:pPr>
    </w:lvl>
    <w:lvl w:ilvl="4" w:tplc="394A1FDC">
      <w:start w:val="1"/>
      <w:numFmt w:val="decimal"/>
      <w:lvlText w:val="%5."/>
      <w:lvlJc w:val="left"/>
      <w:pPr>
        <w:ind w:hanging="360" w:left="720"/>
      </w:pPr>
    </w:lvl>
    <w:lvl w:ilvl="5" w:tplc="7B027956">
      <w:start w:val="1"/>
      <w:numFmt w:val="decimal"/>
      <w:lvlText w:val="%6."/>
      <w:lvlJc w:val="left"/>
      <w:pPr>
        <w:ind w:hanging="360" w:left="720"/>
      </w:pPr>
    </w:lvl>
    <w:lvl w:ilvl="6" w:tplc="39168CB8">
      <w:start w:val="1"/>
      <w:numFmt w:val="decimal"/>
      <w:lvlText w:val="%7."/>
      <w:lvlJc w:val="left"/>
      <w:pPr>
        <w:ind w:hanging="360" w:left="720"/>
      </w:pPr>
    </w:lvl>
    <w:lvl w:ilvl="7" w:tplc="E95044CE">
      <w:start w:val="1"/>
      <w:numFmt w:val="decimal"/>
      <w:lvlText w:val="%8."/>
      <w:lvlJc w:val="left"/>
      <w:pPr>
        <w:ind w:hanging="360" w:left="720"/>
      </w:pPr>
    </w:lvl>
    <w:lvl w:ilvl="8" w:tplc="0AD4BEDE">
      <w:start w:val="1"/>
      <w:numFmt w:val="decimal"/>
      <w:lvlText w:val="%9."/>
      <w:lvlJc w:val="left"/>
      <w:pPr>
        <w:ind w:hanging="360" w:left="720"/>
      </w:pPr>
    </w:lvl>
  </w:abstractNum>
  <w:abstractNum w15:restartNumberingAfterBreak="0" w:abstractNumId="29">
    <w:nsid w:val="554B737F"/>
    <w:multiLevelType w:val="multilevel"/>
    <w:tmpl w:val="09B0EE06"/>
    <w:lvl w:ilvl="0">
      <w:start w:val="1"/>
      <w:numFmt w:val="upperLetter"/>
      <w:pStyle w:val="Appx1Cover"/>
      <w:lvlText w:val="Appendix %1"/>
      <w:lvlJc w:val="left"/>
      <w:pPr>
        <w:ind w:hanging="2880" w:left="2880"/>
      </w:pPr>
      <w:rPr>
        <w:rFonts w:hint="default"/>
      </w:rPr>
    </w:lvl>
    <w:lvl w:ilvl="1">
      <w:start w:val="1"/>
      <w:numFmt w:val="decimal"/>
      <w:pStyle w:val="Appx2Cover"/>
      <w:lvlText w:val="Appendix %1.%2"/>
      <w:lvlJc w:val="left"/>
      <w:pPr>
        <w:ind w:hanging="2880" w:left="2880"/>
      </w:pPr>
      <w:rPr>
        <w:rFonts w:hint="default"/>
      </w:rPr>
    </w:lvl>
    <w:lvl w:ilvl="2">
      <w:start w:val="1"/>
      <w:numFmt w:val="none"/>
      <w:lvlText w:val=""/>
      <w:lvlJc w:val="left"/>
      <w:pPr>
        <w:ind w:firstLine="0" w:left="0"/>
      </w:pPr>
      <w:rPr>
        <w:rFonts w:hint="default"/>
      </w:rPr>
    </w:lvl>
    <w:lvl w:ilvl="3">
      <w:start w:val="1"/>
      <w:numFmt w:val="none"/>
      <w:lvlText w:val=""/>
      <w:lvlJc w:val="left"/>
      <w:pPr>
        <w:ind w:firstLine="0" w:left="0"/>
      </w:pPr>
      <w:rPr>
        <w:rFonts w:hint="default"/>
      </w:rPr>
    </w:lvl>
    <w:lvl w:ilvl="4">
      <w:start w:val="1"/>
      <w:numFmt w:val="none"/>
      <w:lvlText w:val=""/>
      <w:lvlJc w:val="left"/>
      <w:pPr>
        <w:ind w:firstLine="0" w:left="0"/>
      </w:pPr>
      <w:rPr>
        <w:rFonts w:hint="default"/>
      </w:rPr>
    </w:lvl>
    <w:lvl w:ilvl="5">
      <w:start w:val="1"/>
      <w:numFmt w:val="none"/>
      <w:lvlText w:val=""/>
      <w:lvlJc w:val="left"/>
      <w:pPr>
        <w:ind w:firstLine="0" w:left="0"/>
      </w:pPr>
      <w:rPr>
        <w:rFonts w:hint="default"/>
      </w:rPr>
    </w:lvl>
    <w:lvl w:ilvl="6">
      <w:start w:val="1"/>
      <w:numFmt w:val="none"/>
      <w:lvlText w:val=""/>
      <w:lvlJc w:val="left"/>
      <w:pPr>
        <w:ind w:firstLine="0" w:left="0"/>
      </w:pPr>
      <w:rPr>
        <w:rFonts w:hint="default"/>
      </w:rPr>
    </w:lvl>
    <w:lvl w:ilvl="7">
      <w:start w:val="1"/>
      <w:numFmt w:val="none"/>
      <w:lvlText w:val=""/>
      <w:lvlJc w:val="left"/>
      <w:pPr>
        <w:ind w:firstLine="0" w:left="0"/>
      </w:pPr>
      <w:rPr>
        <w:rFonts w:hint="default"/>
      </w:rPr>
    </w:lvl>
    <w:lvl w:ilvl="8">
      <w:start w:val="1"/>
      <w:numFmt w:val="none"/>
      <w:lvlText w:val=""/>
      <w:lvlJc w:val="left"/>
      <w:pPr>
        <w:ind w:firstLine="0" w:left="0"/>
      </w:pPr>
      <w:rPr>
        <w:rFonts w:hint="default"/>
      </w:rPr>
    </w:lvl>
  </w:abstractNum>
  <w:abstractNum w15:restartNumberingAfterBreak="0" w:abstractNumId="30">
    <w:nsid w:val="5B52312A"/>
    <w:multiLevelType w:val="multilevel"/>
    <w:tmpl w:val="CDA4BA36"/>
    <w:styleLink w:val="SRKTableFootnotesWide"/>
    <w:lvl w:ilvl="0">
      <w:start w:val="1"/>
      <w:numFmt w:val="decimal"/>
      <w:pStyle w:val="TableFootnoteWide"/>
      <w:lvlText w:val="%1."/>
      <w:lvlJc w:val="left"/>
      <w:pPr>
        <w:tabs>
          <w:tab w:pos="-1080" w:val="num"/>
        </w:tabs>
        <w:ind w:hanging="360" w:left="-1080"/>
      </w:pPr>
      <w:rPr>
        <w:rFonts w:hint="default"/>
        <w:color w:themeColor="text2" w:val="F37021"/>
      </w:rPr>
    </w:lvl>
    <w:lvl w:ilvl="1">
      <w:start w:val="1"/>
      <w:numFmt w:val="none"/>
      <w:lvlText w:val=""/>
      <w:lvlJc w:val="left"/>
      <w:pPr>
        <w:tabs>
          <w:tab w:pos="-1080" w:val="num"/>
        </w:tabs>
        <w:ind w:hanging="360" w:left="-1080"/>
      </w:pPr>
      <w:rPr>
        <w:rFonts w:hint="default"/>
      </w:rPr>
    </w:lvl>
    <w:lvl w:ilvl="2">
      <w:start w:val="1"/>
      <w:numFmt w:val="none"/>
      <w:lvlText w:val=""/>
      <w:lvlJc w:val="left"/>
      <w:pPr>
        <w:tabs>
          <w:tab w:pos="-1080" w:val="num"/>
        </w:tabs>
        <w:ind w:hanging="360" w:left="-1080"/>
      </w:pPr>
      <w:rPr>
        <w:rFonts w:hint="default"/>
      </w:rPr>
    </w:lvl>
    <w:lvl w:ilvl="3">
      <w:start w:val="1"/>
      <w:numFmt w:val="none"/>
      <w:lvlText w:val=""/>
      <w:lvlJc w:val="left"/>
      <w:pPr>
        <w:tabs>
          <w:tab w:pos="-1080" w:val="num"/>
        </w:tabs>
        <w:ind w:hanging="360" w:left="-1080"/>
      </w:pPr>
      <w:rPr>
        <w:rFonts w:hint="default"/>
      </w:rPr>
    </w:lvl>
    <w:lvl w:ilvl="4">
      <w:start w:val="1"/>
      <w:numFmt w:val="none"/>
      <w:lvlText w:val=""/>
      <w:lvlJc w:val="left"/>
      <w:pPr>
        <w:tabs>
          <w:tab w:pos="-1080" w:val="num"/>
        </w:tabs>
        <w:ind w:hanging="360" w:left="-1080"/>
      </w:pPr>
      <w:rPr>
        <w:rFonts w:hint="default"/>
      </w:rPr>
    </w:lvl>
    <w:lvl w:ilvl="5">
      <w:start w:val="1"/>
      <w:numFmt w:val="none"/>
      <w:lvlText w:val=""/>
      <w:lvlJc w:val="left"/>
      <w:pPr>
        <w:tabs>
          <w:tab w:pos="-1080" w:val="num"/>
        </w:tabs>
        <w:ind w:hanging="360" w:left="-1080"/>
      </w:pPr>
      <w:rPr>
        <w:rFonts w:hint="default"/>
      </w:rPr>
    </w:lvl>
    <w:lvl w:ilvl="6">
      <w:start w:val="1"/>
      <w:numFmt w:val="none"/>
      <w:lvlText w:val=""/>
      <w:lvlJc w:val="left"/>
      <w:pPr>
        <w:tabs>
          <w:tab w:pos="-1080" w:val="num"/>
        </w:tabs>
        <w:ind w:hanging="360" w:left="-1080"/>
      </w:pPr>
      <w:rPr>
        <w:rFonts w:hint="default"/>
      </w:rPr>
    </w:lvl>
    <w:lvl w:ilvl="7">
      <w:start w:val="1"/>
      <w:numFmt w:val="none"/>
      <w:lvlText w:val=""/>
      <w:lvlJc w:val="left"/>
      <w:pPr>
        <w:tabs>
          <w:tab w:pos="-1080" w:val="num"/>
        </w:tabs>
        <w:ind w:hanging="360" w:left="-1080"/>
      </w:pPr>
      <w:rPr>
        <w:rFonts w:hint="default"/>
      </w:rPr>
    </w:lvl>
    <w:lvl w:ilvl="8">
      <w:start w:val="1"/>
      <w:numFmt w:val="none"/>
      <w:lvlText w:val=""/>
      <w:lvlJc w:val="left"/>
      <w:pPr>
        <w:tabs>
          <w:tab w:pos="-1080" w:val="num"/>
        </w:tabs>
        <w:ind w:hanging="360" w:left="-1080"/>
      </w:pPr>
      <w:rPr>
        <w:rFonts w:hint="default"/>
      </w:rPr>
    </w:lvl>
  </w:abstractNum>
  <w:abstractNum w15:restartNumberingAfterBreak="0" w:abstractNumId="31">
    <w:nsid w:val="60B95CE3"/>
    <w:multiLevelType w:val="multilevel"/>
    <w:tmpl w:val="4BDE0F2A"/>
    <w:numStyleLink w:val="SRKNumberedList"/>
  </w:abstractNum>
  <w:abstractNum w15:restartNumberingAfterBreak="0" w:abstractNumId="32">
    <w:nsid w:val="67C83617"/>
    <w:multiLevelType w:val="multilevel"/>
    <w:tmpl w:val="4BDE0F2A"/>
    <w:styleLink w:val="SRKNumberedList"/>
    <w:lvl w:ilvl="0">
      <w:start w:val="1"/>
      <w:numFmt w:val="decimal"/>
      <w:pStyle w:val="ListNumber"/>
      <w:lvlText w:val="%1."/>
      <w:lvlJc w:val="left"/>
      <w:pPr>
        <w:tabs>
          <w:tab w:pos="360" w:val="num"/>
        </w:tabs>
        <w:ind w:hanging="360" w:left="360"/>
      </w:pPr>
      <w:rPr>
        <w:rFonts w:hint="default"/>
        <w:color w:themeColor="text2" w:val="F37021"/>
      </w:rPr>
    </w:lvl>
    <w:lvl w:ilvl="1">
      <w:start w:val="1"/>
      <w:numFmt w:val="lowerLetter"/>
      <w:pStyle w:val="ListNumber2"/>
      <w:lvlText w:val="%2."/>
      <w:lvlJc w:val="left"/>
      <w:pPr>
        <w:tabs>
          <w:tab w:pos="720" w:val="num"/>
        </w:tabs>
        <w:ind w:hanging="360" w:left="720"/>
      </w:pPr>
      <w:rPr>
        <w:rFonts w:hint="default"/>
        <w:color w:themeColor="text2" w:val="F37021"/>
      </w:rPr>
    </w:lvl>
    <w:lvl w:ilvl="2">
      <w:start w:val="1"/>
      <w:numFmt w:val="decimal"/>
      <w:pStyle w:val="ListNumber3"/>
      <w:lvlText w:val="%3."/>
      <w:lvlJc w:val="left"/>
      <w:pPr>
        <w:tabs>
          <w:tab w:pos="1080" w:val="num"/>
        </w:tabs>
        <w:ind w:hanging="360" w:left="1080"/>
      </w:pPr>
      <w:rPr>
        <w:rFonts w:hint="default"/>
        <w:color w:themeColor="text2" w:val="F37021"/>
      </w:rPr>
    </w:lvl>
    <w:lvl w:ilvl="3">
      <w:start w:val="1"/>
      <w:numFmt w:val="lowerLetter"/>
      <w:pStyle w:val="ListNumber4"/>
      <w:lvlText w:val="%4."/>
      <w:lvlJc w:val="left"/>
      <w:pPr>
        <w:tabs>
          <w:tab w:pos="1440" w:val="num"/>
        </w:tabs>
        <w:ind w:hanging="360" w:left="1440"/>
      </w:pPr>
      <w:rPr>
        <w:rFonts w:hint="default"/>
        <w:color w:themeColor="text2" w:val="F37021"/>
      </w:rPr>
    </w:lvl>
    <w:lvl w:ilvl="4">
      <w:start w:val="1"/>
      <w:numFmt w:val="lowerRoman"/>
      <w:pStyle w:val="ListNumber5"/>
      <w:lvlText w:val="%5."/>
      <w:lvlJc w:val="left"/>
      <w:pPr>
        <w:tabs>
          <w:tab w:pos="1800" w:val="num"/>
        </w:tabs>
        <w:ind w:hanging="360" w:left="1800"/>
      </w:pPr>
      <w:rPr>
        <w:rFonts w:hint="default"/>
        <w:color w:themeColor="text2" w:val="F37021"/>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33">
    <w:nsid w:val="6BF74260"/>
    <w:multiLevelType w:val="multilevel"/>
    <w:tmpl w:val="A23C7580"/>
    <w:lvl w:ilvl="0">
      <w:start w:val="1"/>
      <w:numFmt w:val="bullet"/>
      <w:pStyle w:val="TableBulletList"/>
      <w:lvlText w:val="▪"/>
      <w:lvlJc w:val="left"/>
      <w:pPr>
        <w:ind w:hanging="173" w:left="173"/>
      </w:pPr>
      <w:rPr>
        <w:rFonts w:ascii="Aptos SemiBold" w:hAnsi="Aptos SemiBold" w:hint="default"/>
        <w:color w:val="auto"/>
      </w:rPr>
    </w:lvl>
    <w:lvl w:ilvl="1">
      <w:start w:val="1"/>
      <w:numFmt w:val="bullet"/>
      <w:pStyle w:val="TableBulletList2"/>
      <w:lvlText w:val="–"/>
      <w:lvlJc w:val="left"/>
      <w:pPr>
        <w:ind w:hanging="173" w:left="346"/>
      </w:pPr>
      <w:rPr>
        <w:rFonts w:ascii="Aptos SemiBold" w:hAnsi="Aptos SemiBold" w:hint="default"/>
        <w:color w:val="auto"/>
      </w:rPr>
    </w:lvl>
    <w:lvl w:ilvl="2">
      <w:start w:val="1"/>
      <w:numFmt w:val="bullet"/>
      <w:pStyle w:val="TableBulletList3"/>
      <w:lvlText w:val="▪"/>
      <w:lvlJc w:val="left"/>
      <w:pPr>
        <w:ind w:hanging="172" w:left="518"/>
      </w:pPr>
      <w:rPr>
        <w:rFonts w:ascii="Aptos SemiBold" w:hAnsi="Aptos SemiBold" w:hint="default"/>
        <w:color w:val="auto"/>
      </w:rPr>
    </w:lvl>
    <w:lvl w:ilvl="3">
      <w:start w:val="1"/>
      <w:numFmt w:val="none"/>
      <w:lvlText w:val=""/>
      <w:lvlJc w:val="left"/>
      <w:pPr>
        <w:ind w:hanging="172" w:left="518"/>
      </w:pPr>
      <w:rPr>
        <w:rFonts w:hint="default"/>
      </w:rPr>
    </w:lvl>
    <w:lvl w:ilvl="4">
      <w:start w:val="1"/>
      <w:numFmt w:val="none"/>
      <w:lvlText w:val=""/>
      <w:lvlJc w:val="left"/>
      <w:pPr>
        <w:ind w:hanging="172" w:left="518"/>
      </w:pPr>
      <w:rPr>
        <w:rFonts w:hint="default"/>
      </w:rPr>
    </w:lvl>
    <w:lvl w:ilvl="5">
      <w:start w:val="1"/>
      <w:numFmt w:val="none"/>
      <w:lvlText w:val=""/>
      <w:lvlJc w:val="left"/>
      <w:pPr>
        <w:ind w:hanging="172" w:left="518"/>
      </w:pPr>
      <w:rPr>
        <w:rFonts w:hint="default"/>
      </w:rPr>
    </w:lvl>
    <w:lvl w:ilvl="6">
      <w:start w:val="1"/>
      <w:numFmt w:val="none"/>
      <w:lvlText w:val=""/>
      <w:lvlJc w:val="left"/>
      <w:pPr>
        <w:ind w:hanging="172" w:left="518"/>
      </w:pPr>
      <w:rPr>
        <w:rFonts w:hint="default"/>
      </w:rPr>
    </w:lvl>
    <w:lvl w:ilvl="7">
      <w:start w:val="1"/>
      <w:numFmt w:val="none"/>
      <w:lvlText w:val=""/>
      <w:lvlJc w:val="left"/>
      <w:pPr>
        <w:ind w:hanging="172" w:left="518"/>
      </w:pPr>
      <w:rPr>
        <w:rFonts w:hint="default"/>
      </w:rPr>
    </w:lvl>
    <w:lvl w:ilvl="8">
      <w:start w:val="1"/>
      <w:numFmt w:val="none"/>
      <w:lvlText w:val=""/>
      <w:lvlJc w:val="left"/>
      <w:pPr>
        <w:ind w:hanging="172" w:left="518"/>
      </w:pPr>
      <w:rPr>
        <w:rFonts w:hint="default"/>
      </w:rPr>
    </w:lvl>
  </w:abstractNum>
  <w:abstractNum w15:restartNumberingAfterBreak="0" w:abstractNumId="34">
    <w:nsid w:val="6CAB38E6"/>
    <w:multiLevelType w:val="multilevel"/>
    <w:tmpl w:val="6A362C98"/>
    <w:lvl w:ilvl="0">
      <w:start w:val="1"/>
      <w:numFmt w:val="decimal"/>
      <w:lvlText w:val="%1."/>
      <w:lvlJc w:val="left"/>
      <w:pPr>
        <w:ind w:hanging="360" w:left="1440"/>
      </w:pPr>
      <w:rPr>
        <w:rFonts w:hint="default"/>
        <w:color w:themeColor="accent2" w:val="AEAEAE"/>
      </w:rPr>
    </w:lvl>
    <w:lvl w:ilvl="1">
      <w:start w:val="1"/>
      <w:numFmt w:val="lowerLetter"/>
      <w:lvlText w:val="%2."/>
      <w:lvlJc w:val="left"/>
      <w:pPr>
        <w:ind w:hanging="360" w:left="1800"/>
      </w:pPr>
      <w:rPr>
        <w:rFonts w:hint="default"/>
        <w:color w:themeColor="accent2" w:val="AEAEAE"/>
      </w:rPr>
    </w:lvl>
    <w:lvl w:ilvl="2">
      <w:start w:val="1"/>
      <w:numFmt w:val="decimal"/>
      <w:lvlText w:val="%3."/>
      <w:lvlJc w:val="left"/>
      <w:pPr>
        <w:ind w:hanging="360" w:left="2160"/>
      </w:pPr>
      <w:rPr>
        <w:rFonts w:hint="default"/>
        <w:color w:themeColor="accent2" w:val="AEAEAE"/>
      </w:rPr>
    </w:lvl>
    <w:lvl w:ilvl="3">
      <w:start w:val="1"/>
      <w:numFmt w:val="lowerLetter"/>
      <w:lvlText w:val="%4."/>
      <w:lvlJc w:val="left"/>
      <w:pPr>
        <w:ind w:hanging="360" w:left="2520"/>
      </w:pPr>
      <w:rPr>
        <w:rFonts w:hint="default"/>
        <w:color w:themeColor="accent2" w:val="AEAEAE"/>
      </w:rPr>
    </w:lvl>
    <w:lvl w:ilvl="4">
      <w:start w:val="1"/>
      <w:numFmt w:val="lowerRoman"/>
      <w:lvlText w:val="%5."/>
      <w:lvlJc w:val="left"/>
      <w:pPr>
        <w:ind w:hanging="360" w:left="2880"/>
      </w:pPr>
      <w:rPr>
        <w:rFonts w:hint="default"/>
        <w:color w:themeColor="accent2" w:val="AEAEAE"/>
      </w:rPr>
    </w:lvl>
    <w:lvl w:ilvl="5">
      <w:start w:val="1"/>
      <w:numFmt w:val="none"/>
      <w:lvlText w:val=""/>
      <w:lvlJc w:val="left"/>
      <w:pPr>
        <w:ind w:firstLine="720" w:left="2160"/>
      </w:pPr>
      <w:rPr>
        <w:rFonts w:hint="default"/>
      </w:rPr>
    </w:lvl>
    <w:lvl w:ilvl="6">
      <w:start w:val="1"/>
      <w:numFmt w:val="none"/>
      <w:lvlText w:val=""/>
      <w:lvlJc w:val="left"/>
      <w:pPr>
        <w:ind w:firstLine="720" w:left="2520"/>
      </w:pPr>
      <w:rPr>
        <w:rFonts w:hint="default"/>
      </w:rPr>
    </w:lvl>
    <w:lvl w:ilvl="7">
      <w:start w:val="1"/>
      <w:numFmt w:val="none"/>
      <w:lvlText w:val=""/>
      <w:lvlJc w:val="left"/>
      <w:pPr>
        <w:ind w:firstLine="720" w:left="2880"/>
      </w:pPr>
      <w:rPr>
        <w:rFonts w:hint="default"/>
      </w:rPr>
    </w:lvl>
    <w:lvl w:ilvl="8">
      <w:start w:val="1"/>
      <w:numFmt w:val="none"/>
      <w:lvlText w:val=""/>
      <w:lvlJc w:val="left"/>
      <w:pPr>
        <w:ind w:firstLine="720" w:left="3240"/>
      </w:pPr>
      <w:rPr>
        <w:rFonts w:hint="default"/>
      </w:rPr>
    </w:lvl>
  </w:abstractNum>
  <w:abstractNum w15:restartNumberingAfterBreak="0" w:abstractNumId="35">
    <w:nsid w:val="6D07621E"/>
    <w:multiLevelType w:val="multilevel"/>
    <w:tmpl w:val="2482FF18"/>
    <w:styleLink w:val="CurrentList3"/>
    <w:lvl w:ilvl="0">
      <w:start w:val="1"/>
      <w:numFmt w:val="decimal"/>
      <w:lvlText w:val="%1."/>
      <w:lvlJc w:val="left"/>
      <w:pPr>
        <w:ind w:hanging="360" w:left="1440"/>
      </w:pPr>
      <w:rPr>
        <w:rFonts w:hint="default"/>
        <w:color w:themeColor="accent2" w:val="AEAEAE"/>
      </w:rPr>
    </w:lvl>
    <w:lvl w:ilvl="1">
      <w:start w:val="1"/>
      <w:numFmt w:val="lowerLetter"/>
      <w:lvlText w:val="%2."/>
      <w:lvlJc w:val="left"/>
      <w:pPr>
        <w:ind w:hanging="360" w:left="1800"/>
      </w:pPr>
      <w:rPr>
        <w:rFonts w:hint="default"/>
        <w:color w:themeColor="accent2" w:val="AEAEAE"/>
      </w:rPr>
    </w:lvl>
    <w:lvl w:ilvl="2">
      <w:start w:val="1"/>
      <w:numFmt w:val="decimal"/>
      <w:lvlText w:val="%3."/>
      <w:lvlJc w:val="left"/>
      <w:pPr>
        <w:ind w:hanging="360" w:left="2160"/>
      </w:pPr>
      <w:rPr>
        <w:rFonts w:hint="default"/>
        <w:color w:themeColor="accent2" w:val="AEAEAE"/>
      </w:rPr>
    </w:lvl>
    <w:lvl w:ilvl="3">
      <w:start w:val="1"/>
      <w:numFmt w:val="lowerLetter"/>
      <w:lvlText w:val="%4."/>
      <w:lvlJc w:val="left"/>
      <w:pPr>
        <w:ind w:hanging="360" w:left="2520"/>
      </w:pPr>
      <w:rPr>
        <w:rFonts w:hint="default"/>
        <w:color w:themeColor="accent2" w:val="AEAEAE"/>
      </w:rPr>
    </w:lvl>
    <w:lvl w:ilvl="4">
      <w:start w:val="1"/>
      <w:numFmt w:val="lowerRoman"/>
      <w:lvlText w:val="%5."/>
      <w:lvlJc w:val="left"/>
      <w:pPr>
        <w:ind w:hanging="360" w:left="2880"/>
      </w:pPr>
      <w:rPr>
        <w:rFonts w:hint="default"/>
        <w:color w:themeColor="accent2" w:val="AEAEAE"/>
      </w:rPr>
    </w:lvl>
    <w:lvl w:ilvl="5">
      <w:start w:val="1"/>
      <w:numFmt w:val="none"/>
      <w:lvlText w:val=""/>
      <w:lvlJc w:val="left"/>
      <w:pPr>
        <w:ind w:firstLine="720" w:left="2160"/>
      </w:pPr>
      <w:rPr>
        <w:rFonts w:hint="default"/>
      </w:rPr>
    </w:lvl>
    <w:lvl w:ilvl="6">
      <w:start w:val="1"/>
      <w:numFmt w:val="none"/>
      <w:lvlText w:val=""/>
      <w:lvlJc w:val="left"/>
      <w:pPr>
        <w:ind w:firstLine="720" w:left="2520"/>
      </w:pPr>
      <w:rPr>
        <w:rFonts w:hint="default"/>
      </w:rPr>
    </w:lvl>
    <w:lvl w:ilvl="7">
      <w:start w:val="1"/>
      <w:numFmt w:val="none"/>
      <w:lvlText w:val=""/>
      <w:lvlJc w:val="left"/>
      <w:pPr>
        <w:ind w:firstLine="720" w:left="2880"/>
      </w:pPr>
      <w:rPr>
        <w:rFonts w:hint="default"/>
      </w:rPr>
    </w:lvl>
    <w:lvl w:ilvl="8">
      <w:start w:val="1"/>
      <w:numFmt w:val="none"/>
      <w:lvlText w:val=""/>
      <w:lvlJc w:val="left"/>
      <w:pPr>
        <w:ind w:firstLine="720" w:left="3240"/>
      </w:pPr>
      <w:rPr>
        <w:rFonts w:hint="default"/>
      </w:rPr>
    </w:lvl>
  </w:abstractNum>
  <w:abstractNum w15:restartNumberingAfterBreak="0" w:abstractNumId="36">
    <w:nsid w:val="6E3A7E32"/>
    <w:multiLevelType w:val="multilevel"/>
    <w:tmpl w:val="176272B6"/>
    <w:numStyleLink w:val="SRKTableFootnotes"/>
  </w:abstractNum>
  <w:abstractNum w15:restartNumberingAfterBreak="0" w:abstractNumId="37">
    <w:nsid w:val="70A365D2"/>
    <w:multiLevelType w:val="multilevel"/>
    <w:tmpl w:val="73748376"/>
    <w:numStyleLink w:val="SRKHeadings"/>
  </w:abstractNum>
  <w:abstractNum w15:restartNumberingAfterBreak="0" w:abstractNumId="38">
    <w:nsid w:val="70CD3390"/>
    <w:multiLevelType w:val="multilevel"/>
    <w:tmpl w:val="73748376"/>
    <w:styleLink w:val="SRKHeadings"/>
    <w:lvl w:ilvl="0">
      <w:start w:val="1"/>
      <w:numFmt w:val="decimal"/>
      <w:pStyle w:val="Heading1"/>
      <w:lvlText w:val="%1"/>
      <w:lvlJc w:val="left"/>
      <w:pPr>
        <w:tabs>
          <w:tab w:pos="0" w:val="num"/>
        </w:tabs>
        <w:ind w:hanging="1440" w:left="0"/>
      </w:pPr>
      <w:rPr>
        <w:rFonts w:hint="default"/>
      </w:rPr>
    </w:lvl>
    <w:lvl w:ilvl="1">
      <w:start w:val="1"/>
      <w:numFmt w:val="decimal"/>
      <w:pStyle w:val="Heading2"/>
      <w:lvlText w:val="%1.%2"/>
      <w:lvlJc w:val="left"/>
      <w:pPr>
        <w:tabs>
          <w:tab w:pos="0" w:val="num"/>
        </w:tabs>
        <w:ind w:hanging="1440" w:left="0"/>
      </w:pPr>
      <w:rPr>
        <w:rFonts w:hint="default"/>
      </w:rPr>
    </w:lvl>
    <w:lvl w:ilvl="2">
      <w:start w:val="1"/>
      <w:numFmt w:val="decimal"/>
      <w:pStyle w:val="Heading3"/>
      <w:lvlText w:val="%1.%2.%3"/>
      <w:lvlJc w:val="left"/>
      <w:pPr>
        <w:tabs>
          <w:tab w:pos="0" w:val="num"/>
        </w:tabs>
        <w:ind w:hanging="1440" w:left="0"/>
      </w:pPr>
      <w:rPr>
        <w:rFonts w:hint="default"/>
      </w:rPr>
    </w:lvl>
    <w:lvl w:ilvl="3">
      <w:start w:val="1"/>
      <w:numFmt w:val="none"/>
      <w:suff w:val="nothing"/>
      <w:lvlText w:val=""/>
      <w:lvlJc w:val="left"/>
      <w:pPr>
        <w:ind w:firstLine="0" w:left="0"/>
      </w:pPr>
      <w:rPr>
        <w:rFonts w:hint="default"/>
      </w:rPr>
    </w:lvl>
    <w:lvl w:ilvl="4">
      <w:start w:val="1"/>
      <w:numFmt w:val="none"/>
      <w:suff w:val="nothing"/>
      <w:lvlText w:val=""/>
      <w:lvlJc w:val="left"/>
      <w:pPr>
        <w:ind w:firstLine="0" w:left="0"/>
      </w:pPr>
      <w:rPr>
        <w:rFonts w:hint="default"/>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39">
    <w:nsid w:val="790D2C35"/>
    <w:multiLevelType w:val="multilevel"/>
    <w:tmpl w:val="73748376"/>
    <w:numStyleLink w:val="SRKHeadings"/>
  </w:abstractNum>
  <w:abstractNum w15:restartNumberingAfterBreak="0" w:abstractNumId="40">
    <w:nsid w:val="7FD3114E"/>
    <w:multiLevelType w:val="multilevel"/>
    <w:tmpl w:val="CB0036FC"/>
    <w:lvl w:ilvl="0">
      <w:start w:val="1"/>
      <w:numFmt w:val="decimal"/>
      <w:lvlText w:val="%1."/>
      <w:lvlJc w:val="left"/>
      <w:pPr>
        <w:ind w:hanging="360" w:left="1440"/>
      </w:pPr>
      <w:rPr>
        <w:rFonts w:hint="default"/>
        <w:color w:themeColor="accent2" w:val="AEAEAE"/>
      </w:rPr>
    </w:lvl>
    <w:lvl w:ilvl="1">
      <w:start w:val="1"/>
      <w:numFmt w:val="none"/>
      <w:lvlText w:val=""/>
      <w:lvlJc w:val="left"/>
      <w:pPr>
        <w:ind w:hanging="360" w:left="1440"/>
      </w:pPr>
      <w:rPr>
        <w:rFonts w:hint="default"/>
      </w:rPr>
    </w:lvl>
    <w:lvl w:ilvl="2">
      <w:start w:val="1"/>
      <w:numFmt w:val="none"/>
      <w:lvlText w:val=""/>
      <w:lvlJc w:val="left"/>
      <w:pPr>
        <w:ind w:hanging="360" w:left="1440"/>
      </w:pPr>
      <w:rPr>
        <w:rFonts w:hint="default"/>
      </w:rPr>
    </w:lvl>
    <w:lvl w:ilvl="3">
      <w:start w:val="1"/>
      <w:numFmt w:val="none"/>
      <w:lvlText w:val=""/>
      <w:lvlJc w:val="left"/>
      <w:pPr>
        <w:ind w:hanging="360" w:left="1440"/>
      </w:pPr>
      <w:rPr>
        <w:rFonts w:hint="default"/>
      </w:rPr>
    </w:lvl>
    <w:lvl w:ilvl="4">
      <w:start w:val="1"/>
      <w:numFmt w:val="none"/>
      <w:lvlText w:val=""/>
      <w:lvlJc w:val="left"/>
      <w:pPr>
        <w:ind w:hanging="360" w:left="1440"/>
      </w:pPr>
      <w:rPr>
        <w:rFonts w:hint="default"/>
      </w:rPr>
    </w:lvl>
    <w:lvl w:ilvl="5">
      <w:start w:val="1"/>
      <w:numFmt w:val="none"/>
      <w:lvlText w:val=""/>
      <w:lvlJc w:val="right"/>
      <w:pPr>
        <w:ind w:hanging="360" w:left="1440"/>
      </w:pPr>
      <w:rPr>
        <w:rFonts w:hint="default"/>
      </w:rPr>
    </w:lvl>
    <w:lvl w:ilvl="6">
      <w:start w:val="1"/>
      <w:numFmt w:val="none"/>
      <w:lvlText w:val=""/>
      <w:lvlJc w:val="left"/>
      <w:pPr>
        <w:ind w:hanging="360" w:left="1440"/>
      </w:pPr>
      <w:rPr>
        <w:rFonts w:hint="default"/>
      </w:rPr>
    </w:lvl>
    <w:lvl w:ilvl="7">
      <w:start w:val="1"/>
      <w:numFmt w:val="none"/>
      <w:lvlText w:val=""/>
      <w:lvlJc w:val="left"/>
      <w:pPr>
        <w:ind w:hanging="360" w:left="1440"/>
      </w:pPr>
      <w:rPr>
        <w:rFonts w:hint="default"/>
      </w:rPr>
    </w:lvl>
    <w:lvl w:ilvl="8">
      <w:start w:val="1"/>
      <w:numFmt w:val="none"/>
      <w:lvlText w:val=""/>
      <w:lvlJc w:val="right"/>
      <w:pPr>
        <w:ind w:hanging="360" w:left="14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13386744" w:numId="1">
    <w:abstractNumId w:val="38"/>
  </w:num>
  <w:num w16cid:durableId="878665647" w:numId="2">
    <w:abstractNumId w:val="39"/>
  </w:num>
  <w:num w16cid:durableId="1231962909" w:numId="3">
    <w:abstractNumId w:val="37"/>
  </w:num>
  <w:num w16cid:durableId="160050212" w:numId="4">
    <w:abstractNumId w:val="9"/>
  </w:num>
  <w:num w16cid:durableId="398135216" w:numId="5">
    <w:abstractNumId w:val="20"/>
  </w:num>
  <w:num w16cid:durableId="1324627212" w:numId="6">
    <w:abstractNumId w:val="7"/>
  </w:num>
  <w:num w16cid:durableId="1492873082" w:numId="7">
    <w:abstractNumId w:val="20"/>
  </w:num>
  <w:num w16cid:durableId="997227361" w:numId="8">
    <w:abstractNumId w:val="6"/>
  </w:num>
  <w:num w16cid:durableId="1369836766" w:numId="9">
    <w:abstractNumId w:val="20"/>
  </w:num>
  <w:num w16cid:durableId="1560357199" w:numId="10">
    <w:abstractNumId w:val="5"/>
  </w:num>
  <w:num w16cid:durableId="1273901438" w:numId="11">
    <w:abstractNumId w:val="20"/>
  </w:num>
  <w:num w16cid:durableId="1244989116" w:numId="12">
    <w:abstractNumId w:val="4"/>
  </w:num>
  <w:num w16cid:durableId="1129013950" w:numId="13">
    <w:abstractNumId w:val="20"/>
  </w:num>
  <w:num w16cid:durableId="749082439" w:numId="14">
    <w:abstractNumId w:val="8"/>
  </w:num>
  <w:num w16cid:durableId="542639945" w:numId="15">
    <w:abstractNumId w:val="34"/>
  </w:num>
  <w:num w16cid:durableId="1056509168" w:numId="16">
    <w:abstractNumId w:val="3"/>
  </w:num>
  <w:num w16cid:durableId="786199644" w:numId="17">
    <w:abstractNumId w:val="34"/>
  </w:num>
  <w:num w16cid:durableId="246381128" w:numId="18">
    <w:abstractNumId w:val="2"/>
  </w:num>
  <w:num w16cid:durableId="1900942257" w:numId="19">
    <w:abstractNumId w:val="34"/>
  </w:num>
  <w:num w16cid:durableId="1483696824" w:numId="20">
    <w:abstractNumId w:val="1"/>
  </w:num>
  <w:num w16cid:durableId="300380012" w:numId="21">
    <w:abstractNumId w:val="34"/>
  </w:num>
  <w:num w16cid:durableId="109201859" w:numId="22">
    <w:abstractNumId w:val="0"/>
  </w:num>
  <w:num w16cid:durableId="1484812506" w:numId="23">
    <w:abstractNumId w:val="34"/>
  </w:num>
  <w:num w16cid:durableId="1910261790" w:numId="24">
    <w:abstractNumId w:val="19"/>
  </w:num>
  <w:num w16cid:durableId="925114191" w:numId="25">
    <w:abstractNumId w:val="26"/>
  </w:num>
  <w:num w16cid:durableId="1589725792" w:numId="26">
    <w:abstractNumId w:val="10"/>
  </w:num>
  <w:num w16cid:durableId="1075318188" w:numId="27">
    <w:abstractNumId w:val="15"/>
  </w:num>
  <w:num w16cid:durableId="1653369445" w:numId="28">
    <w:abstractNumId w:val="35"/>
  </w:num>
  <w:num w16cid:durableId="850338167" w:numId="29">
    <w:abstractNumId w:val="32"/>
  </w:num>
  <w:num w16cid:durableId="1446732381" w:numId="30">
    <w:abstractNumId w:val="31"/>
  </w:num>
  <w:num w16cid:durableId="900480705" w:numId="31">
    <w:abstractNumId w:val="33"/>
  </w:num>
  <w:num w16cid:durableId="968631135" w:numId="32">
    <w:abstractNumId w:val="33"/>
  </w:num>
  <w:num w16cid:durableId="807748336" w:numId="33">
    <w:abstractNumId w:val="33"/>
  </w:num>
  <w:num w16cid:durableId="595598100" w:numId="34">
    <w:abstractNumId w:val="40"/>
  </w:num>
  <w:num w16cid:durableId="1922788812" w:numId="35">
    <w:abstractNumId w:val="11"/>
  </w:num>
  <w:num w16cid:durableId="1808815864" w:numId="36">
    <w:abstractNumId w:val="23"/>
  </w:num>
  <w:num w16cid:durableId="711539597" w:numId="37">
    <w:abstractNumId w:val="23"/>
  </w:num>
  <w:num w16cid:durableId="1280840198" w:numId="38">
    <w:abstractNumId w:val="23"/>
  </w:num>
  <w:num w16cid:durableId="1667634837" w:numId="39">
    <w:abstractNumId w:val="17"/>
  </w:num>
  <w:num w16cid:durableId="1647661739" w:numId="40">
    <w:abstractNumId w:val="22"/>
  </w:num>
  <w:num w16cid:durableId="11810562" w:numId="41">
    <w:abstractNumId w:val="30"/>
  </w:num>
  <w:num w16cid:durableId="1623419802" w:numId="4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6061376" w:numId="43">
    <w:abstractNumId w:val="16"/>
  </w:num>
  <w:num w16cid:durableId="796336309" w:numId="44">
    <w:abstractNumId w:val="36"/>
  </w:num>
  <w:num w16cid:durableId="83766069" w:numId="45">
    <w:abstractNumId w:val="24"/>
  </w:num>
  <w:num w16cid:durableId="1202792247" w:numId="46">
    <w:abstractNumId w:val="18"/>
  </w:num>
  <w:num w16cid:durableId="186796074" w:numId="4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7208169" w:numId="4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95916849" w:numId="4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8524010" w:numId="5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5506276" w:numId="5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53778441" w:numId="5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99322204" w:numId="53">
    <w:abstractNumId w:val="29"/>
    <w:lvlOverride w:ilvl="0">
      <w:lvl w:ilvl="0">
        <w:start w:val="1"/>
        <w:numFmt w:val="upperLetter"/>
        <w:pStyle w:val="Appx1Cover"/>
        <w:lvlText w:val="Appendix %1"/>
        <w:lvlJc w:val="left"/>
        <w:pPr>
          <w:ind w:hanging="2880" w:left="2880"/>
        </w:pPr>
        <w:rPr>
          <w:rFonts w:hint="default"/>
        </w:rPr>
      </w:lvl>
    </w:lvlOverride>
  </w:num>
  <w:num w16cid:durableId="261377396" w:numId="54">
    <w:abstractNumId w:val="29"/>
    <w:lvlOverride w:ilvl="0">
      <w:lvl w:ilvl="0">
        <w:start w:val="1"/>
        <w:numFmt w:val="upperLetter"/>
        <w:pStyle w:val="Appx1Cover"/>
        <w:lvlText w:val="Appendix %1"/>
        <w:lvlJc w:val="left"/>
        <w:pPr>
          <w:ind w:hanging="2880" w:left="2880"/>
        </w:pPr>
      </w:lvl>
    </w:lvlOverride>
  </w:num>
  <w:num w16cid:durableId="1878617724" w:numId="55">
    <w:abstractNumId w:val="29"/>
    <w:lvlOverride w:ilvl="0">
      <w:lvl w:ilvl="0">
        <w:start w:val="1"/>
        <w:numFmt w:val="upperLetter"/>
        <w:pStyle w:val="Appx1Cover"/>
        <w:lvlText w:val="Appendix %1"/>
        <w:lvlJc w:val="left"/>
        <w:pPr>
          <w:ind w:hanging="2880" w:left="2880"/>
        </w:pPr>
        <w:rPr>
          <w:rFonts w:hint="default"/>
        </w:rPr>
      </w:lvl>
    </w:lvlOverride>
  </w:num>
  <w:num w16cid:durableId="1273977713" w:numId="56">
    <w:abstractNumId w:val="29"/>
  </w:num>
  <w:num w16cid:durableId="916208345" w:numId="57">
    <w:abstractNumId w:val="12"/>
  </w:num>
  <w:num w16cid:durableId="286468319" w:numId="58">
    <w:abstractNumId w:val="21"/>
  </w:num>
  <w:num w16cid:durableId="1271744174" w:numId="59">
    <w:abstractNumId w:val="27"/>
  </w:num>
  <w:num w16cid:durableId="1922444484" w:numId="60">
    <w:abstractNumId w:val="28"/>
  </w:num>
  <w:num w16cid:durableId="672491515" w:numId="61">
    <w:abstractNumId w:val="25"/>
  </w:num>
  <w:num w16cid:durableId="1044796548" w:numId="62">
    <w:abstractNumId w:val="14"/>
  </w:num>
  <w:num w16cid:durableId="681667462" w:numId="63">
    <w:abstractNumId w:val="1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52"/>
  <w:embedSystemFont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94B"/>
    <w:rsid w:val="00037B4C"/>
    <w:rsid w:val="000555AF"/>
    <w:rsid w:val="000563F3"/>
    <w:rsid w:val="00090B98"/>
    <w:rsid w:val="00092671"/>
    <w:rsid w:val="000A3DF4"/>
    <w:rsid w:val="000A6B3B"/>
    <w:rsid w:val="000C0C04"/>
    <w:rsid w:val="000C494A"/>
    <w:rsid w:val="000F0388"/>
    <w:rsid w:val="0013794B"/>
    <w:rsid w:val="00145610"/>
    <w:rsid w:val="00186747"/>
    <w:rsid w:val="001936BF"/>
    <w:rsid w:val="00196346"/>
    <w:rsid w:val="001E1D1B"/>
    <w:rsid w:val="001F05BE"/>
    <w:rsid w:val="00200BE5"/>
    <w:rsid w:val="00204AEE"/>
    <w:rsid w:val="00211510"/>
    <w:rsid w:val="00220326"/>
    <w:rsid w:val="00234786"/>
    <w:rsid w:val="00241653"/>
    <w:rsid w:val="00242D89"/>
    <w:rsid w:val="00244209"/>
    <w:rsid w:val="00265469"/>
    <w:rsid w:val="00276815"/>
    <w:rsid w:val="00277EF3"/>
    <w:rsid w:val="00290600"/>
    <w:rsid w:val="00294C91"/>
    <w:rsid w:val="002A735F"/>
    <w:rsid w:val="002C04C0"/>
    <w:rsid w:val="002E3038"/>
    <w:rsid w:val="002F282E"/>
    <w:rsid w:val="00301D78"/>
    <w:rsid w:val="00320579"/>
    <w:rsid w:val="003333CE"/>
    <w:rsid w:val="00336EE6"/>
    <w:rsid w:val="003454EE"/>
    <w:rsid w:val="00352AB1"/>
    <w:rsid w:val="00356B8B"/>
    <w:rsid w:val="003651DE"/>
    <w:rsid w:val="003741DB"/>
    <w:rsid w:val="003850F3"/>
    <w:rsid w:val="00391438"/>
    <w:rsid w:val="003A157B"/>
    <w:rsid w:val="003A4127"/>
    <w:rsid w:val="003A5419"/>
    <w:rsid w:val="003C08D6"/>
    <w:rsid w:val="003C776C"/>
    <w:rsid w:val="003F27B8"/>
    <w:rsid w:val="00401D89"/>
    <w:rsid w:val="0040797B"/>
    <w:rsid w:val="00420652"/>
    <w:rsid w:val="00427496"/>
    <w:rsid w:val="00445C1F"/>
    <w:rsid w:val="00464836"/>
    <w:rsid w:val="00465784"/>
    <w:rsid w:val="00472B64"/>
    <w:rsid w:val="004738FA"/>
    <w:rsid w:val="004924CA"/>
    <w:rsid w:val="00497128"/>
    <w:rsid w:val="004B3EE8"/>
    <w:rsid w:val="004B577C"/>
    <w:rsid w:val="004C1117"/>
    <w:rsid w:val="004F656C"/>
    <w:rsid w:val="00512872"/>
    <w:rsid w:val="00523790"/>
    <w:rsid w:val="00523B99"/>
    <w:rsid w:val="00524615"/>
    <w:rsid w:val="00530CB6"/>
    <w:rsid w:val="005378CE"/>
    <w:rsid w:val="005379D7"/>
    <w:rsid w:val="00570AF9"/>
    <w:rsid w:val="00582208"/>
    <w:rsid w:val="00583CA1"/>
    <w:rsid w:val="00594347"/>
    <w:rsid w:val="0059520D"/>
    <w:rsid w:val="005C34E4"/>
    <w:rsid w:val="005C48F3"/>
    <w:rsid w:val="005D11CE"/>
    <w:rsid w:val="005E5D87"/>
    <w:rsid w:val="00603D3B"/>
    <w:rsid w:val="006149CF"/>
    <w:rsid w:val="006264CF"/>
    <w:rsid w:val="00631D68"/>
    <w:rsid w:val="00645F1B"/>
    <w:rsid w:val="00683F31"/>
    <w:rsid w:val="00685914"/>
    <w:rsid w:val="00692A14"/>
    <w:rsid w:val="006B6670"/>
    <w:rsid w:val="006C1FC9"/>
    <w:rsid w:val="006F630D"/>
    <w:rsid w:val="00707C6B"/>
    <w:rsid w:val="00720433"/>
    <w:rsid w:val="0072068D"/>
    <w:rsid w:val="00726FE7"/>
    <w:rsid w:val="00737771"/>
    <w:rsid w:val="00742C58"/>
    <w:rsid w:val="00760AE7"/>
    <w:rsid w:val="00761821"/>
    <w:rsid w:val="0076212B"/>
    <w:rsid w:val="007740EC"/>
    <w:rsid w:val="00783387"/>
    <w:rsid w:val="007A061D"/>
    <w:rsid w:val="007B48B9"/>
    <w:rsid w:val="007C2FFC"/>
    <w:rsid w:val="007C5367"/>
    <w:rsid w:val="007C550B"/>
    <w:rsid w:val="00801857"/>
    <w:rsid w:val="00841DB1"/>
    <w:rsid w:val="0086331B"/>
    <w:rsid w:val="00880987"/>
    <w:rsid w:val="0088485E"/>
    <w:rsid w:val="008A4BE8"/>
    <w:rsid w:val="008E5A44"/>
    <w:rsid w:val="008E5B00"/>
    <w:rsid w:val="00920255"/>
    <w:rsid w:val="009245C1"/>
    <w:rsid w:val="009626AD"/>
    <w:rsid w:val="0096534D"/>
    <w:rsid w:val="00965C6B"/>
    <w:rsid w:val="009750E4"/>
    <w:rsid w:val="00975CFA"/>
    <w:rsid w:val="009B021F"/>
    <w:rsid w:val="009B123E"/>
    <w:rsid w:val="009C7F78"/>
    <w:rsid w:val="009D5521"/>
    <w:rsid w:val="009E5BE9"/>
    <w:rsid w:val="009F2793"/>
    <w:rsid w:val="009F7685"/>
    <w:rsid w:val="00A00154"/>
    <w:rsid w:val="00A20012"/>
    <w:rsid w:val="00A324AA"/>
    <w:rsid w:val="00A3466A"/>
    <w:rsid w:val="00A36042"/>
    <w:rsid w:val="00A42351"/>
    <w:rsid w:val="00A4317E"/>
    <w:rsid w:val="00A538DF"/>
    <w:rsid w:val="00AA4941"/>
    <w:rsid w:val="00AA6FEC"/>
    <w:rsid w:val="00AB521A"/>
    <w:rsid w:val="00AD52FB"/>
    <w:rsid w:val="00AF105E"/>
    <w:rsid w:val="00B11459"/>
    <w:rsid w:val="00B54945"/>
    <w:rsid w:val="00B77A52"/>
    <w:rsid w:val="00BA07D5"/>
    <w:rsid w:val="00BB429F"/>
    <w:rsid w:val="00BB6AA4"/>
    <w:rsid w:val="00BC4B96"/>
    <w:rsid w:val="00BC4D0D"/>
    <w:rsid w:val="00BD428D"/>
    <w:rsid w:val="00BD516D"/>
    <w:rsid w:val="00C23B0C"/>
    <w:rsid w:val="00C35EC9"/>
    <w:rsid w:val="00C43FB3"/>
    <w:rsid w:val="00C70024"/>
    <w:rsid w:val="00C95DAF"/>
    <w:rsid w:val="00CD32B3"/>
    <w:rsid w:val="00CD7C83"/>
    <w:rsid w:val="00CF0BF7"/>
    <w:rsid w:val="00D037B8"/>
    <w:rsid w:val="00D0587C"/>
    <w:rsid w:val="00D12189"/>
    <w:rsid w:val="00D22FB8"/>
    <w:rsid w:val="00D36000"/>
    <w:rsid w:val="00D36674"/>
    <w:rsid w:val="00D46253"/>
    <w:rsid w:val="00D50399"/>
    <w:rsid w:val="00D55D0F"/>
    <w:rsid w:val="00D6762B"/>
    <w:rsid w:val="00D711C9"/>
    <w:rsid w:val="00D853B9"/>
    <w:rsid w:val="00D94612"/>
    <w:rsid w:val="00DB2CF2"/>
    <w:rsid w:val="00DC1A81"/>
    <w:rsid w:val="00DC1E5E"/>
    <w:rsid w:val="00DC5681"/>
    <w:rsid w:val="00DF59AE"/>
    <w:rsid w:val="00E472DF"/>
    <w:rsid w:val="00E47A34"/>
    <w:rsid w:val="00E54F5B"/>
    <w:rsid w:val="00E551ED"/>
    <w:rsid w:val="00E61C7B"/>
    <w:rsid w:val="00E64472"/>
    <w:rsid w:val="00E6544C"/>
    <w:rsid w:val="00E767F1"/>
    <w:rsid w:val="00E83712"/>
    <w:rsid w:val="00E86C73"/>
    <w:rsid w:val="00E94B02"/>
    <w:rsid w:val="00E97C7B"/>
    <w:rsid w:val="00EB3D55"/>
    <w:rsid w:val="00EC1F5F"/>
    <w:rsid w:val="00EE3CFE"/>
    <w:rsid w:val="00F05890"/>
    <w:rsid w:val="00F665A5"/>
    <w:rsid w:val="00F72404"/>
    <w:rsid w:val="00F725FA"/>
    <w:rsid w:val="00F766C8"/>
    <w:rsid w:val="00F835E0"/>
    <w:rsid w:val="00F83B42"/>
    <w:rsid w:val="00F939AA"/>
    <w:rsid w:val="00FA73C8"/>
    <w:rsid w:val="00FB375F"/>
    <w:rsid w:val="00FB441E"/>
    <w:rsid w:val="00FD3861"/>
  </w:rsids>
  <w:themeFontLang w:eastAsia="ja-JP"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color w:themeColor="text1" w:val="000000"/>
        <w:kern w:val="2"/>
        <w:sz w:val="22"/>
        <w:szCs w:val="22"/>
        <w:lang w:bidi="ar-SA" w:eastAsia="ja-JP" w:val="es"/>
        <w14:ligatures w14:val="standardContextual"/>
      </w:rPr>
    </w:rPrDefault>
    <w:pPrDefault>
      <w:pPr>
        <w:spacing w:before="180" w:line="264"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annotation text" w:semiHidden="1" w:unhideWhenUsed="1"/>
    <w:lsdException w:name="header" w:semiHidden="1" w:uiPriority="31" w:unhideWhenUsed="1"/>
    <w:lsdException w:name="footer" w:semiHidden="1" w:uiPriority="31" w:unhideWhenUsed="1"/>
    <w:lsdException w:name="index heading" w:semiHidden="1" w:unhideWhenUsed="1"/>
    <w:lsdException w:name="caption" w:qFormat="1" w:semiHidden="1" w:uiPriority="19" w:unhideWhenUsed="1"/>
    <w:lsdException w:name="table of figures" w:semiHidden="1" w:unhideWhenUsed="1"/>
    <w:lsdException w:name="envelope address" w:semiHidden="1" w:unhideWhenUsed="1"/>
    <w:lsdException w:name="envelope return"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iPriority="9" w:unhideWhenUsed="1"/>
    <w:lsdException w:name="List Number" w:qFormat="1" w:semiHidden="1" w:uiPriority="9"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lsdException w:name="List Bullet 3" w:semiHidden="1" w:uiPriority="9" w:unhideWhenUsed="1"/>
    <w:lsdException w:name="List Bullet 4" w:semiHidden="1" w:uiPriority="9" w:unhideWhenUsed="1"/>
    <w:lsdException w:name="List Bullet 5" w:semiHidden="1" w:uiPriority="9" w:unhideWhenUsed="1"/>
    <w:lsdException w:name="List Number 2" w:semiHidden="1" w:uiPriority="9" w:unhideWhenUsed="1"/>
    <w:lsdException w:name="List Number 3" w:semiHidden="1" w:uiPriority="9" w:unhideWhenUsed="1"/>
    <w:lsdException w:name="List Number 4" w:semiHidden="1" w:uiPriority="9" w:unhideWhenUsed="1"/>
    <w:lsdException w:name="List Number 5" w:semiHidden="1" w:uiPriority="9" w:unhideWhenUsed="1"/>
    <w:lsdException w:name="Title" w:uiPriority="27"/>
    <w:lsdException w:name="Closing" w:semiHidden="1" w:unhideWhenUsed="1"/>
    <w:lsdException w:name="Signature" w:semiHidden="1" w:unhideWhenUsed="1"/>
    <w:lsdException w:name="Default Paragraph Font" w:semiHidden="1" w:uiPriority="1" w:unhideWhenUsed="1"/>
    <w:lsdException w:name="Body Text" w:qFormat="1"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
    <w:lsdException w:name="Emphasis" w:uiPriority="2"/>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qFormat="1" w:semiHidden="1" w:uiPriority="31"/>
    <w:lsdException w:name="Intense Reference" w:qFormat="1" w:uiPriority="32"/>
    <w:lsdException w:name="Book Title" w:qFormat="1" w:semiHidden="1"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styleId="Heading1" w:type="paragraph">
    <w:name w:val="heading 1"/>
    <w:basedOn w:val="TOC1Heading"/>
    <w:next w:val="Normal"/>
    <w:link w:val="Heading1Char"/>
    <w:uiPriority w:val="9"/>
    <w:qFormat/>
    <w:rsid w:val="00683F31"/>
    <w:pPr>
      <w:keepLines/>
      <w:numPr>
        <w:numId w:val="3"/>
      </w:numPr>
    </w:pPr>
    <w:rPr>
      <w:rFonts w:ascii="Arial" w:cstheme="majorBidi" w:eastAsiaTheme="majorEastAsia" w:hAnsi="Arial"/>
      <w:b/>
      <w:sz w:val="36"/>
      <w:szCs w:val="36"/>
    </w:rPr>
  </w:style>
  <w:style w:styleId="Heading2" w:type="paragraph">
    <w:name w:val="heading 2"/>
    <w:basedOn w:val="TOC2Heading"/>
    <w:next w:val="Normal"/>
    <w:link w:val="Heading2Char"/>
    <w:uiPriority w:val="9"/>
    <w:qFormat/>
    <w:rsid w:val="003C776C"/>
    <w:pPr>
      <w:keepLines/>
      <w:numPr>
        <w:ilvl w:val="1"/>
        <w:numId w:val="3"/>
      </w:numPr>
    </w:pPr>
    <w:rPr>
      <w:rFonts w:ascii="Arial" w:cstheme="majorBidi" w:eastAsiaTheme="majorEastAsia" w:hAnsi="Arial"/>
      <w:b/>
      <w:sz w:val="28"/>
      <w:szCs w:val="28"/>
    </w:rPr>
  </w:style>
  <w:style w:styleId="Heading3" w:type="paragraph">
    <w:name w:val="heading 3"/>
    <w:basedOn w:val="TOC3Heading"/>
    <w:next w:val="Normal"/>
    <w:link w:val="Heading3Char"/>
    <w:uiPriority w:val="9"/>
    <w:qFormat/>
    <w:rsid w:val="003C776C"/>
    <w:pPr>
      <w:keepLines/>
      <w:numPr>
        <w:ilvl w:val="2"/>
        <w:numId w:val="3"/>
      </w:numPr>
    </w:pPr>
    <w:rPr>
      <w:rFonts w:ascii="Arial" w:cstheme="majorBidi" w:eastAsiaTheme="majorEastAsia" w:hAnsi="Arial"/>
      <w:b/>
      <w:sz w:val="24"/>
      <w:szCs w:val="24"/>
    </w:rPr>
  </w:style>
  <w:style w:styleId="Heading4" w:type="paragraph">
    <w:name w:val="heading 4"/>
    <w:basedOn w:val="Normal"/>
    <w:next w:val="Normal"/>
    <w:link w:val="Heading4Char"/>
    <w:uiPriority w:val="9"/>
    <w:qFormat/>
    <w:rsid w:val="00C70024"/>
    <w:pPr>
      <w:keepNext/>
      <w:keepLines/>
      <w:spacing w:after="120" w:before="360" w:line="240" w:lineRule="auto"/>
      <w:ind w:hanging="284" w:left="284"/>
      <w:outlineLvl w:val="3"/>
    </w:pPr>
    <w:rPr>
      <w:rFonts w:ascii="Arial" w:cstheme="majorBidi" w:eastAsiaTheme="majorEastAsia" w:hAnsi="Arial"/>
      <w:b/>
      <w:sz w:val="22"/>
      <w:szCs w:val="22"/>
    </w:rPr>
  </w:style>
  <w:style w:styleId="Heading5" w:type="paragraph">
    <w:name w:val="heading 5"/>
    <w:basedOn w:val="Normal"/>
    <w:next w:val="Normal"/>
    <w:link w:val="Heading5Char"/>
    <w:uiPriority w:val="9"/>
    <w:semiHidden/>
    <w:qFormat/>
    <w:rsid w:val="00975CFA"/>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qFormat/>
    <w:rsid w:val="00975CFA"/>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qFormat/>
    <w:rsid w:val="00975CFA"/>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qFormat/>
    <w:rsid w:val="00975CFA"/>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qFormat/>
    <w:rsid w:val="00975CFA"/>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683F31"/>
    <w:rPr>
      <w:rFonts w:ascii="Arial" w:cstheme="majorBidi" w:eastAsiaTheme="majorEastAsia" w:hAnsi="Arial"/>
      <w:b/>
      <w:sz w:val="36"/>
      <w:szCs w:val="36"/>
      <w:lang w:eastAsia="en-US" w:val="es"/>
    </w:rPr>
  </w:style>
  <w:style w:customStyle="1" w:styleId="Heading2Char" w:type="character">
    <w:name w:val="Heading 2 Char"/>
    <w:basedOn w:val="DefaultParagraphFont"/>
    <w:link w:val="Heading2"/>
    <w:uiPriority w:val="9"/>
    <w:rsid w:val="00C70024"/>
    <w:rPr>
      <w:rFonts w:ascii="Arial" w:cstheme="majorBidi" w:eastAsiaTheme="majorEastAsia" w:hAnsi="Arial"/>
      <w:b/>
      <w:sz w:val="28"/>
      <w:szCs w:val="28"/>
      <w:lang w:eastAsia="en-US" w:val="es"/>
    </w:rPr>
  </w:style>
  <w:style w:customStyle="1" w:styleId="Heading3Char" w:type="character">
    <w:name w:val="Heading 3 Char"/>
    <w:basedOn w:val="DefaultParagraphFont"/>
    <w:link w:val="Heading3"/>
    <w:uiPriority w:val="9"/>
    <w:rsid w:val="00C70024"/>
    <w:rPr>
      <w:rFonts w:ascii="Arial" w:cstheme="majorBidi" w:eastAsiaTheme="majorEastAsia" w:hAnsi="Arial"/>
      <w:b/>
      <w:sz w:val="24"/>
      <w:szCs w:val="24"/>
      <w:lang w:eastAsia="en-US" w:val="es"/>
    </w:rPr>
  </w:style>
  <w:style w:customStyle="1" w:styleId="Heading4Char" w:type="character">
    <w:name w:val="Heading 4 Char"/>
    <w:basedOn w:val="DefaultParagraphFont"/>
    <w:link w:val="Heading4"/>
    <w:uiPriority w:val="9"/>
    <w:rsid w:val="00241653"/>
    <w:rPr>
      <w:rFonts w:ascii="Arial" w:cstheme="majorBidi" w:eastAsiaTheme="majorEastAsia" w:hAnsi="Arial"/>
      <w:b/>
      <w:sz w:val="22"/>
      <w:szCs w:val="22"/>
      <w:lang w:val="es"/>
    </w:rPr>
  </w:style>
  <w:style w:customStyle="1" w:styleId="Heading5Char" w:type="character">
    <w:name w:val="Heading 5 Char"/>
    <w:basedOn w:val="DefaultParagraphFont"/>
    <w:link w:val="Heading5"/>
    <w:uiPriority w:val="9"/>
    <w:semiHidden/>
    <w:rsid w:val="00241653"/>
    <w:rPr>
      <w:rFonts w:cstheme="majorBidi" w:eastAsiaTheme="majorEastAsia"/>
      <w:color w:themeColor="accent1" w:themeShade="BF" w:val="0F4761"/>
      <w:lang w:val="es"/>
    </w:rPr>
  </w:style>
  <w:style w:customStyle="1" w:styleId="Heading6Char" w:type="character">
    <w:name w:val="Heading 6 Char"/>
    <w:basedOn w:val="DefaultParagraphFont"/>
    <w:link w:val="Heading6"/>
    <w:uiPriority w:val="9"/>
    <w:semiHidden/>
    <w:rsid w:val="00241653"/>
    <w:rPr>
      <w:rFonts w:cstheme="majorBidi" w:eastAsiaTheme="majorEastAsia"/>
      <w:i/>
      <w:iCs/>
      <w:color w:themeColor="text1" w:themeTint="A6" w:val="595959"/>
      <w:lang w:val="es"/>
    </w:rPr>
  </w:style>
  <w:style w:customStyle="1" w:styleId="Heading7Char" w:type="character">
    <w:name w:val="Heading 7 Char"/>
    <w:basedOn w:val="DefaultParagraphFont"/>
    <w:link w:val="Heading7"/>
    <w:uiPriority w:val="9"/>
    <w:semiHidden/>
    <w:rsid w:val="00241653"/>
    <w:rPr>
      <w:rFonts w:cstheme="majorBidi" w:eastAsiaTheme="majorEastAsia"/>
      <w:color w:themeColor="text1" w:themeTint="A6" w:val="595959"/>
      <w:lang w:val="es"/>
    </w:rPr>
  </w:style>
  <w:style w:customStyle="1" w:styleId="Heading8Char" w:type="character">
    <w:name w:val="Heading 8 Char"/>
    <w:basedOn w:val="DefaultParagraphFont"/>
    <w:link w:val="Heading8"/>
    <w:uiPriority w:val="9"/>
    <w:semiHidden/>
    <w:rsid w:val="00241653"/>
    <w:rPr>
      <w:rFonts w:cstheme="majorBidi" w:eastAsiaTheme="majorEastAsia"/>
      <w:i/>
      <w:iCs/>
      <w:color w:themeColor="text1" w:themeTint="D8" w:val="272727"/>
      <w:lang w:val="es"/>
    </w:rPr>
  </w:style>
  <w:style w:customStyle="1" w:styleId="Heading9Char" w:type="character">
    <w:name w:val="Heading 9 Char"/>
    <w:basedOn w:val="DefaultParagraphFont"/>
    <w:link w:val="Heading9"/>
    <w:uiPriority w:val="9"/>
    <w:semiHidden/>
    <w:rsid w:val="00241653"/>
    <w:rPr>
      <w:rFonts w:cstheme="majorBidi" w:eastAsiaTheme="majorEastAsia"/>
      <w:color w:themeColor="text1" w:themeTint="D8" w:val="272727"/>
      <w:lang w:val="es"/>
    </w:rPr>
  </w:style>
  <w:style w:styleId="Title" w:type="paragraph">
    <w:name w:val="Title"/>
    <w:basedOn w:val="Normal"/>
    <w:next w:val="Normal"/>
    <w:link w:val="TitleChar"/>
    <w:uiPriority w:val="27"/>
    <w:rsid w:val="00200BE5"/>
    <w:pPr>
      <w:spacing w:after="240" w:before="120" w:line="240" w:lineRule="auto"/>
      <w:contextualSpacing/>
    </w:pPr>
    <w:rPr>
      <w:rFonts w:ascii="Arial" w:cstheme="majorBidi" w:eastAsiaTheme="majorEastAsia" w:hAnsi="Arial"/>
      <w:sz w:val="44"/>
      <w:szCs w:val="44"/>
    </w:rPr>
  </w:style>
  <w:style w:customStyle="1" w:styleId="TitleChar" w:type="character">
    <w:name w:val="Title Char"/>
    <w:basedOn w:val="DefaultParagraphFont"/>
    <w:link w:val="Title"/>
    <w:uiPriority w:val="27"/>
    <w:rsid w:val="00200BE5"/>
    <w:rPr>
      <w:rFonts w:ascii="Arial" w:cstheme="majorBidi" w:eastAsiaTheme="majorEastAsia" w:hAnsi="Arial"/>
      <w:sz w:val="44"/>
      <w:szCs w:val="44"/>
      <w:lang w:val="es"/>
    </w:rPr>
  </w:style>
  <w:style w:styleId="FootnoteReference" w:type="character">
    <w:name w:val="footnote reference"/>
    <w:basedOn w:val="DefaultParagraphFont"/>
    <w:uiPriority w:val="99"/>
    <w:rsid w:val="00E551ED"/>
    <w:rPr>
      <w:b/>
      <w:color w:themeColor="text2" w:val="F37021"/>
      <w:sz w:val="18"/>
      <w:vertAlign w:val="superscript"/>
    </w:rPr>
  </w:style>
  <w:style w:customStyle="1" w:styleId="Spacer" w:type="paragraph">
    <w:name w:val="Spacer"/>
    <w:semiHidden/>
    <w:qFormat/>
    <w:rsid w:val="00707C6B"/>
    <w:pPr>
      <w:spacing w:before="0" w:line="240" w:lineRule="auto"/>
    </w:pPr>
    <w:rPr>
      <w:rFonts w:eastAsiaTheme="minorHAnsi"/>
      <w:noProof/>
      <w:sz w:val="4"/>
      <w:lang w:eastAsia="en-US" w:val="es"/>
    </w:rPr>
  </w:style>
  <w:style w:styleId="Quote" w:type="paragraph">
    <w:name w:val="Quote"/>
    <w:basedOn w:val="Normal"/>
    <w:next w:val="Normal"/>
    <w:link w:val="QuoteChar"/>
    <w:uiPriority w:val="3"/>
    <w:rsid w:val="00C70024"/>
    <w:pPr>
      <w:spacing w:after="180"/>
      <w:ind w:left="720" w:right="720"/>
    </w:pPr>
    <w:rPr>
      <w:iCs/>
      <w:color w:themeColor="text1" w:themeTint="BF" w:val="404040"/>
    </w:rPr>
  </w:style>
  <w:style w:customStyle="1" w:styleId="QuoteChar" w:type="character">
    <w:name w:val="Quote Char"/>
    <w:basedOn w:val="DefaultParagraphFont"/>
    <w:link w:val="Quote"/>
    <w:uiPriority w:val="3"/>
    <w:rsid w:val="00C70024"/>
    <w:rPr>
      <w:iCs/>
      <w:color w:themeColor="text1" w:themeTint="BF" w:val="404040"/>
      <w:lang w:val="es"/>
    </w:rPr>
  </w:style>
  <w:style w:styleId="ListParagraph" w:type="paragraph">
    <w:name w:val="List Paragraph"/>
    <w:basedOn w:val="Normal"/>
    <w:uiPriority w:val="34"/>
    <w:semiHidden/>
    <w:qFormat/>
    <w:rsid w:val="00975CFA"/>
    <w:pPr>
      <w:ind w:left="720"/>
      <w:contextualSpacing/>
    </w:pPr>
  </w:style>
  <w:style w:styleId="IntenseQuote" w:type="paragraph">
    <w:name w:val="Intense Quote"/>
    <w:basedOn w:val="Normal"/>
    <w:next w:val="Normal"/>
    <w:link w:val="IntenseQuoteChar"/>
    <w:uiPriority w:val="3"/>
    <w:rsid w:val="00C70024"/>
    <w:pPr>
      <w:pBdr>
        <w:top w:color="F37021" w:space="10" w:sz="4" w:themeColor="text2" w:val="single"/>
        <w:bottom w:color="F37021" w:space="10" w:sz="4" w:themeColor="text2" w:val="single"/>
      </w:pBdr>
      <w:spacing w:after="360" w:before="360"/>
      <w:ind w:left="720" w:right="720"/>
    </w:pPr>
    <w:rPr>
      <w:iCs/>
    </w:rPr>
  </w:style>
  <w:style w:customStyle="1" w:styleId="IntenseQuoteChar" w:type="character">
    <w:name w:val="Intense Quote Char"/>
    <w:basedOn w:val="DefaultParagraphFont"/>
    <w:link w:val="IntenseQuote"/>
    <w:uiPriority w:val="3"/>
    <w:rsid w:val="00C70024"/>
    <w:rPr>
      <w:iCs/>
      <w:lang w:val="es"/>
    </w:rPr>
  </w:style>
  <w:style w:styleId="IntenseReference" w:type="character">
    <w:name w:val="Intense Reference"/>
    <w:basedOn w:val="DefaultParagraphFont"/>
    <w:uiPriority w:val="32"/>
    <w:semiHidden/>
    <w:qFormat/>
    <w:rsid w:val="00975CFA"/>
    <w:rPr>
      <w:b/>
      <w:bCs/>
      <w:smallCaps/>
      <w:color w:themeColor="accent1" w:themeShade="BF" w:val="0F4761"/>
      <w:spacing w:val="5"/>
    </w:rPr>
  </w:style>
  <w:style w:styleId="TableGrid" w:type="table">
    <w:name w:val="Table Grid"/>
    <w:basedOn w:val="TableNormal"/>
    <w:uiPriority w:val="39"/>
    <w:rsid w:val="00EC1F5F"/>
    <w:pPr>
      <w:spacing w:before="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ceholderText" w:type="character">
    <w:name w:val="Placeholder Text"/>
    <w:basedOn w:val="DefaultParagraphFont"/>
    <w:uiPriority w:val="99"/>
    <w:semiHidden/>
    <w:rsid w:val="009626AD"/>
    <w:rPr>
      <w:color w:val="666666"/>
      <w:bdr w:color="auto" w:space="0" w:sz="0" w:val="none"/>
      <w:shd w:color="auto" w:fill="auto" w:val="clear"/>
    </w:rPr>
  </w:style>
  <w:style w:customStyle="1" w:styleId="Title3" w:type="paragraph">
    <w:name w:val="Title 3"/>
    <w:uiPriority w:val="27"/>
    <w:rsid w:val="00200BE5"/>
    <w:pPr>
      <w:spacing w:before="120" w:line="240" w:lineRule="auto"/>
    </w:pPr>
    <w:rPr>
      <w:rFonts w:eastAsiaTheme="minorHAnsi"/>
      <w:sz w:val="24"/>
      <w:szCs w:val="32"/>
      <w:lang w:eastAsia="en-US" w:val="es"/>
    </w:rPr>
  </w:style>
  <w:style w:styleId="NoSpacing" w:type="paragraph">
    <w:name w:val="No Spacing"/>
    <w:qFormat/>
    <w:rsid w:val="00707C6B"/>
    <w:pPr>
      <w:spacing w:before="0" w:line="240" w:lineRule="auto"/>
    </w:pPr>
    <w:rPr>
      <w:lang w:val="es"/>
    </w:rPr>
  </w:style>
  <w:style w:styleId="Header" w:type="paragraph">
    <w:name w:val="header"/>
    <w:basedOn w:val="Normal"/>
    <w:link w:val="HeaderChar"/>
    <w:uiPriority w:val="31"/>
    <w:rsid w:val="000F0388"/>
    <w:pPr>
      <w:pBdr>
        <w:bottom w:color="F37021" w:space="5" w:sz="2" w:themeColor="text2" w:val="single"/>
      </w:pBdr>
      <w:tabs>
        <w:tab w:pos="9360" w:val="right"/>
      </w:tabs>
      <w:spacing w:before="0" w:line="240" w:lineRule="auto"/>
    </w:pPr>
    <w:rPr>
      <w:sz w:val="16"/>
    </w:rPr>
  </w:style>
  <w:style w:customStyle="1" w:styleId="HeaderChar" w:type="character">
    <w:name w:val="Header Char"/>
    <w:basedOn w:val="DefaultParagraphFont"/>
    <w:link w:val="Header"/>
    <w:uiPriority w:val="31"/>
    <w:rsid w:val="00301D78"/>
    <w:rPr>
      <w:sz w:val="16"/>
      <w:lang w:val="es"/>
    </w:rPr>
  </w:style>
  <w:style w:styleId="Footer" w:type="paragraph">
    <w:name w:val="footer"/>
    <w:basedOn w:val="Normal"/>
    <w:link w:val="FooterChar"/>
    <w:uiPriority w:val="31"/>
    <w:rsid w:val="000A3DF4"/>
    <w:pPr>
      <w:pBdr>
        <w:top w:color="F37021" w:space="5" w:sz="2" w:themeColor="text2" w:val="single"/>
      </w:pBdr>
      <w:tabs>
        <w:tab w:pos="9360" w:val="right"/>
      </w:tabs>
      <w:spacing w:before="0" w:line="240" w:lineRule="auto"/>
    </w:pPr>
    <w:rPr>
      <w:caps/>
      <w:sz w:val="16"/>
    </w:rPr>
  </w:style>
  <w:style w:customStyle="1" w:styleId="FooterChar" w:type="character">
    <w:name w:val="Footer Char"/>
    <w:basedOn w:val="DefaultParagraphFont"/>
    <w:link w:val="Footer"/>
    <w:uiPriority w:val="31"/>
    <w:rsid w:val="000A3DF4"/>
    <w:rPr>
      <w:caps/>
      <w:sz w:val="16"/>
      <w:lang w:val="es"/>
    </w:rPr>
  </w:style>
  <w:style w:customStyle="1" w:styleId="CoverHeading" w:type="paragraph">
    <w:name w:val="Cover Heading"/>
    <w:link w:val="CoverHeadingChar"/>
    <w:uiPriority w:val="29"/>
    <w:rsid w:val="00707C6B"/>
    <w:pPr>
      <w:spacing w:before="0" w:line="240" w:lineRule="auto"/>
    </w:pPr>
    <w:rPr>
      <w:rFonts w:eastAsiaTheme="minorHAnsi"/>
      <w:b/>
      <w:bCs/>
      <w:sz w:val="20"/>
      <w:lang w:eastAsia="en-US" w:val="es"/>
    </w:rPr>
  </w:style>
  <w:style w:customStyle="1" w:styleId="CoverHeadingChar" w:type="character">
    <w:name w:val="Cover Heading Char"/>
    <w:basedOn w:val="DefaultParagraphFont"/>
    <w:link w:val="CoverHeading"/>
    <w:uiPriority w:val="29"/>
    <w:rsid w:val="00707C6B"/>
    <w:rPr>
      <w:rFonts w:eastAsiaTheme="minorHAnsi"/>
      <w:b/>
      <w:bCs/>
      <w:sz w:val="20"/>
      <w:lang w:eastAsia="en-US" w:val="es"/>
    </w:rPr>
  </w:style>
  <w:style w:customStyle="1" w:styleId="CoverText" w:type="paragraph">
    <w:name w:val="Cover Text"/>
    <w:link w:val="CoverTextChar"/>
    <w:uiPriority w:val="29"/>
    <w:rsid w:val="00707C6B"/>
    <w:pPr>
      <w:spacing w:before="0" w:line="240" w:lineRule="auto"/>
    </w:pPr>
    <w:rPr>
      <w:rFonts w:eastAsiaTheme="minorHAnsi"/>
      <w:sz w:val="18"/>
      <w:lang w:eastAsia="en-US" w:val="es"/>
    </w:rPr>
  </w:style>
  <w:style w:customStyle="1" w:styleId="CoverTextChar" w:type="character">
    <w:name w:val="Cover Text Char"/>
    <w:basedOn w:val="DefaultParagraphFont"/>
    <w:link w:val="CoverText"/>
    <w:uiPriority w:val="29"/>
    <w:rsid w:val="00707C6B"/>
    <w:rPr>
      <w:rFonts w:eastAsiaTheme="minorHAnsi"/>
      <w:sz w:val="18"/>
      <w:lang w:eastAsia="en-US" w:val="es"/>
    </w:rPr>
  </w:style>
  <w:style w:customStyle="1" w:styleId="CoverTelephone" w:type="paragraph">
    <w:name w:val="Cover Telephone"/>
    <w:basedOn w:val="CoverText"/>
    <w:next w:val="CoverText"/>
    <w:link w:val="CoverTelephoneChar"/>
    <w:uiPriority w:val="29"/>
    <w:rsid w:val="00F766C8"/>
    <w:pPr>
      <w:spacing w:before="60"/>
    </w:pPr>
  </w:style>
  <w:style w:customStyle="1" w:styleId="CoverTelephoneChar" w:type="character">
    <w:name w:val="Cover Telephone Char"/>
    <w:basedOn w:val="CoverTextChar"/>
    <w:link w:val="CoverTelephone"/>
    <w:uiPriority w:val="29"/>
    <w:rsid w:val="00F766C8"/>
    <w:rPr>
      <w:rFonts w:eastAsiaTheme="minorHAnsi"/>
      <w:sz w:val="18"/>
      <w:lang w:eastAsia="en-US" w:val="es"/>
    </w:rPr>
  </w:style>
  <w:style w:customStyle="1" w:styleId="Title2" w:type="paragraph">
    <w:name w:val="Title 2"/>
    <w:link w:val="Title2Char"/>
    <w:uiPriority w:val="27"/>
    <w:rsid w:val="00200BE5"/>
    <w:pPr>
      <w:spacing w:before="0" w:line="240" w:lineRule="auto"/>
    </w:pPr>
    <w:rPr>
      <w:rFonts w:asciiTheme="majorHAnsi" w:eastAsiaTheme="minorHAnsi" w:hAnsiTheme="majorHAnsi"/>
      <w:sz w:val="28"/>
      <w:szCs w:val="36"/>
      <w:lang w:eastAsia="en-US" w:val="es"/>
    </w:rPr>
  </w:style>
  <w:style w:customStyle="1" w:styleId="Title2Char" w:type="character">
    <w:name w:val="Title 2 Char"/>
    <w:basedOn w:val="DefaultParagraphFont"/>
    <w:link w:val="Title2"/>
    <w:uiPriority w:val="27"/>
    <w:rsid w:val="00200BE5"/>
    <w:rPr>
      <w:rFonts w:asciiTheme="majorHAnsi" w:eastAsiaTheme="minorHAnsi" w:hAnsiTheme="majorHAnsi"/>
      <w:sz w:val="28"/>
      <w:szCs w:val="36"/>
      <w:lang w:eastAsia="en-US" w:val="es"/>
    </w:rPr>
  </w:style>
  <w:style w:styleId="TOCHeading" w:type="paragraph">
    <w:name w:val="TOC Heading"/>
    <w:basedOn w:val="Heading1"/>
    <w:next w:val="BodyText"/>
    <w:uiPriority w:val="39"/>
    <w:semiHidden/>
    <w:rsid w:val="0088485E"/>
    <w:pPr>
      <w:numPr>
        <w:numId w:val="0"/>
      </w:numPr>
    </w:pPr>
    <w:rPr>
      <w:szCs w:val="32"/>
    </w:rPr>
  </w:style>
  <w:style w:customStyle="1" w:styleId="BodyTextChar" w:type="character">
    <w:name w:val="Body Text Char"/>
    <w:basedOn w:val="DefaultParagraphFont"/>
    <w:link w:val="BodyText"/>
    <w:uiPriority w:val="1"/>
    <w:semiHidden/>
    <w:rsid w:val="00683F31"/>
    <w:rPr>
      <w:rFonts w:ascii="Arial" w:eastAsiaTheme="minorHAnsi" w:hAnsi="Arial"/>
      <w:sz w:val="20"/>
      <w:lang w:eastAsia="en-US" w:val="es"/>
    </w:rPr>
  </w:style>
  <w:style w:customStyle="1" w:styleId="SRKHeadings" w:type="numbering">
    <w:name w:val="SRK Headings"/>
    <w:uiPriority w:val="99"/>
    <w:rsid w:val="00E6544C"/>
    <w:pPr>
      <w:numPr>
        <w:numId w:val="1"/>
      </w:numPr>
    </w:pPr>
  </w:style>
  <w:style w:customStyle="1" w:styleId="Disclaimer" w:type="paragraph">
    <w:name w:val="Disclaimer"/>
    <w:uiPriority w:val="35"/>
    <w:rsid w:val="00F05890"/>
    <w:pPr>
      <w:spacing w:before="120" w:line="240" w:lineRule="auto"/>
    </w:pPr>
    <w:rPr>
      <w:rFonts w:ascii="Arial" w:eastAsiaTheme="minorHAnsi" w:hAnsi="Arial"/>
      <w:sz w:val="16"/>
      <w:szCs w:val="18"/>
      <w:lang w:eastAsia="en-US" w:val="es"/>
    </w:rPr>
  </w:style>
  <w:style w:customStyle="1" w:styleId="References" w:type="paragraph">
    <w:name w:val="References"/>
    <w:basedOn w:val="BodyText"/>
    <w:uiPriority w:val="1"/>
    <w:rsid w:val="00336EE6"/>
    <w:pPr>
      <w:ind w:hanging="1080" w:left="1080"/>
    </w:pPr>
    <w:rPr>
      <w:lang w:val="es"/>
    </w:rPr>
  </w:style>
  <w:style w:styleId="ListBullet2" w:type="paragraph">
    <w:name w:val="List Bullet 2"/>
    <w:basedOn w:val="ListBullet"/>
    <w:uiPriority w:val="4"/>
    <w:rsid w:val="00E6544C"/>
    <w:pPr>
      <w:numPr>
        <w:ilvl w:val="1"/>
      </w:numPr>
    </w:pPr>
  </w:style>
  <w:style w:styleId="ListBullet3" w:type="paragraph">
    <w:name w:val="List Bullet 3"/>
    <w:basedOn w:val="ListBullet2"/>
    <w:uiPriority w:val="4"/>
    <w:rsid w:val="00E6544C"/>
    <w:pPr>
      <w:numPr>
        <w:ilvl w:val="2"/>
      </w:numPr>
    </w:pPr>
  </w:style>
  <w:style w:styleId="ListBullet4" w:type="paragraph">
    <w:name w:val="List Bullet 4"/>
    <w:basedOn w:val="ListBullet3"/>
    <w:uiPriority w:val="4"/>
    <w:rsid w:val="00E6544C"/>
    <w:pPr>
      <w:numPr>
        <w:ilvl w:val="3"/>
      </w:numPr>
      <w:contextualSpacing/>
    </w:pPr>
  </w:style>
  <w:style w:styleId="ListBullet5" w:type="paragraph">
    <w:name w:val="List Bullet 5"/>
    <w:basedOn w:val="ListBullet4"/>
    <w:uiPriority w:val="4"/>
    <w:rsid w:val="00E6544C"/>
    <w:pPr>
      <w:numPr>
        <w:ilvl w:val="4"/>
      </w:numPr>
      <w:contextualSpacing w:val="0"/>
    </w:pPr>
  </w:style>
  <w:style w:styleId="ListNumber" w:type="paragraph">
    <w:name w:val="List Number"/>
    <w:basedOn w:val="Normal"/>
    <w:uiPriority w:val="4"/>
    <w:qFormat/>
    <w:rsid w:val="00472B64"/>
    <w:pPr>
      <w:numPr>
        <w:numId w:val="30"/>
      </w:numPr>
      <w:spacing w:before="120"/>
    </w:pPr>
    <w:rPr>
      <w:rFonts w:eastAsiaTheme="minorHAnsi"/>
      <w:lang w:eastAsia="en-US" w:val="es"/>
    </w:rPr>
  </w:style>
  <w:style w:styleId="ListNumber2" w:type="paragraph">
    <w:name w:val="List Number 2"/>
    <w:basedOn w:val="ListNumber"/>
    <w:uiPriority w:val="4"/>
    <w:rsid w:val="00E6544C"/>
    <w:pPr>
      <w:numPr>
        <w:ilvl w:val="1"/>
      </w:numPr>
      <w:contextualSpacing/>
    </w:pPr>
  </w:style>
  <w:style w:styleId="ListNumber3" w:type="paragraph">
    <w:name w:val="List Number 3"/>
    <w:basedOn w:val="ListNumber2"/>
    <w:uiPriority w:val="4"/>
    <w:rsid w:val="00E6544C"/>
    <w:pPr>
      <w:numPr>
        <w:ilvl w:val="2"/>
      </w:numPr>
    </w:pPr>
  </w:style>
  <w:style w:styleId="ListNumber4" w:type="paragraph">
    <w:name w:val="List Number 4"/>
    <w:basedOn w:val="ListNumber3"/>
    <w:uiPriority w:val="4"/>
    <w:rsid w:val="00E6544C"/>
    <w:pPr>
      <w:numPr>
        <w:ilvl w:val="3"/>
      </w:numPr>
    </w:pPr>
  </w:style>
  <w:style w:styleId="ListNumber5" w:type="paragraph">
    <w:name w:val="List Number 5"/>
    <w:basedOn w:val="ListNumber4"/>
    <w:uiPriority w:val="4"/>
    <w:rsid w:val="00E6544C"/>
    <w:pPr>
      <w:numPr>
        <w:ilvl w:val="4"/>
      </w:numPr>
    </w:pPr>
  </w:style>
  <w:style w:customStyle="1" w:styleId="TOC1Heading" w:type="paragraph">
    <w:name w:val="−TOC 1 Heading"/>
    <w:basedOn w:val="NoSpacing"/>
    <w:next w:val="Normal"/>
    <w:uiPriority w:val="9"/>
    <w:qFormat/>
    <w:rsid w:val="00707C6B"/>
    <w:pPr>
      <w:keepNext/>
      <w:pageBreakBefore/>
      <w:spacing w:after="120"/>
      <w:outlineLvl w:val="0"/>
    </w:pPr>
    <w:rPr>
      <w:rFonts w:asciiTheme="majorHAnsi" w:eastAsiaTheme="minorHAnsi" w:hAnsiTheme="majorHAnsi"/>
      <w:sz w:val="40"/>
      <w:lang w:eastAsia="en-US" w:val="es"/>
    </w:rPr>
  </w:style>
  <w:style w:customStyle="1" w:styleId="TOC2Heading" w:type="paragraph">
    <w:name w:val="−TOC 2 Heading"/>
    <w:basedOn w:val="TOC1Heading"/>
    <w:next w:val="Normal"/>
    <w:uiPriority w:val="9"/>
    <w:qFormat/>
    <w:rsid w:val="00707C6B"/>
    <w:pPr>
      <w:pageBreakBefore w:val="0"/>
      <w:spacing w:before="360"/>
      <w:outlineLvl w:val="1"/>
    </w:pPr>
    <w:rPr>
      <w:sz w:val="28"/>
      <w:szCs w:val="32"/>
    </w:rPr>
  </w:style>
  <w:style w:customStyle="1" w:styleId="TOC3Heading" w:type="paragraph">
    <w:name w:val="−TOC 3 Heading"/>
    <w:basedOn w:val="TOC2Heading"/>
    <w:next w:val="Normal"/>
    <w:uiPriority w:val="9"/>
    <w:qFormat/>
    <w:rsid w:val="00707C6B"/>
    <w:pPr>
      <w:outlineLvl w:val="2"/>
    </w:pPr>
    <w:rPr>
      <w:sz w:val="24"/>
    </w:rPr>
  </w:style>
  <w:style w:customStyle="1" w:styleId="CurrentList1" w:type="numbering">
    <w:name w:val="Current List1"/>
    <w:uiPriority w:val="99"/>
    <w:rsid w:val="00472B64"/>
    <w:pPr>
      <w:numPr>
        <w:numId w:val="24"/>
      </w:numPr>
    </w:pPr>
  </w:style>
  <w:style w:customStyle="1" w:styleId="CurrentList2" w:type="numbering">
    <w:name w:val="Current List2"/>
    <w:uiPriority w:val="99"/>
    <w:rsid w:val="00472B64"/>
    <w:pPr>
      <w:numPr>
        <w:numId w:val="25"/>
      </w:numPr>
    </w:pPr>
  </w:style>
  <w:style w:customStyle="1" w:styleId="SRKBulletList" w:type="numbering">
    <w:name w:val="SRK Bullet List"/>
    <w:uiPriority w:val="99"/>
    <w:rsid w:val="00472B64"/>
    <w:pPr>
      <w:numPr>
        <w:numId w:val="26"/>
      </w:numPr>
    </w:pPr>
  </w:style>
  <w:style w:customStyle="1" w:styleId="CurrentList3" w:type="numbering">
    <w:name w:val="Current List3"/>
    <w:uiPriority w:val="99"/>
    <w:rsid w:val="00742C58"/>
    <w:pPr>
      <w:numPr>
        <w:numId w:val="28"/>
      </w:numPr>
    </w:pPr>
  </w:style>
  <w:style w:customStyle="1" w:styleId="SRKNumberedList" w:type="numbering">
    <w:name w:val="SRK Numbered List"/>
    <w:uiPriority w:val="99"/>
    <w:rsid w:val="00742C58"/>
    <w:pPr>
      <w:numPr>
        <w:numId w:val="29"/>
      </w:numPr>
    </w:pPr>
  </w:style>
  <w:style w:styleId="Caption" w:type="paragraph">
    <w:name w:val="caption"/>
    <w:basedOn w:val="Normal"/>
    <w:next w:val="Normal"/>
    <w:uiPriority w:val="19"/>
    <w:rsid w:val="00737771"/>
    <w:pPr>
      <w:keepNext/>
      <w:tabs>
        <w:tab w:pos="1440" w:val="left"/>
      </w:tabs>
      <w:spacing w:after="120" w:before="60"/>
    </w:pPr>
    <w:rPr>
      <w:rFonts w:ascii="Arial" w:eastAsiaTheme="minorHAnsi" w:hAnsi="Arial"/>
      <w:iCs/>
      <w:sz w:val="20"/>
      <w:szCs w:val="20"/>
      <w:lang w:eastAsia="en-US" w:val="es"/>
    </w:rPr>
  </w:style>
  <w:style w:customStyle="1" w:styleId="CaptionWide" w:type="paragraph">
    <w:name w:val="Caption Wide"/>
    <w:basedOn w:val="Caption"/>
    <w:next w:val="Normal"/>
    <w:uiPriority w:val="19"/>
    <w:rsid w:val="00737771"/>
    <w:pPr>
      <w:tabs>
        <w:tab w:pos="1440" w:val="clear"/>
        <w:tab w:pos="0" w:val="left"/>
      </w:tabs>
      <w:ind w:left="0"/>
    </w:pPr>
    <w:rPr>
      <w:lang w:val="es"/>
    </w:rPr>
  </w:style>
  <w:style w:customStyle="1" w:styleId="Source" w:type="paragraph">
    <w:name w:val="Source"/>
    <w:basedOn w:val="Normal"/>
    <w:next w:val="Normal"/>
    <w:link w:val="SourceChar"/>
    <w:uiPriority w:val="19"/>
    <w:rsid w:val="00737771"/>
    <w:pPr>
      <w:keepNext/>
      <w:spacing w:before="60"/>
    </w:pPr>
    <w:rPr>
      <w:rFonts w:eastAsiaTheme="minorHAnsi"/>
      <w:noProof/>
      <w:sz w:val="16"/>
      <w:lang w:eastAsia="en-US" w:val="es"/>
    </w:rPr>
  </w:style>
  <w:style w:customStyle="1" w:styleId="SourceChar" w:type="character">
    <w:name w:val="Source Char"/>
    <w:basedOn w:val="DefaultParagraphFont"/>
    <w:link w:val="Source"/>
    <w:uiPriority w:val="19"/>
    <w:rsid w:val="00092671"/>
    <w:rPr>
      <w:rFonts w:eastAsiaTheme="minorHAnsi"/>
      <w:noProof/>
      <w:sz w:val="16"/>
      <w:lang w:eastAsia="en-US" w:val="es"/>
    </w:rPr>
  </w:style>
  <w:style w:customStyle="1" w:styleId="SourceWide" w:type="paragraph">
    <w:name w:val="Source Wide"/>
    <w:basedOn w:val="Source"/>
    <w:next w:val="Normal"/>
    <w:link w:val="SourceWideChar"/>
    <w:uiPriority w:val="19"/>
    <w:rsid w:val="00092671"/>
    <w:pPr>
      <w:ind w:hanging="1440"/>
    </w:pPr>
    <w:rPr>
      <w:lang w:val="es"/>
    </w:rPr>
  </w:style>
  <w:style w:customStyle="1" w:styleId="SourceWideChar" w:type="character">
    <w:name w:val="Source Wide Char"/>
    <w:basedOn w:val="SourceChar"/>
    <w:link w:val="SourceWide"/>
    <w:uiPriority w:val="19"/>
    <w:rsid w:val="00092671"/>
    <w:rPr>
      <w:rFonts w:eastAsiaTheme="minorHAnsi"/>
      <w:noProof/>
      <w:sz w:val="16"/>
      <w:lang w:eastAsia="en-US" w:val="es"/>
    </w:rPr>
  </w:style>
  <w:style w:customStyle="1" w:styleId="TableBulletList" w:type="paragraph">
    <w:name w:val="Table Bullet List"/>
    <w:basedOn w:val="Normal"/>
    <w:uiPriority w:val="17"/>
    <w:qFormat/>
    <w:rsid w:val="00D36674"/>
    <w:pPr>
      <w:numPr>
        <w:numId w:val="33"/>
      </w:numPr>
      <w:spacing w:before="0" w:line="240" w:lineRule="auto"/>
    </w:pPr>
    <w:rPr>
      <w:sz w:val="18"/>
    </w:rPr>
  </w:style>
  <w:style w:customStyle="1" w:styleId="TableBulletList2" w:type="paragraph">
    <w:name w:val="Table Bullet List 2"/>
    <w:basedOn w:val="TableBulletList"/>
    <w:uiPriority w:val="17"/>
    <w:rsid w:val="00737771"/>
    <w:pPr>
      <w:numPr>
        <w:ilvl w:val="1"/>
      </w:numPr>
    </w:pPr>
  </w:style>
  <w:style w:customStyle="1" w:styleId="TableBulletList3" w:type="paragraph">
    <w:name w:val="Table Bullet List 3"/>
    <w:basedOn w:val="TableBulletList2"/>
    <w:uiPriority w:val="17"/>
    <w:rsid w:val="00737771"/>
    <w:pPr>
      <w:numPr>
        <w:ilvl w:val="2"/>
      </w:numPr>
    </w:pPr>
  </w:style>
  <w:style w:customStyle="1" w:styleId="TableFootnote" w:type="paragraph">
    <w:name w:val="Table Footnote"/>
    <w:basedOn w:val="Normal"/>
    <w:uiPriority w:val="21"/>
    <w:rsid w:val="00092671"/>
    <w:pPr>
      <w:numPr>
        <w:numId w:val="46"/>
      </w:numPr>
      <w:spacing w:before="60"/>
      <w:contextualSpacing/>
    </w:pPr>
    <w:rPr>
      <w:rFonts w:eastAsiaTheme="minorHAnsi"/>
      <w:sz w:val="18"/>
      <w:szCs w:val="16"/>
      <w:lang w:eastAsia="en-US" w:val="es"/>
    </w:rPr>
  </w:style>
  <w:style w:customStyle="1" w:styleId="TableFootnoteWide" w:type="paragraph">
    <w:name w:val="Table Footnote Wide"/>
    <w:basedOn w:val="TableFootnote"/>
    <w:uiPriority w:val="21"/>
    <w:rsid w:val="00092671"/>
    <w:pPr>
      <w:numPr>
        <w:numId w:val="41"/>
      </w:numPr>
    </w:pPr>
  </w:style>
  <w:style w:customStyle="1" w:styleId="Notes" w:type="paragraph">
    <w:name w:val="Notes"/>
    <w:basedOn w:val="Normal"/>
    <w:next w:val="Normal"/>
    <w:uiPriority w:val="20"/>
    <w:rsid w:val="00092671"/>
    <w:pPr>
      <w:keepNext/>
      <w:spacing w:before="60"/>
    </w:pPr>
    <w:rPr>
      <w:rFonts w:eastAsiaTheme="minorHAnsi"/>
      <w:sz w:val="18"/>
      <w:szCs w:val="16"/>
      <w:lang w:eastAsia="en-US" w:val="es"/>
    </w:rPr>
  </w:style>
  <w:style w:customStyle="1" w:styleId="NotesWide" w:type="paragraph">
    <w:name w:val="Notes Wide"/>
    <w:basedOn w:val="Notes"/>
    <w:next w:val="Normal"/>
    <w:uiPriority w:val="20"/>
    <w:rsid w:val="00092671"/>
    <w:pPr>
      <w:ind w:hanging="1440"/>
    </w:pPr>
    <w:rPr>
      <w:lang w:val="es"/>
    </w:rPr>
  </w:style>
  <w:style w:customStyle="1" w:styleId="TableNumberList" w:type="paragraph">
    <w:name w:val="Table Number List"/>
    <w:basedOn w:val="ListNumber"/>
    <w:uiPriority w:val="17"/>
    <w:qFormat/>
    <w:rsid w:val="00737771"/>
    <w:pPr>
      <w:numPr>
        <w:numId w:val="38"/>
      </w:numPr>
      <w:spacing w:line="240" w:lineRule="auto"/>
    </w:pPr>
    <w:rPr>
      <w:sz w:val="18"/>
    </w:rPr>
  </w:style>
  <w:style w:customStyle="1" w:styleId="TableNumberList2" w:type="paragraph">
    <w:name w:val="Table Number List 2"/>
    <w:basedOn w:val="TableNumberList"/>
    <w:uiPriority w:val="17"/>
    <w:rsid w:val="00737771"/>
    <w:pPr>
      <w:numPr>
        <w:ilvl w:val="1"/>
      </w:numPr>
    </w:pPr>
  </w:style>
  <w:style w:customStyle="1" w:styleId="TableNumberList3" w:type="paragraph">
    <w:name w:val="Table Number List 3"/>
    <w:basedOn w:val="TableNumberList2"/>
    <w:uiPriority w:val="17"/>
    <w:rsid w:val="00737771"/>
    <w:pPr>
      <w:numPr>
        <w:ilvl w:val="2"/>
      </w:numPr>
    </w:pPr>
  </w:style>
  <w:style w:customStyle="1" w:styleId="SRKTableFootnotes" w:type="numbering">
    <w:name w:val="SRK Table Footnotes"/>
    <w:uiPriority w:val="99"/>
    <w:rsid w:val="00AB521A"/>
    <w:pPr>
      <w:numPr>
        <w:numId w:val="39"/>
      </w:numPr>
    </w:pPr>
  </w:style>
  <w:style w:customStyle="1" w:styleId="CurrentList4" w:type="numbering">
    <w:name w:val="Current List4"/>
    <w:uiPriority w:val="99"/>
    <w:rsid w:val="00092671"/>
    <w:pPr>
      <w:numPr>
        <w:numId w:val="43"/>
      </w:numPr>
    </w:pPr>
  </w:style>
  <w:style w:customStyle="1" w:styleId="CurrentList5" w:type="numbering">
    <w:name w:val="Current List5"/>
    <w:uiPriority w:val="99"/>
    <w:rsid w:val="00AB521A"/>
    <w:pPr>
      <w:numPr>
        <w:numId w:val="45"/>
      </w:numPr>
    </w:pPr>
  </w:style>
  <w:style w:customStyle="1" w:styleId="SRKTableFootnotesWide" w:type="numbering">
    <w:name w:val="SRK Table Footnotes Wide"/>
    <w:uiPriority w:val="99"/>
    <w:rsid w:val="00AB521A"/>
    <w:pPr>
      <w:numPr>
        <w:numId w:val="41"/>
      </w:numPr>
    </w:pPr>
  </w:style>
  <w:style w:customStyle="1" w:styleId="SRKTableNumberedList" w:type="numbering">
    <w:name w:val="SRK Table Numbered List"/>
    <w:uiPriority w:val="99"/>
    <w:rsid w:val="00737771"/>
  </w:style>
  <w:style w:customStyle="1" w:styleId="Appx1Cover" w:type="paragraph">
    <w:name w:val="Appx 1 Cover"/>
    <w:basedOn w:val="SectionCover"/>
    <w:next w:val="Normal"/>
    <w:uiPriority w:val="15"/>
    <w:qFormat/>
    <w:rsid w:val="007B48B9"/>
    <w:pPr>
      <w:framePr w:wrap="around"/>
      <w:numPr>
        <w:numId w:val="54"/>
      </w:numPr>
      <w:tabs>
        <w:tab w:pos="2880" w:val="left"/>
      </w:tabs>
    </w:pPr>
    <w:rPr>
      <w:rFonts w:asciiTheme="majorHAnsi" w:hAnsiTheme="majorHAnsi"/>
    </w:rPr>
  </w:style>
  <w:style w:customStyle="1" w:styleId="Appx2Cover" w:type="paragraph">
    <w:name w:val="Appx 2 Cover"/>
    <w:basedOn w:val="Appx1Cover"/>
    <w:next w:val="Normal"/>
    <w:uiPriority w:val="15"/>
    <w:qFormat/>
    <w:rsid w:val="007B48B9"/>
    <w:pPr>
      <w:framePr w:wrap="around"/>
      <w:numPr>
        <w:ilvl w:val="1"/>
      </w:numPr>
      <w:outlineLvl w:val="1"/>
    </w:pPr>
  </w:style>
  <w:style w:customStyle="1" w:styleId="SectionCover" w:type="paragraph">
    <w:name w:val="Section Cover"/>
    <w:basedOn w:val="NoSpacing"/>
    <w:next w:val="Normal"/>
    <w:uiPriority w:val="14"/>
    <w:qFormat/>
    <w:rsid w:val="007B48B9"/>
    <w:pPr>
      <w:pageBreakBefore/>
      <w:framePr w:hAnchor="page" w:vAnchor="text" w:w="9360" w:wrap="around" w:x="1441" w:y="1"/>
      <w:pBdr>
        <w:top w:color="F37021" w:space="8" w:sz="24" w:themeColor="text2" w:val="single"/>
      </w:pBdr>
      <w:spacing w:after="360" w:before="3000" w:line="264" w:lineRule="auto"/>
      <w:ind w:hanging="2880" w:left="2880"/>
      <w:outlineLvl w:val="0"/>
    </w:pPr>
    <w:rPr>
      <w:rFonts w:ascii="Aptos SemiBold" w:hAnsi="Aptos SemiBold"/>
      <w:sz w:val="40"/>
    </w:rPr>
  </w:style>
  <w:style w:customStyle="1" w:styleId="SRKAppendices" w:type="numbering">
    <w:name w:val="SRK Appendices"/>
    <w:uiPriority w:val="99"/>
    <w:rsid w:val="003333CE"/>
  </w:style>
  <w:style w:styleId="TOC2" w:type="paragraph">
    <w:name w:val="toc 2"/>
    <w:basedOn w:val="Normal"/>
    <w:next w:val="Normal"/>
    <w:autoRedefine/>
    <w:uiPriority w:val="39"/>
    <w:rsid w:val="00707C6B"/>
    <w:pPr>
      <w:tabs>
        <w:tab w:pos="1080" w:val="left"/>
        <w:tab w:leader="dot" w:pos="9360" w:val="right"/>
      </w:tabs>
      <w:spacing w:before="0"/>
      <w:ind w:hanging="1080" w:left="1080" w:right="360"/>
    </w:pPr>
    <w:rPr>
      <w:rFonts w:asciiTheme="majorHAnsi" w:hAnsiTheme="majorHAnsi"/>
    </w:rPr>
  </w:style>
  <w:style w:styleId="TOC1" w:type="paragraph">
    <w:name w:val="toc 1"/>
    <w:basedOn w:val="Normal"/>
    <w:next w:val="BodyText"/>
    <w:autoRedefine/>
    <w:uiPriority w:val="39"/>
    <w:rsid w:val="0088485E"/>
    <w:pPr>
      <w:tabs>
        <w:tab w:pos="1080" w:val="left"/>
        <w:tab w:leader="dot" w:pos="9331" w:val="right"/>
      </w:tabs>
      <w:spacing w:before="120"/>
      <w:ind w:hanging="1080" w:left="1080" w:right="360"/>
    </w:pPr>
    <w:rPr>
      <w:rFonts w:asciiTheme="majorHAnsi" w:hAnsiTheme="majorHAnsi"/>
      <w:sz w:val="26"/>
    </w:rPr>
  </w:style>
  <w:style w:styleId="TOC3" w:type="paragraph">
    <w:name w:val="toc 3"/>
    <w:basedOn w:val="Normal"/>
    <w:next w:val="Normal"/>
    <w:autoRedefine/>
    <w:uiPriority w:val="39"/>
    <w:rsid w:val="00707C6B"/>
    <w:pPr>
      <w:tabs>
        <w:tab w:pos="1080" w:val="left"/>
        <w:tab w:leader="dot" w:pos="9331" w:val="right"/>
      </w:tabs>
      <w:spacing w:before="0"/>
      <w:ind w:hanging="1080" w:left="1080"/>
    </w:pPr>
  </w:style>
  <w:style w:styleId="Hyperlink" w:type="character">
    <w:name w:val="Hyperlink"/>
    <w:basedOn w:val="DefaultParagraphFont"/>
    <w:uiPriority w:val="99"/>
    <w:rsid w:val="003333CE"/>
    <w:rPr>
      <w:color w:themeColor="hyperlink" w:val="F37021"/>
      <w:u w:val="single"/>
    </w:rPr>
  </w:style>
  <w:style w:customStyle="1" w:styleId="Definitions" w:type="paragraph">
    <w:name w:val="Definitions"/>
    <w:basedOn w:val="BodyText"/>
    <w:link w:val="DefinitionsChar"/>
    <w:uiPriority w:val="1"/>
    <w:rsid w:val="00200BE5"/>
    <w:pPr>
      <w:spacing w:before="0"/>
    </w:pPr>
    <w:rPr>
      <w:sz w:val="18"/>
    </w:rPr>
  </w:style>
  <w:style w:customStyle="1" w:styleId="DefinitionsChar" w:type="character">
    <w:name w:val="Definitions Char"/>
    <w:basedOn w:val="BodyTextChar"/>
    <w:link w:val="Definitions"/>
    <w:uiPriority w:val="1"/>
    <w:rsid w:val="00200BE5"/>
    <w:rPr>
      <w:rFonts w:ascii="Arial" w:eastAsiaTheme="minorHAnsi" w:hAnsi="Arial"/>
      <w:sz w:val="18"/>
      <w:lang w:eastAsia="en-US" w:val="es"/>
    </w:rPr>
  </w:style>
  <w:style w:styleId="TOC4" w:type="paragraph">
    <w:name w:val="toc 4"/>
    <w:basedOn w:val="Normal"/>
    <w:next w:val="Normal"/>
    <w:autoRedefine/>
    <w:uiPriority w:val="39"/>
    <w:rsid w:val="00707C6B"/>
    <w:pPr>
      <w:tabs>
        <w:tab w:pos="1080" w:val="left"/>
        <w:tab w:leader="dot" w:pos="9360" w:val="right"/>
      </w:tabs>
      <w:spacing w:before="120"/>
      <w:ind w:hanging="1080" w:left="1080" w:right="360"/>
      <w:contextualSpacing/>
    </w:pPr>
    <w:rPr>
      <w:sz w:val="18"/>
    </w:rPr>
  </w:style>
  <w:style w:customStyle="1" w:styleId="BodyTextNoIndent" w:type="paragraph">
    <w:name w:val="Body Text No Indent"/>
    <w:basedOn w:val="BodyText"/>
    <w:link w:val="BodyTextNoIndentChar"/>
    <w:uiPriority w:val="3"/>
    <w:semiHidden/>
    <w:qFormat/>
    <w:rsid w:val="00D36674"/>
    <w:pPr>
      <w:spacing w:after="200" w:before="0" w:line="259" w:lineRule="auto"/>
    </w:pPr>
    <w:rPr>
      <w:color w:val="auto"/>
    </w:rPr>
  </w:style>
  <w:style w:customStyle="1" w:styleId="BodyTextNoIndentChar" w:type="character">
    <w:name w:val="Body Text No Indent Char"/>
    <w:basedOn w:val="BodyTextChar"/>
    <w:link w:val="BodyTextNoIndent"/>
    <w:uiPriority w:val="3"/>
    <w:semiHidden/>
    <w:rsid w:val="00C70024"/>
    <w:rPr>
      <w:rFonts w:ascii="Arial" w:eastAsiaTheme="minorHAnsi" w:hAnsi="Arial"/>
      <w:color w:val="auto"/>
      <w:sz w:val="20"/>
      <w:lang w:eastAsia="en-US" w:val="es"/>
    </w:rPr>
  </w:style>
  <w:style w:styleId="TableofFigures" w:type="paragraph">
    <w:name w:val="table of figures"/>
    <w:next w:val="BodyTextNoIndent"/>
    <w:uiPriority w:val="99"/>
    <w:semiHidden/>
    <w:rsid w:val="00E551ED"/>
    <w:pPr>
      <w:tabs>
        <w:tab w:pos="1080" w:val="left"/>
        <w:tab w:leader="dot" w:pos="9360" w:val="right"/>
      </w:tabs>
      <w:spacing w:before="0"/>
      <w:ind w:hanging="1080" w:left="1080" w:right="360"/>
      <w:contextualSpacing/>
    </w:pPr>
    <w:rPr>
      <w:rFonts w:eastAsiaTheme="minorHAnsi"/>
      <w:sz w:val="18"/>
      <w:lang w:eastAsia="en-US" w:val="es"/>
    </w:rPr>
  </w:style>
  <w:style w:customStyle="1" w:styleId="TOCHeading2" w:type="paragraph">
    <w:name w:val="TOC Heading 2"/>
    <w:basedOn w:val="TOC3Heading"/>
    <w:next w:val="BodyTextNoIndent"/>
    <w:uiPriority w:val="39"/>
    <w:semiHidden/>
    <w:rsid w:val="0088485E"/>
    <w:pPr>
      <w:keepNext w:val="0"/>
      <w:outlineLvl w:val="1"/>
    </w:pPr>
    <w:rPr>
      <w:rFonts w:ascii="Aptos SemiBold" w:hAnsi="Aptos SemiBold"/>
      <w:sz w:val="28"/>
      <w:lang w:val="es"/>
    </w:rPr>
  </w:style>
  <w:style w:customStyle="1" w:styleId="TOC4Heading" w:type="paragraph">
    <w:name w:val="−TOC 4 Heading"/>
    <w:basedOn w:val="TOC3Heading"/>
    <w:next w:val="Normal"/>
    <w:uiPriority w:val="9"/>
    <w:qFormat/>
    <w:rsid w:val="00707C6B"/>
    <w:pPr>
      <w:outlineLvl w:val="3"/>
    </w:pPr>
    <w:rPr>
      <w:sz w:val="22"/>
    </w:rPr>
  </w:style>
  <w:style w:styleId="UnresolvedMention" w:type="character">
    <w:name w:val="Unresolved Mention"/>
    <w:basedOn w:val="DefaultParagraphFont"/>
    <w:uiPriority w:val="99"/>
    <w:semiHidden/>
    <w:unhideWhenUsed/>
    <w:rsid w:val="00204AEE"/>
    <w:rPr>
      <w:color w:val="605E5C"/>
      <w:shd w:color="auto" w:fill="E1DFDD" w:val="clear"/>
    </w:rPr>
  </w:style>
  <w:style w:styleId="TOC5" w:type="paragraph">
    <w:name w:val="toc 5"/>
    <w:basedOn w:val="Normal"/>
    <w:next w:val="Normal"/>
    <w:autoRedefine/>
    <w:uiPriority w:val="39"/>
    <w:rsid w:val="00707C6B"/>
    <w:pPr>
      <w:spacing w:before="120"/>
      <w:ind w:right="360"/>
    </w:pPr>
  </w:style>
  <w:style w:customStyle="1" w:styleId="Hidden" w:type="paragraph">
    <w:name w:val="Hidden"/>
    <w:next w:val="NoSpacing"/>
    <w:uiPriority w:val="27"/>
    <w:semiHidden/>
    <w:rsid w:val="00BC4D0D"/>
    <w:pPr>
      <w:framePr w:anchorLock="1" w:hAnchor="page" w:vAnchor="page" w:wrap="around" w:xAlign="right" w:yAlign="top"/>
      <w:spacing w:before="0" w:line="240" w:lineRule="auto"/>
      <w:outlineLvl w:val="0"/>
    </w:pPr>
    <w:rPr>
      <w:rFonts w:eastAsiaTheme="minorHAnsi"/>
      <w:color w:themeColor="background1" w:val="FFFFFF"/>
      <w:sz w:val="16"/>
      <w:lang w:eastAsia="en-US" w:val="es"/>
    </w:rPr>
  </w:style>
  <w:style w:styleId="CommentReference" w:type="character">
    <w:name w:val="annotation reference"/>
    <w:basedOn w:val="DefaultParagraphFont"/>
    <w:uiPriority w:val="99"/>
    <w:semiHidden/>
    <w:unhideWhenUsed/>
    <w:rsid w:val="001F05BE"/>
    <w:rPr>
      <w:sz w:val="16"/>
      <w:szCs w:val="16"/>
    </w:rPr>
  </w:style>
  <w:style w:styleId="CommentText" w:type="paragraph">
    <w:name w:val="annotation text"/>
    <w:basedOn w:val="Normal"/>
    <w:link w:val="CommentTextChar"/>
    <w:uiPriority w:val="99"/>
    <w:unhideWhenUsed/>
    <w:rsid w:val="001F05BE"/>
    <w:pPr>
      <w:spacing w:line="240" w:lineRule="auto"/>
    </w:pPr>
    <w:rPr>
      <w:sz w:val="20"/>
      <w:szCs w:val="20"/>
    </w:rPr>
  </w:style>
  <w:style w:customStyle="1" w:styleId="CommentTextChar" w:type="character">
    <w:name w:val="Comment Text Char"/>
    <w:basedOn w:val="DefaultParagraphFont"/>
    <w:link w:val="CommentText"/>
    <w:uiPriority w:val="99"/>
    <w:rsid w:val="001F05BE"/>
    <w:rPr>
      <w:sz w:val="20"/>
      <w:szCs w:val="20"/>
      <w:lang w:val="es"/>
    </w:rPr>
  </w:style>
  <w:style w:styleId="CommentSubject" w:type="paragraph">
    <w:name w:val="annotation subject"/>
    <w:basedOn w:val="CommentText"/>
    <w:next w:val="CommentText"/>
    <w:link w:val="CommentSubjectChar"/>
    <w:uiPriority w:val="99"/>
    <w:semiHidden/>
    <w:unhideWhenUsed/>
    <w:rsid w:val="001F05BE"/>
    <w:rPr>
      <w:b/>
      <w:bCs/>
    </w:rPr>
  </w:style>
  <w:style w:customStyle="1" w:styleId="CommentSubjectChar" w:type="character">
    <w:name w:val="Comment Subject Char"/>
    <w:basedOn w:val="CommentTextChar"/>
    <w:link w:val="CommentSubject"/>
    <w:uiPriority w:val="99"/>
    <w:semiHidden/>
    <w:rsid w:val="001F05BE"/>
    <w:rPr>
      <w:b/>
      <w:bCs/>
      <w:sz w:val="20"/>
      <w:szCs w:val="20"/>
      <w:lang w:val="es"/>
    </w:rPr>
  </w:style>
  <w:style w:styleId="FootnoteText" w:type="paragraph">
    <w:name w:val="footnote text"/>
    <w:basedOn w:val="Normal"/>
    <w:uiPriority w:val="9"/>
    <w:unhideWhenUsed/>
    <w:qFormat/>
    <w:rsid w:val="00683F31"/>
    <w:rPr>
      <w:sz w:val="18"/>
    </w:rPr>
  </w:style>
  <w:style w:customStyle="1" w:styleId="FootnoteBlockText" w:type="paragraph">
    <w:name w:val="Footnote Block Text"/>
    <w:basedOn w:val="FootnoteText"/>
    <w:qFormat/>
    <w:pPr>
      <w:spacing w:after="100" w:before="100"/>
      <w:ind w:left="480" w:right="48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SubtitleChar" w:type="character">
    <w:name w:val="Subtitle Char"/>
    <w:basedOn w:val="DefaultParagraphFont"/>
    <w:link w:val="Subtitle"/>
    <w:uiPriority w:val="11"/>
    <w:rPr>
      <w:rFonts w:cstheme="majorBidi" w:eastAsiaTheme="majorEastAsia"/>
      <w:color w:themeColor="text1" w:themeTint="A6" w:val="595959"/>
      <w:spacing w:val="15"/>
      <w:sz w:val="28"/>
      <w:szCs w:val="28"/>
    </w:rPr>
  </w:style>
  <w:style w:styleId="Subtitle" w:type="paragraph">
    <w:name w:val="Subtitle"/>
    <w:basedOn w:val="Title"/>
    <w:next w:val="BodyText"/>
    <w:link w:val="SubtitleChar"/>
    <w:uiPriority w:val="11"/>
    <w:qFormat/>
    <w:pPr>
      <w:numPr>
        <w:ilvl w:val="1"/>
      </w:numPr>
    </w:pPr>
    <w:rPr>
      <w:spacing w:val="15"/>
      <w:sz w:val="28"/>
      <w:szCs w:val="28"/>
    </w:rPr>
  </w:style>
  <w:style w:customStyle="1" w:styleId="FirstParagraph" w:type="paragraph">
    <w:name w:val="First Paragraph"/>
    <w:basedOn w:val="BodyText"/>
    <w:next w:val="BodyText"/>
    <w:qFormat/>
    <w:pPr>
      <w:spacing w:before="180"/>
    </w:pPr>
    <w:rPr>
      <w:rFonts w:ascii="Arial" w:eastAsiaTheme="minorHAnsi" w:hAnsi="Arial"/>
      <w:sz w:val="20"/>
      <w:lang w:eastAsia="en-US"/>
    </w:rPr>
  </w:style>
  <w:style w:styleId="BlockText" w:type="paragraph">
    <w:name w:val="Block Text"/>
    <w:basedOn w:val="BodyText"/>
    <w:next w:val="BodyText"/>
    <w:uiPriority w:val="9"/>
    <w:unhideWhenUsed/>
    <w:qFormat/>
    <w:pPr>
      <w:spacing w:after="100" w:before="100"/>
      <w:ind w:left="480" w:right="480"/>
    </w:pPr>
  </w:style>
  <w:style w:customStyle="1" w:styleId="ImageCaption" w:type="paragraph">
    <w:name w:val="Image Caption"/>
    <w:basedOn w:val="Caption"/>
  </w:style>
  <w:style w:customStyle="1" w:styleId="TableCaption" w:type="paragraph">
    <w:name w:val="Table Caption"/>
    <w:basedOn w:val="Caption"/>
  </w:style>
  <w:style w:customStyle="1" w:styleId="Compact" w:type="paragraph">
    <w:name w:val="Compact"/>
    <w:basedOn w:val="BodyText"/>
    <w:qFormat/>
    <w:pPr>
      <w:spacing w:after="36" w:before="36"/>
    </w:pPr>
  </w:style>
  <w:style w:customStyle="1" w:styleId="Table" w:type="table">
    <w:name w:val="Table"/>
    <w:basedOn w:val="TableNormal"/>
    <w:semiHidden/>
    <w:unhideWhenUsed/>
    <w:qFormat/>
    <w:tblPr/>
    <w:tblStylePr w:type="firstRow">
      <w:tblPr>
        <w:jc w:val="left"/>
      </w:tblPr>
      <w:trPr>
        <w:jc w:val="left"/>
      </w:trPr>
      <w:tcPr>
        <w:tcBorders>
          <w:bottom w:color="auto" w:space="0" w:sz="0" w:val="single"/>
        </w:tcBorders>
        <w:vAlign w:val="bottom"/>
      </w:tcPr>
    </w:tblStylePr>
    <w:rPr>
      <w:sz w:val="18"/>
      <w:szCs w:val="18"/>
    </w:rPr>
  </w:style>
  <w:style w:customStyle="1" w:styleId="VerbatimChar" w:type="character">
    <w:name w:val="Verbatim Char"/>
    <w:basedOn w:val="BodyTextChar"/>
    <w:rPr>
      <w:rFonts w:ascii="Consolas" w:eastAsiaTheme="minorHAnsi" w:hAnsi="Consolas"/>
      <w:sz w:val="22"/>
      <w:lang w:eastAsia="en-US" w:val="es"/>
    </w:rPr>
  </w:style>
  <w:style w:customStyle="1" w:styleId="Figure" w:type="paragraph">
    <w:name w:val="Figure"/>
    <w:basedOn w:val="Normal"/>
  </w:style>
  <w:style w:customStyle="1" w:styleId="CaptionedFigure" w:type="paragraph">
    <w:name w:val="Captioned Figure"/>
    <w:basedOn w:val="Figure"/>
  </w:style>
  <w:style w:default="1" w:styleId="Normal" w:type="paragraph">
    <w:name w:val="Normal"/>
    <w:aliases w:val="±BodyText"/>
    <w:qFormat/>
    <w:rsid w:val="004A13D9"/>
    <w:pPr>
      <w:spacing w:before="0" w:line="240" w:lineRule="auto"/>
    </w:pPr>
    <w:rPr>
      <w:rFonts w:cs="Times New Roman" w:eastAsia="Times New Roman"/>
      <w:color w:val="auto"/>
      <w:sz w:val="21"/>
      <w:szCs w:val="24"/>
      <w:lang w:val="es"/>
    </w:rPr>
  </w:style>
  <w:style w:styleId="BodyText" w:type="paragraph">
    <w:name w:val="Body Text"/>
    <w:basedOn w:val="Normal"/>
    <w:link w:val="BodyTextChar"/>
    <w:qFormat/>
    <w:rsid w:val="00FF36F5"/>
    <w:pPr>
      <w:spacing w:after="120" w:before="120"/>
    </w:pPr>
    <w:rPr>
      <w:rFonts w:ascii="Arial" w:hAnsi="Arial"/>
      <w:lang w:val="es"/>
    </w:rPr>
  </w:style>
  <w:style w:styleId="ListBullet" w:type="paragraph">
    <w:name w:val="List Bullet"/>
    <w:basedOn w:val="Normal"/>
    <w:uiPriority w:val="1"/>
    <w:qFormat/>
    <w:rsid w:val="004A13D9"/>
    <w:pPr>
      <w:numPr>
        <w:numId w:val="27"/>
      </w:numPr>
      <w:spacing w:before="60"/>
    </w:pPr>
    <w:rPr>
      <w:rFonts w:ascii="Arial" w:eastAsia="Calibri" w:hAnsi="Arial"/>
    </w:rPr>
  </w:style>
  <w:style w:customStyle="1" w:styleId="Head1NonToc" w:type="paragraph">
    <w:name w:val="±Head1NonToc"/>
    <w:basedOn w:val="NoSpacing"/>
    <w:next w:val="Normal"/>
    <w:uiPriority w:val="3"/>
    <w:rsid w:val="006833EB"/>
    <w:pPr>
      <w:keepNext/>
      <w:pageBreakBefore/>
      <w:spacing w:after="60"/>
      <w:outlineLvl w:val="0"/>
    </w:pPr>
    <w:rPr>
      <w:rFonts w:asciiTheme="majorHAnsi" w:hAnsiTheme="majorHAnsi"/>
      <w:b/>
      <w:sz w:val="36"/>
    </w:rPr>
  </w:style>
  <w:style w:customStyle="1" w:styleId="NoNumHead1" w:type="paragraph">
    <w:name w:val="NoNumHead1"/>
    <w:basedOn w:val="Head1NonToc"/>
    <w:next w:val="Normal"/>
    <w:uiPriority w:val="4"/>
    <w:qFormat/>
    <w:rsid w:val="00422D68"/>
    <w:pPr>
      <w:pageBreakBefore w:val="0"/>
      <w:spacing w:before="600"/>
    </w:pPr>
    <w:rPr>
      <w:sz w:val="32"/>
    </w:rPr>
  </w:style>
  <w:style w:customStyle="1" w:styleId="NoNumHead2" w:type="paragraph">
    <w:name w:val="NoNumHead2"/>
    <w:basedOn w:val="NoNumHead1"/>
    <w:next w:val="Normal"/>
    <w:uiPriority w:val="4"/>
    <w:qFormat/>
    <w:rsid w:val="00854719"/>
    <w:pPr>
      <w:spacing w:after="120" w:before="240"/>
    </w:pPr>
    <w:rPr>
      <w:sz w:val="24"/>
    </w:rPr>
  </w:style>
  <w:style w:customStyle="1" w:styleId="NoNumHeadLine2" w:type="paragraph">
    <w:name w:val="NoNumHeadLine2"/>
    <w:basedOn w:val="NoNumHead2"/>
    <w:next w:val="Normal"/>
    <w:uiPriority w:val="4"/>
    <w:qFormat/>
    <w:rsid w:val="00854719"/>
    <w:pPr>
      <w:pBdr>
        <w:top w:color="auto" w:space="1" w:sz="4" w:val="single"/>
      </w:pBdr>
      <w:spacing w:after="120" w:before="240"/>
    </w:pPr>
    <w:rPr>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303268">
      <w:bodyDiv w:val="1"/>
      <w:marLeft w:val="0"/>
      <w:marRight w:val="0"/>
      <w:marTop w:val="0"/>
      <w:marBottom w:val="0"/>
      <w:divBdr>
        <w:top w:val="none" w:sz="0" w:space="0" w:color="auto"/>
        <w:left w:val="none" w:sz="0" w:space="0" w:color="auto"/>
        <w:bottom w:val="none" w:sz="0" w:space="0" w:color="auto"/>
        <w:right w:val="none" w:sz="0" w:space="0" w:color="auto"/>
      </w:divBdr>
    </w:div>
    <w:div w:id="2031176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2.xml" Type="http://schemas.openxmlformats.org/officeDocument/2006/relationships/header" /><Relationship Id="rId12" Target="footer1.xml" Type="http://schemas.openxmlformats.org/officeDocument/2006/relationships/footer" /><Relationship Id="rId11" Target="header1.xml" Type="http://schemas.openxmlformats.org/officeDocument/2006/relationships/header" /><Relationship Id="rId14" Target="footer2.xml" Type="http://schemas.openxmlformats.org/officeDocument/2006/relationships/footer" /><Relationship Type="http://schemas.openxmlformats.org/officeDocument/2006/relationships/image" Id="rId25" Target="media/rId25.jp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69" Target="media/rId169.png" /><Relationship Type="http://schemas.openxmlformats.org/officeDocument/2006/relationships/image" Id="rId165" Target="media/rId165.png" /><Relationship Type="http://schemas.openxmlformats.org/officeDocument/2006/relationships/image" Id="rId173" Target="media/rId173.png" /><Relationship Type="http://schemas.openxmlformats.org/officeDocument/2006/relationships/image" Id="rId181" Target="media/rId181.png" /><Relationship Type="http://schemas.openxmlformats.org/officeDocument/2006/relationships/image" Id="rId177" Target="media/rId177.png" /><Relationship Type="http://schemas.openxmlformats.org/officeDocument/2006/relationships/image" Id="rId185" Target="media/rId185.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hyperlink" Id="rId199" Target="https://cspi.ca/wp-content/uploads/2021/04/handbook_chapter02.pdf" TargetMode="External" /><Relationship Type="http://schemas.openxmlformats.org/officeDocument/2006/relationships/hyperlink" Id="rId208" Target="https://doi.org/10.1061/(ASCE)1090-0241(2005)131:11(1429)" TargetMode="External" /><Relationship Type="http://schemas.openxmlformats.org/officeDocument/2006/relationships/hyperlink" Id="rId205" Target="https://doi.org/10.1061/AJGEB6.0001306" TargetMode="External" /><Relationship Type="http://schemas.openxmlformats.org/officeDocument/2006/relationships/hyperlink" Id="rId196" Target="https://rosap.ntl.bts.gov/view/dot/68707" TargetMode="External" /><Relationship Type="http://schemas.openxmlformats.org/officeDocument/2006/relationships/hyperlink" Id="rId194" Target="https://store.transportation.org/Common/DownloadContentFiles?id=2493" TargetMode="External" /><Relationship Type="http://schemas.openxmlformats.org/officeDocument/2006/relationships/hyperlink" Id="rId192" Target="https://www.concrete.org/store/productdetail?ItemID=318U25&amp;Language=English" TargetMode="External" /><Relationship Type="http://schemas.openxmlformats.org/officeDocument/2006/relationships/hyperlink" Id="rId201" Target="https://www.cspi.ca/sites/default/files/download/handbook_chapter06.pdf" TargetMode="External" /><Relationship Type="http://schemas.openxmlformats.org/officeDocument/2006/relationships/hyperlink" Id="rId203" Target="https://www.inti.gob.ar/assets/uploads/files/cirsoc/06-reglamentos-2da-generacion/area800/1/06_Area800_07-A-Reglamento-CIRSOC-804-4-2023_APROBADO.pdf" TargetMode="External" /></Relationships>
</file>

<file path=word/_rels/footnotes.xml.rels><?xml version="1.0" encoding="UTF-8"?><Relationships xmlns="http://schemas.openxmlformats.org/package/2006/relationships"><Relationship Type="http://schemas.openxmlformats.org/officeDocument/2006/relationships/hyperlink" Id="rId199" Target="https://cspi.ca/wp-content/uploads/2021/04/handbook_chapter02.pdf" TargetMode="External" /><Relationship Type="http://schemas.openxmlformats.org/officeDocument/2006/relationships/hyperlink" Id="rId208" Target="https://doi.org/10.1061/(ASCE)1090-0241(2005)131:11(1429)" TargetMode="External" /><Relationship Type="http://schemas.openxmlformats.org/officeDocument/2006/relationships/hyperlink" Id="rId205" Target="https://doi.org/10.1061/AJGEB6.0001306" TargetMode="External" /><Relationship Type="http://schemas.openxmlformats.org/officeDocument/2006/relationships/hyperlink" Id="rId196" Target="https://rosap.ntl.bts.gov/view/dot/68707" TargetMode="External" /><Relationship Type="http://schemas.openxmlformats.org/officeDocument/2006/relationships/hyperlink" Id="rId194" Target="https://store.transportation.org/Common/DownloadContentFiles?id=2493" TargetMode="External" /><Relationship Type="http://schemas.openxmlformats.org/officeDocument/2006/relationships/hyperlink" Id="rId192" Target="https://www.concrete.org/store/productdetail?ItemID=318U25&amp;Language=English" TargetMode="External" /><Relationship Type="http://schemas.openxmlformats.org/officeDocument/2006/relationships/hyperlink" Id="rId201" Target="https://www.cspi.ca/sites/default/files/download/handbook_chapter06.pdf" TargetMode="External" /><Relationship Type="http://schemas.openxmlformats.org/officeDocument/2006/relationships/hyperlink" Id="rId203" Target="https://www.inti.gob.ar/assets/uploads/files/cirsoc/06-reglamentos-2da-generacion/area800/1/06_Area800_07-A-Reglamento-CIRSOC-804-4-2023_APROBADO.pdf"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verrik/Documents/docx/Report%20A_BETA_20250312_No%20Emblems_CCL.dotx" TargetMode="External"/></Relationships>
</file>

<file path=word/theme/theme1.xml><?xml version="1.0" encoding="utf-8"?>
<a:theme xmlns:a="http://schemas.openxmlformats.org/drawingml/2006/main" name="Office Theme">
  <a:themeElements>
    <a:clrScheme name="SRK 2024">
      <a:dk1>
        <a:sysClr val="windowText" lastClr="000000"/>
      </a:dk1>
      <a:lt1>
        <a:sysClr val="window" lastClr="FFFFFF"/>
      </a:lt1>
      <a:dk2>
        <a:srgbClr val="F37021"/>
      </a:dk2>
      <a:lt2>
        <a:srgbClr val="E8E8E8"/>
      </a:lt2>
      <a:accent1>
        <a:srgbClr val="156082"/>
      </a:accent1>
      <a:accent2>
        <a:srgbClr val="AEAEAE"/>
      </a:accent2>
      <a:accent3>
        <a:srgbClr val="196B24"/>
      </a:accent3>
      <a:accent4>
        <a:srgbClr val="0F9ED5"/>
      </a:accent4>
      <a:accent5>
        <a:srgbClr val="A02B93"/>
      </a:accent5>
      <a:accent6>
        <a:srgbClr val="4EA72E"/>
      </a:accent6>
      <a:hlink>
        <a:srgbClr val="F37021"/>
      </a:hlink>
      <a:folHlink>
        <a:srgbClr val="7F7F7F"/>
      </a:folHlink>
    </a:clrScheme>
    <a:fontScheme name="SRK">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Report A_BETA_20250312_No Emblems_CCL.dotx</Template>
  <TotalTime>1</TotalTime>
  <Pages>4</Pages>
  <Words>359</Words>
  <Characters>1792</Characters>
  <Application>Microsoft Office Word</Application>
  <DocSecurity>0</DocSecurity>
  <Lines>64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Portada</dc:title>
  <dc:creator/>
  <dc:language>es</dc:language>
  <cp:keywords/>
  <dcterms:created xsi:type="dcterms:W3CDTF">2026-08-20T13:16:29Z</dcterms:created>
  <dcterms:modified xsi:type="dcterms:W3CDTF">2026-08-20T13:16:29Z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lorlinks">
    <vt:lpwstr>True</vt:lpwstr>
  </property>
  <property fmtid="{D5CDD505-2E9C-101B-9397-08002B2CF9AE}" pid="6" name="crossref">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number-depth">
    <vt:lpwstr>4</vt:lpwstr>
  </property>
  <property fmtid="{D5CDD505-2E9C-101B-9397-08002B2CF9AE}" pid="14" name="template-partials">
    <vt:lpwstr/>
  </property>
  <property fmtid="{D5CDD505-2E9C-101B-9397-08002B2CF9AE}" pid="15" name="toc-title">
    <vt:lpwstr>Contenido</vt:lpwstr>
  </property>
</Properties>
</file>