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2905"/>
        <w:gridCol w:w="3419"/>
        <w:gridCol w:w="1482"/>
      </w:tblGrid>
      <w:tr w:rsidR="007450AC" w:rsidTr="007450AC">
        <w:tc>
          <w:tcPr>
            <w:tcW w:w="2905" w:type="dxa"/>
          </w:tcPr>
          <w:p w:rsidR="007450AC" w:rsidRDefault="007450AC">
            <w:r>
              <w:t>Anforderung</w:t>
            </w:r>
          </w:p>
        </w:tc>
        <w:tc>
          <w:tcPr>
            <w:tcW w:w="3419" w:type="dxa"/>
          </w:tcPr>
          <w:p w:rsidR="007450AC" w:rsidRDefault="007450AC">
            <w:r>
              <w:t>FitKriterium</w:t>
            </w:r>
          </w:p>
        </w:tc>
        <w:tc>
          <w:tcPr>
            <w:tcW w:w="1482" w:type="dxa"/>
          </w:tcPr>
          <w:p w:rsidR="007450AC" w:rsidRDefault="007450AC">
            <w:r>
              <w:t>Umgesetzt?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FA01 Artikel erstellen</w:t>
            </w:r>
          </w:p>
        </w:tc>
        <w:tc>
          <w:tcPr>
            <w:tcW w:w="3419" w:type="dxa"/>
          </w:tcPr>
          <w:p w:rsidR="007450AC" w:rsidRDefault="007450AC" w:rsidP="007450AC">
            <w:r>
              <w:t xml:space="preserve">Webseite zeigt </w:t>
            </w:r>
            <w:proofErr w:type="spellStart"/>
            <w:r>
              <w:t>Success</w:t>
            </w:r>
            <w:proofErr w:type="spellEnd"/>
            <w:r>
              <w:t xml:space="preserve">-Meldung und das Backend legt einen neuen Artikel in der Datenbank und im </w:t>
            </w:r>
            <w:proofErr w:type="spellStart"/>
            <w:r>
              <w:t>Filesystem</w:t>
            </w:r>
            <w:proofErr w:type="spellEnd"/>
            <w:r>
              <w:t xml:space="preserve"> an.</w:t>
            </w:r>
          </w:p>
        </w:tc>
        <w:tc>
          <w:tcPr>
            <w:tcW w:w="1482" w:type="dxa"/>
          </w:tcPr>
          <w:p w:rsidR="007450AC" w:rsidRDefault="007918AF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FA02 Artikel bearbeiten</w:t>
            </w:r>
          </w:p>
        </w:tc>
        <w:tc>
          <w:tcPr>
            <w:tcW w:w="3419" w:type="dxa"/>
          </w:tcPr>
          <w:p w:rsidR="007450AC" w:rsidRDefault="007450AC" w:rsidP="00460077">
            <w:r>
              <w:t xml:space="preserve">Webseite zeigt </w:t>
            </w:r>
            <w:proofErr w:type="spellStart"/>
            <w:r>
              <w:t>Success</w:t>
            </w:r>
            <w:proofErr w:type="spellEnd"/>
            <w:r>
              <w:t xml:space="preserve">-Meldung und das Backend speichert </w:t>
            </w:r>
            <w:r w:rsidR="00460077">
              <w:t>die geänderte, neue</w:t>
            </w:r>
            <w:r>
              <w:t xml:space="preserve"> Version des Artikels.</w:t>
            </w:r>
          </w:p>
        </w:tc>
        <w:tc>
          <w:tcPr>
            <w:tcW w:w="1482" w:type="dxa"/>
          </w:tcPr>
          <w:p w:rsidR="007450AC" w:rsidRDefault="007918AF" w:rsidP="004A327B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FA03 Artikel löschen</w:t>
            </w:r>
          </w:p>
        </w:tc>
        <w:tc>
          <w:tcPr>
            <w:tcW w:w="3419" w:type="dxa"/>
          </w:tcPr>
          <w:p w:rsidR="007450AC" w:rsidRDefault="007450AC">
            <w:r>
              <w:t>Die Webseite navigiert automatisch zum Startbildschirm des Systems und</w:t>
            </w:r>
            <w:r w:rsidR="00460077">
              <w:t xml:space="preserve"> das Backend</w:t>
            </w:r>
            <w:r>
              <w:t xml:space="preserve"> löscht den Artikel aus dem </w:t>
            </w:r>
            <w:proofErr w:type="spellStart"/>
            <w:r>
              <w:t>Filesystem</w:t>
            </w:r>
            <w:proofErr w:type="spellEnd"/>
            <w:r>
              <w:t xml:space="preserve"> und der Datenbank. Der Artikel kann über die Suchfunktion des Systems nicht mehr gefunden werden.</w:t>
            </w:r>
          </w:p>
        </w:tc>
        <w:tc>
          <w:tcPr>
            <w:tcW w:w="1482" w:type="dxa"/>
          </w:tcPr>
          <w:p w:rsidR="007450AC" w:rsidRDefault="007918AF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FA04 Artikel anzeigen</w:t>
            </w:r>
          </w:p>
        </w:tc>
        <w:tc>
          <w:tcPr>
            <w:tcW w:w="3419" w:type="dxa"/>
          </w:tcPr>
          <w:p w:rsidR="007450AC" w:rsidRDefault="007450AC">
            <w:r>
              <w:t>Das System zeigt den Detailview zum ausgewählten Artikel an.</w:t>
            </w:r>
          </w:p>
        </w:tc>
        <w:tc>
          <w:tcPr>
            <w:tcW w:w="1482" w:type="dxa"/>
          </w:tcPr>
          <w:p w:rsidR="007450AC" w:rsidRDefault="007918AF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FA05 Bearbeiter benachrichtigen</w:t>
            </w:r>
          </w:p>
        </w:tc>
        <w:tc>
          <w:tcPr>
            <w:tcW w:w="3419" w:type="dxa"/>
          </w:tcPr>
          <w:p w:rsidR="007450AC" w:rsidRDefault="007450AC">
            <w:r>
              <w:t xml:space="preserve">Das System öffnet das Standard Emailsystem des </w:t>
            </w:r>
            <w:proofErr w:type="spellStart"/>
            <w:r>
              <w:t>BenutzerPC’s</w:t>
            </w:r>
            <w:proofErr w:type="spellEnd"/>
            <w:r>
              <w:t xml:space="preserve"> und füg</w:t>
            </w:r>
            <w:r w:rsidR="00460077">
              <w:t xml:space="preserve">t die angegebene Emailadresse in die </w:t>
            </w:r>
            <w:proofErr w:type="spellStart"/>
            <w:r w:rsidR="00460077">
              <w:t>A</w:t>
            </w:r>
            <w:r>
              <w:t>dressatenzeile</w:t>
            </w:r>
            <w:proofErr w:type="spellEnd"/>
            <w:r>
              <w:t xml:space="preserve"> ein.</w:t>
            </w:r>
          </w:p>
        </w:tc>
        <w:tc>
          <w:tcPr>
            <w:tcW w:w="1482" w:type="dxa"/>
          </w:tcPr>
          <w:p w:rsidR="007450AC" w:rsidRDefault="007918AF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FA06 A</w:t>
            </w:r>
            <w:r w:rsidR="00460077">
              <w:t xml:space="preserve">rtikel/Dokumente </w:t>
            </w:r>
            <w:r>
              <w:t>suchen</w:t>
            </w:r>
          </w:p>
        </w:tc>
        <w:tc>
          <w:tcPr>
            <w:tcW w:w="3419" w:type="dxa"/>
          </w:tcPr>
          <w:p w:rsidR="007450AC" w:rsidRDefault="007450AC">
            <w:r>
              <w:t>Das System zeigt eine Auflistung von Suchergebnissen, die den eingegebenen Suchbegriff beinhalten, an.</w:t>
            </w:r>
          </w:p>
        </w:tc>
        <w:tc>
          <w:tcPr>
            <w:tcW w:w="1482" w:type="dxa"/>
          </w:tcPr>
          <w:p w:rsidR="007450AC" w:rsidRDefault="007918AF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FA07 Erweiterte Suche</w:t>
            </w:r>
          </w:p>
        </w:tc>
        <w:tc>
          <w:tcPr>
            <w:tcW w:w="3419" w:type="dxa"/>
          </w:tcPr>
          <w:p w:rsidR="007450AC" w:rsidRDefault="00460077" w:rsidP="001E1447">
            <w:r>
              <w:t>Es kann nach Autorennamen gesucht werden. Dabei werden alle Artikel gefunden wo der eingegebene Name als Autor oder als letzter Bearbeiter hinterlegt wurde.</w:t>
            </w:r>
          </w:p>
        </w:tc>
        <w:tc>
          <w:tcPr>
            <w:tcW w:w="1482" w:type="dxa"/>
          </w:tcPr>
          <w:p w:rsidR="007450AC" w:rsidRDefault="007918AF" w:rsidP="001E1447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FA08 Datei hochladen</w:t>
            </w:r>
          </w:p>
        </w:tc>
        <w:tc>
          <w:tcPr>
            <w:tcW w:w="3419" w:type="dxa"/>
          </w:tcPr>
          <w:p w:rsidR="007450AC" w:rsidRDefault="007450AC" w:rsidP="001E1447">
            <w:r>
              <w:t xml:space="preserve">Das System blendet eine </w:t>
            </w:r>
            <w:proofErr w:type="spellStart"/>
            <w:r>
              <w:t>Succes</w:t>
            </w:r>
            <w:r w:rsidR="00460077">
              <w:t>s</w:t>
            </w:r>
            <w:r>
              <w:t>meldung</w:t>
            </w:r>
            <w:proofErr w:type="spellEnd"/>
            <w:r>
              <w:t xml:space="preserve"> ein. Außerdem wird die hochgeladene Datei als Anhang zum Artikel angezeigt.</w:t>
            </w:r>
            <w:r w:rsidR="00460077">
              <w:t xml:space="preserve"> Außerdem wird die Datei im </w:t>
            </w:r>
            <w:proofErr w:type="spellStart"/>
            <w:r w:rsidR="00460077">
              <w:t>Filesystem</w:t>
            </w:r>
            <w:proofErr w:type="spellEnd"/>
            <w:r w:rsidR="00460077">
              <w:t xml:space="preserve"> gespeichert.</w:t>
            </w:r>
          </w:p>
        </w:tc>
        <w:tc>
          <w:tcPr>
            <w:tcW w:w="1482" w:type="dxa"/>
          </w:tcPr>
          <w:p w:rsidR="007450AC" w:rsidRDefault="007918AF" w:rsidP="001E1447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FA09 </w:t>
            </w:r>
            <w:proofErr w:type="spellStart"/>
            <w:r>
              <w:t>Artikeinhalte</w:t>
            </w:r>
            <w:proofErr w:type="spellEnd"/>
            <w:r>
              <w:t xml:space="preserve"> formatieren</w:t>
            </w:r>
          </w:p>
        </w:tc>
        <w:tc>
          <w:tcPr>
            <w:tcW w:w="3419" w:type="dxa"/>
          </w:tcPr>
          <w:p w:rsidR="007450AC" w:rsidRDefault="00C02205" w:rsidP="001E1447">
            <w:r>
              <w:t>Siehe Abschnitt 9.2.4 im Architekturdokument.</w:t>
            </w:r>
          </w:p>
        </w:tc>
        <w:tc>
          <w:tcPr>
            <w:tcW w:w="1482" w:type="dxa"/>
          </w:tcPr>
          <w:p w:rsidR="007450AC" w:rsidRDefault="007918AF" w:rsidP="001E1447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FA10 Artikel </w:t>
            </w:r>
            <w:r w:rsidR="003143AE">
              <w:t xml:space="preserve">erstmalig </w:t>
            </w:r>
            <w:r>
              <w:t>speichern</w:t>
            </w:r>
          </w:p>
        </w:tc>
        <w:tc>
          <w:tcPr>
            <w:tcW w:w="3419" w:type="dxa"/>
          </w:tcPr>
          <w:p w:rsidR="007450AC" w:rsidRDefault="007450AC" w:rsidP="00460077">
            <w:r>
              <w:t>Nach dem Klick auf den „S</w:t>
            </w:r>
            <w:r w:rsidR="00460077">
              <w:t>ave</w:t>
            </w:r>
            <w:r>
              <w:t xml:space="preserve">“ Button in der </w:t>
            </w:r>
            <w:proofErr w:type="spellStart"/>
            <w:r>
              <w:t>create</w:t>
            </w:r>
            <w:proofErr w:type="spellEnd"/>
            <w:r>
              <w:t xml:space="preserve"> View, wird eine Meldung „</w:t>
            </w:r>
            <w:proofErr w:type="spellStart"/>
            <w:r>
              <w:t>S</w:t>
            </w:r>
            <w:r w:rsidR="00460077">
              <w:t>uccess</w:t>
            </w:r>
            <w:proofErr w:type="spellEnd"/>
            <w:r w:rsidR="003143AE">
              <w:t>“ angezeigt, der Artikelinhalt</w:t>
            </w:r>
            <w:r>
              <w:t xml:space="preserve"> im </w:t>
            </w:r>
            <w:proofErr w:type="spellStart"/>
            <w:r>
              <w:t>Filesystem</w:t>
            </w:r>
            <w:proofErr w:type="spellEnd"/>
            <w:r>
              <w:t xml:space="preserve"> hinterlegt und </w:t>
            </w:r>
            <w:r w:rsidR="003143AE">
              <w:t xml:space="preserve">dessen Metadaten werden in die Datenbank geschrieben. Danach ist der Artikel </w:t>
            </w:r>
            <w:r>
              <w:t>in der Suche auffindbar.</w:t>
            </w:r>
          </w:p>
        </w:tc>
        <w:tc>
          <w:tcPr>
            <w:tcW w:w="1482" w:type="dxa"/>
          </w:tcPr>
          <w:p w:rsidR="007450AC" w:rsidRDefault="007918AF" w:rsidP="00576F85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FA11 Bearbeitung abbrechen</w:t>
            </w:r>
          </w:p>
        </w:tc>
        <w:tc>
          <w:tcPr>
            <w:tcW w:w="3419" w:type="dxa"/>
          </w:tcPr>
          <w:p w:rsidR="007450AC" w:rsidRDefault="003143AE" w:rsidP="00576F85">
            <w:r>
              <w:t>Beim Klick auf den Abbrechen-Button in der Edit-View wird man zur Leseansicht des Artikels geleitet.</w:t>
            </w:r>
          </w:p>
          <w:p w:rsidR="003143AE" w:rsidRDefault="003143AE" w:rsidP="00576F85">
            <w:r>
              <w:lastRenderedPageBreak/>
              <w:t>Beim Abbrechen der Bearbeitung eines neuen Artikels, gelangt man zur Startseite zurück.</w:t>
            </w:r>
          </w:p>
        </w:tc>
        <w:tc>
          <w:tcPr>
            <w:tcW w:w="1482" w:type="dxa"/>
          </w:tcPr>
          <w:p w:rsidR="007450AC" w:rsidRDefault="007918AF" w:rsidP="00576F85">
            <w:r>
              <w:lastRenderedPageBreak/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lastRenderedPageBreak/>
              <w:t>FA12 Zuletzt gesehene Artikel anzeigen</w:t>
            </w:r>
          </w:p>
        </w:tc>
        <w:tc>
          <w:tcPr>
            <w:tcW w:w="3419" w:type="dxa"/>
          </w:tcPr>
          <w:p w:rsidR="007450AC" w:rsidRDefault="003143AE" w:rsidP="001E1447">
            <w:r>
              <w:t>Auf der Startseite des Produktes werden die 5 zuletzt gesehenen Artikel aufgelistet.</w:t>
            </w:r>
          </w:p>
        </w:tc>
        <w:tc>
          <w:tcPr>
            <w:tcW w:w="1482" w:type="dxa"/>
          </w:tcPr>
          <w:p w:rsidR="007450AC" w:rsidRDefault="007918AF" w:rsidP="001E1447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FA13 Automatische Titulierung</w:t>
            </w:r>
          </w:p>
        </w:tc>
        <w:tc>
          <w:tcPr>
            <w:tcW w:w="3419" w:type="dxa"/>
          </w:tcPr>
          <w:p w:rsidR="007450AC" w:rsidRDefault="007450AC" w:rsidP="001E1447">
            <w:r>
              <w:t>Ein Suchbegriff zu dem kein Artikel gefunden wurde, wird beim Anlegen eines neuen Artikels als Titel in die View zum Anlegen eines Artikels übernommen.</w:t>
            </w:r>
          </w:p>
        </w:tc>
        <w:tc>
          <w:tcPr>
            <w:tcW w:w="1482" w:type="dxa"/>
          </w:tcPr>
          <w:p w:rsidR="007450AC" w:rsidRDefault="003143AE" w:rsidP="001E1447">
            <w:r>
              <w:t>NEIN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FA14 Metadaten anzeigen</w:t>
            </w:r>
          </w:p>
        </w:tc>
        <w:tc>
          <w:tcPr>
            <w:tcW w:w="3419" w:type="dxa"/>
          </w:tcPr>
          <w:p w:rsidR="007450AC" w:rsidRDefault="007450AC" w:rsidP="006B77ED">
            <w:r>
              <w:t xml:space="preserve">Die Views </w:t>
            </w:r>
            <w:proofErr w:type="spellStart"/>
            <w:r>
              <w:t>Searchresults</w:t>
            </w:r>
            <w:proofErr w:type="spellEnd"/>
            <w:r>
              <w:t xml:space="preserve"> und Detail enthalten die Metadaten zu den angezeigten Artikeln.</w:t>
            </w:r>
            <w:r w:rsidR="003143AE">
              <w:t xml:space="preserve"> (Autor, letzter </w:t>
            </w:r>
            <w:proofErr w:type="spellStart"/>
            <w:r w:rsidR="003143AE">
              <w:t>Änderer</w:t>
            </w:r>
            <w:proofErr w:type="spellEnd"/>
            <w:r w:rsidR="003143AE">
              <w:t>, Datum + Uhrzeit)</w:t>
            </w:r>
          </w:p>
        </w:tc>
        <w:tc>
          <w:tcPr>
            <w:tcW w:w="1482" w:type="dxa"/>
          </w:tcPr>
          <w:p w:rsidR="007450AC" w:rsidRDefault="007918AF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FA15 Dateien referenzieren</w:t>
            </w:r>
          </w:p>
        </w:tc>
        <w:tc>
          <w:tcPr>
            <w:tcW w:w="3419" w:type="dxa"/>
          </w:tcPr>
          <w:p w:rsidR="007450AC" w:rsidRDefault="003143AE" w:rsidP="006B77ED">
            <w:r>
              <w:t>Man kann Dateien per Hyperlink im Text referenzieren.</w:t>
            </w:r>
          </w:p>
        </w:tc>
        <w:tc>
          <w:tcPr>
            <w:tcW w:w="1482" w:type="dxa"/>
          </w:tcPr>
          <w:p w:rsidR="007450AC" w:rsidRDefault="003143AE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FA16 Vorherige Version anzeigen</w:t>
            </w:r>
          </w:p>
        </w:tc>
        <w:tc>
          <w:tcPr>
            <w:tcW w:w="3419" w:type="dxa"/>
          </w:tcPr>
          <w:p w:rsidR="007450AC" w:rsidRDefault="007918AF" w:rsidP="006B77ED">
            <w:r>
              <w:t>Die vorherige Version kann per Klick auf den Button „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>“ per Pop-up-Fenster angezeigt werden.</w:t>
            </w:r>
          </w:p>
        </w:tc>
        <w:tc>
          <w:tcPr>
            <w:tcW w:w="1482" w:type="dxa"/>
          </w:tcPr>
          <w:p w:rsidR="007450AC" w:rsidRDefault="003143AE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FA17 Version wiederherstellen</w:t>
            </w:r>
          </w:p>
        </w:tc>
        <w:tc>
          <w:tcPr>
            <w:tcW w:w="3419" w:type="dxa"/>
          </w:tcPr>
          <w:p w:rsidR="007450AC" w:rsidRDefault="007918AF" w:rsidP="006B77ED">
            <w:r>
              <w:t xml:space="preserve">Man kann per </w:t>
            </w:r>
            <w:proofErr w:type="spellStart"/>
            <w:r>
              <w:t>copy</w:t>
            </w:r>
            <w:proofErr w:type="spellEnd"/>
            <w:r>
              <w:t xml:space="preserve"> und </w:t>
            </w:r>
            <w:proofErr w:type="spellStart"/>
            <w:r>
              <w:t>paste</w:t>
            </w:r>
            <w:proofErr w:type="spellEnd"/>
            <w:r>
              <w:t xml:space="preserve"> im Pop-up-Fenster die alte Version des Dokumentes einfügen und direkt speichern.</w:t>
            </w:r>
          </w:p>
        </w:tc>
        <w:tc>
          <w:tcPr>
            <w:tcW w:w="1482" w:type="dxa"/>
          </w:tcPr>
          <w:p w:rsidR="007450AC" w:rsidRDefault="007918AF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FA18 Dateien herunterladen</w:t>
            </w:r>
          </w:p>
        </w:tc>
        <w:tc>
          <w:tcPr>
            <w:tcW w:w="3419" w:type="dxa"/>
          </w:tcPr>
          <w:p w:rsidR="007450AC" w:rsidRDefault="007450AC" w:rsidP="006B77ED">
            <w:r>
              <w:t xml:space="preserve">Die heruntergeladene Datei befindet sich auf der Festplatte des Benutzer </w:t>
            </w:r>
            <w:proofErr w:type="spellStart"/>
            <w:r>
              <w:t>PC’s</w:t>
            </w:r>
            <w:proofErr w:type="spellEnd"/>
            <w:r>
              <w:t>.</w:t>
            </w:r>
          </w:p>
        </w:tc>
        <w:tc>
          <w:tcPr>
            <w:tcW w:w="1482" w:type="dxa"/>
          </w:tcPr>
          <w:p w:rsidR="007450AC" w:rsidRDefault="007918AF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FA19 Artikel Vorlagen</w:t>
            </w:r>
          </w:p>
        </w:tc>
        <w:tc>
          <w:tcPr>
            <w:tcW w:w="3419" w:type="dxa"/>
          </w:tcPr>
          <w:p w:rsidR="007450AC" w:rsidRDefault="007918AF" w:rsidP="006B77ED">
            <w:r>
              <w:t>Es existiert eine Liste mit Vorlagen im Edit-View.</w:t>
            </w:r>
          </w:p>
        </w:tc>
        <w:tc>
          <w:tcPr>
            <w:tcW w:w="1482" w:type="dxa"/>
          </w:tcPr>
          <w:p w:rsidR="007450AC" w:rsidRDefault="007918AF" w:rsidP="006B77ED">
            <w:r>
              <w:t>NEIN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FA20 Autordaten übernehmen</w:t>
            </w:r>
          </w:p>
        </w:tc>
        <w:tc>
          <w:tcPr>
            <w:tcW w:w="3419" w:type="dxa"/>
          </w:tcPr>
          <w:p w:rsidR="007450AC" w:rsidRDefault="007450AC" w:rsidP="006B77ED">
            <w:r>
              <w:t>Beim Anlegen eines zweiten Artikels werden die Felder „Autor“ und „Email“ bereits mit den Benutzerdaten ausgefüllt angezeigt.</w:t>
            </w:r>
          </w:p>
        </w:tc>
        <w:tc>
          <w:tcPr>
            <w:tcW w:w="1482" w:type="dxa"/>
          </w:tcPr>
          <w:p w:rsidR="007450AC" w:rsidRDefault="007918AF" w:rsidP="006B77ED">
            <w:r>
              <w:t>NEIN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FA21 Phonetische Suche</w:t>
            </w:r>
          </w:p>
        </w:tc>
        <w:tc>
          <w:tcPr>
            <w:tcW w:w="3419" w:type="dxa"/>
          </w:tcPr>
          <w:p w:rsidR="007450AC" w:rsidRDefault="007450AC" w:rsidP="00EC72AF">
            <w:r>
              <w:t>Das System liefert auch für ähnlich klingende Wörter Suchbegriffe. Zum Beispiel werden die gleichen Suchergebnisse zum Thema „Datenbank“ angezeigt, auch wenn man „</w:t>
            </w:r>
            <w:proofErr w:type="spellStart"/>
            <w:r>
              <w:t>Dtaenbank</w:t>
            </w:r>
            <w:proofErr w:type="spellEnd"/>
            <w:r>
              <w:t>“ schreibt.</w:t>
            </w:r>
          </w:p>
        </w:tc>
        <w:tc>
          <w:tcPr>
            <w:tcW w:w="1482" w:type="dxa"/>
          </w:tcPr>
          <w:p w:rsidR="007450AC" w:rsidRDefault="007918AF" w:rsidP="00EC72AF">
            <w:r>
              <w:t>NEIN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NFA01 Performanz Suche</w:t>
            </w:r>
          </w:p>
        </w:tc>
        <w:tc>
          <w:tcPr>
            <w:tcW w:w="3419" w:type="dxa"/>
          </w:tcPr>
          <w:p w:rsidR="007450AC" w:rsidRDefault="007450AC" w:rsidP="007918AF">
            <w:r>
              <w:t>Das System stellt innerhalb von 2 Sekunden</w:t>
            </w:r>
            <w:r w:rsidR="007918AF">
              <w:t xml:space="preserve"> (Serverseitige Suchzeit)</w:t>
            </w:r>
            <w:r>
              <w:t xml:space="preserve"> die Suchergebnisse für eine Suchanfrage zur Verfügung.</w:t>
            </w:r>
            <w:r w:rsidR="007918AF">
              <w:t xml:space="preserve"> </w:t>
            </w:r>
          </w:p>
        </w:tc>
        <w:tc>
          <w:tcPr>
            <w:tcW w:w="1482" w:type="dxa"/>
          </w:tcPr>
          <w:p w:rsidR="007450AC" w:rsidRDefault="00456335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NFA02 Performanz </w:t>
            </w:r>
            <w:proofErr w:type="spellStart"/>
            <w:r>
              <w:t>Reindizieren</w:t>
            </w:r>
            <w:proofErr w:type="spellEnd"/>
          </w:p>
        </w:tc>
        <w:tc>
          <w:tcPr>
            <w:tcW w:w="3419" w:type="dxa"/>
          </w:tcPr>
          <w:p w:rsidR="007450AC" w:rsidRDefault="00456335" w:rsidP="007918AF">
            <w:r>
              <w:t xml:space="preserve">Siehe Benchmarks zur </w:t>
            </w:r>
            <w:proofErr w:type="spellStart"/>
            <w:r>
              <w:t>Suchengine</w:t>
            </w:r>
            <w:proofErr w:type="spellEnd"/>
            <w:r>
              <w:t xml:space="preserve"> aus dem Architekturdokument.</w:t>
            </w:r>
          </w:p>
        </w:tc>
        <w:tc>
          <w:tcPr>
            <w:tcW w:w="1482" w:type="dxa"/>
          </w:tcPr>
          <w:p w:rsidR="007450AC" w:rsidRDefault="00456335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NFA03 Zuverlässigkeit Suche</w:t>
            </w:r>
          </w:p>
        </w:tc>
        <w:tc>
          <w:tcPr>
            <w:tcW w:w="3419" w:type="dxa"/>
          </w:tcPr>
          <w:p w:rsidR="007450AC" w:rsidRDefault="007450AC" w:rsidP="006B77ED">
            <w:r>
              <w:t xml:space="preserve">Die Liste der Suchergebnisse enthält nur Treffer, welche dem Suchbegriff, oder zumindest Teile diesem, </w:t>
            </w:r>
            <w:proofErr w:type="spellStart"/>
            <w:r>
              <w:t>matchen</w:t>
            </w:r>
            <w:proofErr w:type="spellEnd"/>
            <w:r>
              <w:t>.</w:t>
            </w:r>
          </w:p>
        </w:tc>
        <w:tc>
          <w:tcPr>
            <w:tcW w:w="1482" w:type="dxa"/>
          </w:tcPr>
          <w:p w:rsidR="007450AC" w:rsidRDefault="00456335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NFA04 </w:t>
            </w:r>
            <w:proofErr w:type="spellStart"/>
            <w:r>
              <w:t>Bedienbarkeit</w:t>
            </w:r>
            <w:proofErr w:type="spellEnd"/>
            <w:r>
              <w:t xml:space="preserve"> </w:t>
            </w:r>
            <w:r>
              <w:lastRenderedPageBreak/>
              <w:t>Einarbeitungszeit</w:t>
            </w:r>
          </w:p>
        </w:tc>
        <w:tc>
          <w:tcPr>
            <w:tcW w:w="3419" w:type="dxa"/>
          </w:tcPr>
          <w:p w:rsidR="007450AC" w:rsidRDefault="007450AC" w:rsidP="006B77ED">
            <w:r>
              <w:lastRenderedPageBreak/>
              <w:t xml:space="preserve">Das System muss nach einer </w:t>
            </w:r>
            <w:r>
              <w:lastRenderedPageBreak/>
              <w:t>Einarbeitungszeit von 15 Minuten bedienbar sein.</w:t>
            </w:r>
          </w:p>
        </w:tc>
        <w:tc>
          <w:tcPr>
            <w:tcW w:w="1482" w:type="dxa"/>
          </w:tcPr>
          <w:p w:rsidR="007450AC" w:rsidRDefault="00456335" w:rsidP="006B77ED">
            <w:r>
              <w:lastRenderedPageBreak/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lastRenderedPageBreak/>
              <w:t xml:space="preserve">NFA05 </w:t>
            </w:r>
            <w:proofErr w:type="spellStart"/>
            <w:r>
              <w:t>Bedienbarkeit</w:t>
            </w:r>
            <w:proofErr w:type="spellEnd"/>
            <w:r>
              <w:t xml:space="preserve"> Schnelle Artikelverfassung</w:t>
            </w:r>
          </w:p>
        </w:tc>
        <w:tc>
          <w:tcPr>
            <w:tcW w:w="3419" w:type="dxa"/>
          </w:tcPr>
          <w:p w:rsidR="007450AC" w:rsidRDefault="007450AC" w:rsidP="006B77ED">
            <w:r>
              <w:t>Es dauert maximal 5 Minuten um einen Artikel anzulegen.</w:t>
            </w:r>
          </w:p>
        </w:tc>
        <w:tc>
          <w:tcPr>
            <w:tcW w:w="1482" w:type="dxa"/>
          </w:tcPr>
          <w:p w:rsidR="007450AC" w:rsidRDefault="00456335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NFA06 Portierbarkeit Browserunterstützung</w:t>
            </w:r>
          </w:p>
        </w:tc>
        <w:tc>
          <w:tcPr>
            <w:tcW w:w="3419" w:type="dxa"/>
          </w:tcPr>
          <w:p w:rsidR="007450AC" w:rsidRDefault="007450AC" w:rsidP="006B77ED">
            <w:r>
              <w:t xml:space="preserve">Das System kann auf der Version </w:t>
            </w:r>
            <w:r w:rsidR="00156732" w:rsidRPr="00156732">
              <w:t>51.0.2704.63</w:t>
            </w:r>
            <w:r>
              <w:t xml:space="preserve"> von Google Chrome und d</w:t>
            </w:r>
            <w:r w:rsidR="00393A53">
              <w:t xml:space="preserve">er Version </w:t>
            </w:r>
            <w:r w:rsidR="00156732" w:rsidRPr="00156732">
              <w:t>46.0.1</w:t>
            </w:r>
            <w:r w:rsidR="00393A53">
              <w:t xml:space="preserve"> von </w:t>
            </w:r>
            <w:proofErr w:type="spellStart"/>
            <w:r w:rsidR="00393A53">
              <w:t>Firef</w:t>
            </w:r>
            <w:r>
              <w:t>ox</w:t>
            </w:r>
            <w:proofErr w:type="spellEnd"/>
            <w:r>
              <w:t xml:space="preserve"> fehlerfrei angezeigt werden.</w:t>
            </w:r>
          </w:p>
        </w:tc>
        <w:tc>
          <w:tcPr>
            <w:tcW w:w="1482" w:type="dxa"/>
          </w:tcPr>
          <w:p w:rsidR="007450AC" w:rsidRDefault="00456335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NFA07 Portierbarkeit </w:t>
            </w:r>
            <w:proofErr w:type="spellStart"/>
            <w:r>
              <w:t>iPhone</w:t>
            </w:r>
            <w:proofErr w:type="spellEnd"/>
            <w:r>
              <w:t>-Unterstützung</w:t>
            </w:r>
          </w:p>
        </w:tc>
        <w:tc>
          <w:tcPr>
            <w:tcW w:w="3419" w:type="dxa"/>
          </w:tcPr>
          <w:p w:rsidR="007450AC" w:rsidRDefault="007450AC" w:rsidP="00B05CCC">
            <w:r>
              <w:t>Das System ist auch auf einem Mobilen Endgerät (</w:t>
            </w:r>
            <w:proofErr w:type="spellStart"/>
            <w:r>
              <w:t>Iphone</w:t>
            </w:r>
            <w:proofErr w:type="spellEnd"/>
            <w:r>
              <w:t xml:space="preserve"> 5</w:t>
            </w:r>
            <w:r w:rsidR="00393A53">
              <w:t xml:space="preserve"> und 6</w:t>
            </w:r>
            <w:r>
              <w:t xml:space="preserve">) zum </w:t>
            </w:r>
            <w:r w:rsidRPr="00B05CCC">
              <w:rPr>
                <w:u w:val="single"/>
              </w:rPr>
              <w:t>Lesen</w:t>
            </w:r>
            <w:r>
              <w:t xml:space="preserve"> eines Artikels geeignet. </w:t>
            </w:r>
          </w:p>
        </w:tc>
        <w:tc>
          <w:tcPr>
            <w:tcW w:w="1482" w:type="dxa"/>
          </w:tcPr>
          <w:p w:rsidR="007450AC" w:rsidRDefault="001517B6" w:rsidP="00B05CCC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NFA08 Skalierbarkeit Clientzugriffe</w:t>
            </w:r>
          </w:p>
        </w:tc>
        <w:tc>
          <w:tcPr>
            <w:tcW w:w="3419" w:type="dxa"/>
          </w:tcPr>
          <w:p w:rsidR="007450AC" w:rsidRDefault="007450AC" w:rsidP="00B05CCC">
            <w:r>
              <w:t xml:space="preserve">Das System hält die </w:t>
            </w:r>
            <w:proofErr w:type="spellStart"/>
            <w:r>
              <w:t>Performanzkriterien</w:t>
            </w:r>
            <w:proofErr w:type="spellEnd"/>
            <w:r>
              <w:t xml:space="preserve"> auch ein, wenn bis zu 200 lesende und 25 schreibende Zugriffe parallel getätigt werden.</w:t>
            </w:r>
          </w:p>
        </w:tc>
        <w:tc>
          <w:tcPr>
            <w:tcW w:w="1482" w:type="dxa"/>
          </w:tcPr>
          <w:p w:rsidR="007450AC" w:rsidRDefault="001517B6" w:rsidP="00B05CCC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NFA09 Skalierbarkeit Anzahl Dokumente</w:t>
            </w:r>
          </w:p>
        </w:tc>
        <w:tc>
          <w:tcPr>
            <w:tcW w:w="3419" w:type="dxa"/>
          </w:tcPr>
          <w:p w:rsidR="007450AC" w:rsidRDefault="007450AC" w:rsidP="006B77ED">
            <w:r>
              <w:t xml:space="preserve">Das System soll mit bis zu 1000 </w:t>
            </w:r>
            <w:r w:rsidR="00393A53">
              <w:t xml:space="preserve">Dokumenten </w:t>
            </w:r>
            <w:r>
              <w:t>umgehen und speichern können.</w:t>
            </w:r>
            <w:r w:rsidR="00393A53">
              <w:t xml:space="preserve"> </w:t>
            </w:r>
            <w:r>
              <w:t xml:space="preserve">Dabei treten auch bei 1000 gespeicherten Dokumenten keine </w:t>
            </w:r>
            <w:proofErr w:type="spellStart"/>
            <w:r>
              <w:t>Performanzeinbrüche</w:t>
            </w:r>
            <w:proofErr w:type="spellEnd"/>
            <w:r>
              <w:t xml:space="preserve"> auf.</w:t>
            </w:r>
          </w:p>
        </w:tc>
        <w:tc>
          <w:tcPr>
            <w:tcW w:w="1482" w:type="dxa"/>
          </w:tcPr>
          <w:p w:rsidR="007450AC" w:rsidRDefault="001517B6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NFA10 </w:t>
            </w:r>
            <w:proofErr w:type="spellStart"/>
            <w:r>
              <w:t>Testbarkeit</w:t>
            </w:r>
            <w:proofErr w:type="spellEnd"/>
            <w:r>
              <w:t xml:space="preserve"> Codeabdeckung</w:t>
            </w:r>
          </w:p>
        </w:tc>
        <w:tc>
          <w:tcPr>
            <w:tcW w:w="3419" w:type="dxa"/>
          </w:tcPr>
          <w:p w:rsidR="007450AC" w:rsidRDefault="007450AC" w:rsidP="00393A53">
            <w:r>
              <w:t xml:space="preserve">Der geschriebene Code des Systems selbst (keine </w:t>
            </w:r>
            <w:proofErr w:type="spellStart"/>
            <w:r>
              <w:t>bibliotheken</w:t>
            </w:r>
            <w:proofErr w:type="spellEnd"/>
            <w:r>
              <w:t xml:space="preserve"> oder generierter Code) muss eine Codeabdeckung</w:t>
            </w:r>
            <w:r w:rsidR="00393A53">
              <w:t xml:space="preserve"> im Backend</w:t>
            </w:r>
            <w:r>
              <w:t xml:space="preserve"> von mindestens </w:t>
            </w:r>
            <w:commentRangeStart w:id="0"/>
            <w:r w:rsidR="00393A53">
              <w:t xml:space="preserve">X% </w:t>
            </w:r>
            <w:commentRangeEnd w:id="0"/>
            <w:r w:rsidR="00393A53">
              <w:rPr>
                <w:rStyle w:val="Kommentarzeichen"/>
              </w:rPr>
              <w:commentReference w:id="0"/>
            </w:r>
            <w:r>
              <w:t>haben.</w:t>
            </w:r>
          </w:p>
        </w:tc>
        <w:tc>
          <w:tcPr>
            <w:tcW w:w="1482" w:type="dxa"/>
          </w:tcPr>
          <w:p w:rsidR="007450AC" w:rsidRDefault="001517B6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NFA11 Änderbarkeit </w:t>
            </w:r>
            <w:proofErr w:type="spellStart"/>
            <w:r>
              <w:t>Suchengine</w:t>
            </w:r>
            <w:proofErr w:type="spellEnd"/>
          </w:p>
        </w:tc>
        <w:tc>
          <w:tcPr>
            <w:tcW w:w="3419" w:type="dxa"/>
          </w:tcPr>
          <w:p w:rsidR="007450AC" w:rsidRDefault="001517B6" w:rsidP="001517B6">
            <w:proofErr w:type="gramStart"/>
            <w:r>
              <w:t>Das Ein</w:t>
            </w:r>
            <w:proofErr w:type="gramEnd"/>
            <w:r>
              <w:t xml:space="preserve"> Backend-Modul kapselt die </w:t>
            </w:r>
            <w:proofErr w:type="spellStart"/>
            <w:r>
              <w:t>Suchengine</w:t>
            </w:r>
            <w:proofErr w:type="spellEnd"/>
            <w:r>
              <w:t xml:space="preserve"> komplett vom restlichen System ab</w:t>
            </w:r>
            <w:r w:rsidR="007450AC">
              <w:t>. Diese müssen sowohl im Architekturdokument, als auch im Code geprüft werden. (</w:t>
            </w:r>
            <w:r w:rsidR="007450AC">
              <w:sym w:font="Wingdings" w:char="F0E0"/>
            </w:r>
            <w:r w:rsidR="007450AC">
              <w:t>Schnittstellenbeauftragte?)</w:t>
            </w:r>
          </w:p>
        </w:tc>
        <w:tc>
          <w:tcPr>
            <w:tcW w:w="1482" w:type="dxa"/>
          </w:tcPr>
          <w:p w:rsidR="007450AC" w:rsidRDefault="001517B6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NFA12 Erweiterbarkeit Funktionalitäten</w:t>
            </w:r>
          </w:p>
        </w:tc>
        <w:tc>
          <w:tcPr>
            <w:tcW w:w="3419" w:type="dxa"/>
          </w:tcPr>
          <w:p w:rsidR="007450AC" w:rsidRDefault="001517B6" w:rsidP="006B77ED">
            <w:r>
              <w:t xml:space="preserve">Eine Beschreibung der Architektur in Form eines Dokumentes wird der Firma ausgehändigt. Dieses kommuniziert alle Entscheidungen und Schnittstellenbeschreibungen, um eine einfache Erweiterbarkeit zu gewährleisten. Darüber hinaus wird auch der dokumentierte </w:t>
            </w:r>
            <w:proofErr w:type="spellStart"/>
            <w:r>
              <w:t>Sourcecode</w:t>
            </w:r>
            <w:proofErr w:type="spellEnd"/>
            <w:r>
              <w:t xml:space="preserve"> ausgehändigt.</w:t>
            </w:r>
          </w:p>
        </w:tc>
        <w:tc>
          <w:tcPr>
            <w:tcW w:w="1482" w:type="dxa"/>
          </w:tcPr>
          <w:p w:rsidR="007450AC" w:rsidRDefault="001517B6" w:rsidP="006B77ED">
            <w:r>
              <w:t>JA</w:t>
            </w:r>
          </w:p>
        </w:tc>
      </w:tr>
    </w:tbl>
    <w:p w:rsidR="001E1447" w:rsidRDefault="001E1447"/>
    <w:p w:rsidR="00E55841" w:rsidRPr="00E55841" w:rsidRDefault="00E55841">
      <w:pPr>
        <w:rPr>
          <w:lang w:val="en-US"/>
        </w:rPr>
      </w:pPr>
    </w:p>
    <w:sectPr w:rsidR="00E55841" w:rsidRPr="00E55841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enutzer" w:date="2016-06-10T11:01:00Z" w:initials="B">
    <w:p w:rsidR="00393A53" w:rsidRDefault="00393A53">
      <w:pPr>
        <w:pStyle w:val="Kommentartext"/>
      </w:pPr>
      <w:r>
        <w:rPr>
          <w:rStyle w:val="Kommentarzeichen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E1447"/>
    <w:rsid w:val="001517B6"/>
    <w:rsid w:val="00156732"/>
    <w:rsid w:val="001E1447"/>
    <w:rsid w:val="003143AE"/>
    <w:rsid w:val="00393A53"/>
    <w:rsid w:val="003C1E20"/>
    <w:rsid w:val="00456335"/>
    <w:rsid w:val="00460077"/>
    <w:rsid w:val="004967BF"/>
    <w:rsid w:val="004A327B"/>
    <w:rsid w:val="00506DFC"/>
    <w:rsid w:val="00576F85"/>
    <w:rsid w:val="006B77ED"/>
    <w:rsid w:val="00701061"/>
    <w:rsid w:val="00710732"/>
    <w:rsid w:val="00713C13"/>
    <w:rsid w:val="007450AC"/>
    <w:rsid w:val="007918AF"/>
    <w:rsid w:val="007E0CEE"/>
    <w:rsid w:val="00803727"/>
    <w:rsid w:val="00827B1D"/>
    <w:rsid w:val="00830A79"/>
    <w:rsid w:val="00974D32"/>
    <w:rsid w:val="009D52E4"/>
    <w:rsid w:val="00B05CCC"/>
    <w:rsid w:val="00C02205"/>
    <w:rsid w:val="00C36155"/>
    <w:rsid w:val="00D162D6"/>
    <w:rsid w:val="00D34203"/>
    <w:rsid w:val="00DC0841"/>
    <w:rsid w:val="00DD4351"/>
    <w:rsid w:val="00E55841"/>
    <w:rsid w:val="00EC72AF"/>
    <w:rsid w:val="00F8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  <w:style w:type="table" w:styleId="Tabellengitternetz">
    <w:name w:val="Table Grid"/>
    <w:basedOn w:val="NormaleTabelle"/>
    <w:uiPriority w:val="59"/>
    <w:rsid w:val="001E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4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4203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7ED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6007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6007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6007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00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00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8</cp:revision>
  <cp:lastPrinted>2016-06-10T09:13:00Z</cp:lastPrinted>
  <dcterms:created xsi:type="dcterms:W3CDTF">2016-06-07T09:53:00Z</dcterms:created>
  <dcterms:modified xsi:type="dcterms:W3CDTF">2016-06-10T10:54:00Z</dcterms:modified>
</cp:coreProperties>
</file>