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10 - API Specification</w:t>
      </w:r>
    </w:p>
    <w:p>
      <w:pPr>
        <w:pStyle w:val="Heading2"/>
      </w:pPr>
      <w:r>
        <w:rPr>
          <w:sz w:val="32"/>
        </w:rPr>
        <w:t>Internal Services</w:t>
      </w:r>
    </w:p>
    <w:p>
      <w:r>
        <w:t>Authentication service, habit service, reminder service, analytics service.</w:t>
      </w:r>
    </w:p>
    <w:p>
      <w:pPr>
        <w:pStyle w:val="Heading2"/>
      </w:pPr>
      <w:r>
        <w:rPr>
          <w:sz w:val="32"/>
        </w:rPr>
        <w:t>Data Contracts</w:t>
      </w:r>
    </w:p>
    <w:p>
      <w:r>
        <w:t>Strict TypeScript interfaces for every model.</w:t>
      </w:r>
    </w:p>
    <w:p>
      <w:pPr>
        <w:pStyle w:val="Heading2"/>
      </w:pPr>
      <w:r>
        <w:rPr>
          <w:sz w:val="32"/>
        </w:rPr>
        <w:t>Error Handling</w:t>
      </w:r>
    </w:p>
    <w:p>
      <w:r>
        <w:t>Typed errors, retries, offline queue and synchronization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