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AI Coach</w:t>
      </w:r>
    </w:p>
    <w:p>
      <w:pPr>
        <w:pStyle w:val="Heading2"/>
      </w:pPr>
      <w:r>
        <w:rPr>
          <w:sz w:val="32"/>
        </w:rPr>
        <w:t>Purpose</w:t>
      </w:r>
    </w:p>
    <w:p>
      <w:r>
        <w:t>Provide encouraging, personalized coaching using positive psychology. Never shame the user.</w:t>
      </w:r>
    </w:p>
    <w:p>
      <w:pPr>
        <w:pStyle w:val="Heading2"/>
      </w:pPr>
      <w:r>
        <w:rPr>
          <w:sz w:val="32"/>
        </w:rPr>
        <w:t>Features</w:t>
      </w:r>
    </w:p>
    <w:p>
      <w:r>
        <w:t>Daily greeting, weekly reviews, monthly summaries, habit suggestions, streak recovery, intelligent reminders.</w:t>
      </w:r>
    </w:p>
    <w:p>
      <w:pPr>
        <w:pStyle w:val="Heading2"/>
      </w:pPr>
      <w:r>
        <w:rPr>
          <w:sz w:val="32"/>
        </w:rPr>
        <w:t>Personality</w:t>
      </w:r>
    </w:p>
    <w:p>
      <w:r>
        <w:t>Supportive, concise, motivating, evidence-based, adaptable to user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