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Habit Crystal Timeline</w:t>
      </w:r>
    </w:p>
    <w:p>
      <w:pPr>
        <w:pStyle w:val="Heading2"/>
      </w:pPr>
      <w:r>
        <w:rPr>
          <w:sz w:val="32"/>
        </w:rPr>
        <w:t>Concept</w:t>
      </w:r>
    </w:p>
    <w:p>
      <w:r>
        <w:t>A unique yearly visualization using animated crystal tiles instead of GitHub-style squares.</w:t>
      </w:r>
    </w:p>
    <w:p>
      <w:pPr>
        <w:pStyle w:val="Heading2"/>
      </w:pPr>
      <w:r>
        <w:rPr>
          <w:sz w:val="32"/>
        </w:rPr>
        <w:t>Interactions</w:t>
      </w:r>
    </w:p>
    <w:p>
      <w:r>
        <w:t>Tap for day details, long press for analytics, pinch to zoom, swipe between years.</w:t>
      </w:r>
    </w:p>
    <w:p>
      <w:pPr>
        <w:pStyle w:val="Heading2"/>
      </w:pPr>
      <w:r>
        <w:rPr>
          <w:sz w:val="32"/>
        </w:rPr>
        <w:t>Rendering</w:t>
      </w:r>
    </w:p>
    <w:p>
      <w:r>
        <w:t>Virtualized grid, theme-aware colors, smooth animations, milestone crystal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