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Achievement System</w:t>
      </w:r>
    </w:p>
    <w:p>
      <w:pPr>
        <w:pStyle w:val="Heading2"/>
      </w:pPr>
      <w:r>
        <w:rPr>
          <w:sz w:val="32"/>
        </w:rPr>
        <w:t>Hall of Growth</w:t>
      </w:r>
    </w:p>
    <w:p>
      <w:r>
        <w:t>Collectible milestones displayed as premium glass trophies.</w:t>
      </w:r>
    </w:p>
    <w:p>
      <w:pPr>
        <w:pStyle w:val="Heading2"/>
      </w:pPr>
      <w:r>
        <w:rPr>
          <w:sz w:val="32"/>
        </w:rPr>
        <w:t>Milestones</w:t>
      </w:r>
    </w:p>
    <w:p>
      <w:r>
        <w:t>Starter, Bronze, Iron, Silver, Golden Jubilee, Diamond, Legend, Master, Immortal.</w:t>
      </w:r>
    </w:p>
    <w:p>
      <w:pPr>
        <w:pStyle w:val="Heading2"/>
      </w:pPr>
      <w:r>
        <w:rPr>
          <w:sz w:val="32"/>
        </w:rPr>
        <w:t>Rewards</w:t>
      </w:r>
    </w:p>
    <w:p>
      <w:r>
        <w:t>XP, themes, profile decorations, celebration animations, confetti, haptics.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