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19 - Monetization Roadmap</w:t>
      </w:r>
    </w:p>
    <w:p>
      <w:pPr>
        <w:pStyle w:val="Heading2"/>
      </w:pPr>
      <w:r>
        <w:rPr>
          <w:sz w:val="32"/>
        </w:rPr>
        <w:t>Free Features</w:t>
      </w:r>
    </w:p>
    <w:p>
      <w:r>
        <w:t>Core habit tracking, reminders, analytics, and themes remain free.</w:t>
      </w:r>
    </w:p>
    <w:p>
      <w:pPr>
        <w:pStyle w:val="Heading2"/>
      </w:pPr>
      <w:r>
        <w:rPr>
          <w:sz w:val="32"/>
        </w:rPr>
        <w:t>Premium</w:t>
      </w:r>
    </w:p>
    <w:p>
      <w:r>
        <w:t>Advanced AI Coach, exclusive themes, unlimited exports, advanced analytics, cloud history, widgets.</w:t>
      </w:r>
    </w:p>
    <w:p>
      <w:pPr>
        <w:pStyle w:val="Heading2"/>
      </w:pPr>
      <w:r>
        <w:rPr>
          <w:sz w:val="32"/>
        </w:rPr>
        <w:t>Business Model</w:t>
      </w:r>
    </w:p>
    <w:p>
      <w:r>
        <w:t>Subscription-first without aggressive paywalls or intrusive 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