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20 - Developer Guidelines</w:t>
      </w:r>
    </w:p>
    <w:p>
      <w:pPr>
        <w:pStyle w:val="Heading2"/>
      </w:pPr>
      <w:r>
        <w:rPr>
          <w:sz w:val="32"/>
        </w:rPr>
        <w:t>Coding Standards</w:t>
      </w:r>
    </w:p>
    <w:p>
      <w:r>
        <w:t>TypeScript, strict typing, reusable components, SOLID principles, meaningful commits, documentation.</w:t>
      </w:r>
    </w:p>
    <w:p>
      <w:pPr>
        <w:pStyle w:val="Heading2"/>
      </w:pPr>
      <w:r>
        <w:rPr>
          <w:sz w:val="32"/>
        </w:rPr>
        <w:t>Workflow</w:t>
      </w:r>
    </w:p>
    <w:p>
      <w:r>
        <w:t>Build one module at a time, review, test, optimize, then continue.</w:t>
      </w:r>
    </w:p>
    <w:p>
      <w:pPr>
        <w:pStyle w:val="Heading2"/>
      </w:pPr>
      <w:r>
        <w:rPr>
          <w:sz w:val="32"/>
        </w:rPr>
        <w:t>Definition of Done</w:t>
      </w:r>
    </w:p>
    <w:p>
      <w:r>
        <w:t>Feature is tested, accessible, performant, documented, and production-ready.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