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26 - Onboarding Flow</w:t>
      </w:r>
    </w:p>
    <w:p>
      <w:pPr>
        <w:pStyle w:val="Heading2"/>
      </w:pPr>
      <w:r>
        <w:rPr>
          <w:sz w:val="30"/>
        </w:rPr>
        <w:t>Goal</w:t>
      </w:r>
    </w:p>
    <w:p>
      <w:r>
        <w:t>Help users create their first habit in under 2 minutes while explaining HabitFlow's value.</w:t>
      </w:r>
    </w:p>
    <w:p>
      <w:pPr>
        <w:pStyle w:val="Heading2"/>
      </w:pPr>
      <w:r>
        <w:rPr>
          <w:sz w:val="30"/>
        </w:rPr>
        <w:t>Steps</w:t>
      </w:r>
    </w:p>
    <w:p>
      <w:r>
        <w:t>Welcome → Benefits → Permissions → Theme → First Habit → Reminder → Finish.</w:t>
      </w:r>
    </w:p>
    <w:p>
      <w:pPr>
        <w:pStyle w:val="Heading2"/>
      </w:pPr>
      <w:r>
        <w:rPr>
          <w:sz w:val="30"/>
        </w:rPr>
        <w:t>Success Metric</w:t>
      </w:r>
    </w:p>
    <w:p>
      <w:r>
        <w:t>User creates at least one habit and enables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