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33 - Authentication Flow</w:t>
      </w:r>
    </w:p>
    <w:p>
      <w:pPr>
        <w:pStyle w:val="Heading2"/>
      </w:pPr>
      <w:r>
        <w:rPr>
          <w:sz w:val="30"/>
        </w:rPr>
        <w:t>Methods</w:t>
      </w:r>
    </w:p>
    <w:p>
      <w:r>
        <w:t>Email/password, Google Sign-In, anonymous guest mode, future Apple Sign-In.</w:t>
      </w:r>
    </w:p>
    <w:p>
      <w:pPr>
        <w:pStyle w:val="Heading2"/>
      </w:pPr>
      <w:r>
        <w:rPr>
          <w:sz w:val="30"/>
        </w:rPr>
        <w:t>Security</w:t>
      </w:r>
    </w:p>
    <w:p>
      <w:r>
        <w:t>Firebase Authentication, email verification, secure session handling.</w:t>
      </w:r>
    </w:p>
    <w:p>
      <w:pPr>
        <w:pStyle w:val="Heading2"/>
      </w:pPr>
      <w:r>
        <w:rPr>
          <w:sz w:val="30"/>
        </w:rPr>
        <w:t>User Flow</w:t>
      </w:r>
    </w:p>
    <w:p>
      <w:r>
        <w:t>Sign up → verify → profile setup → home screen.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