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37 - Accessibility Guidelines</w:t>
      </w:r>
    </w:p>
    <w:p>
      <w:pPr>
        <w:pStyle w:val="Heading2"/>
      </w:pPr>
      <w:r>
        <w:rPr>
          <w:sz w:val="30"/>
        </w:rPr>
        <w:t>Visual</w:t>
      </w:r>
    </w:p>
    <w:p>
      <w:r>
        <w:t>High contrast support, scalable fonts, colorblind-friendly palettes.</w:t>
      </w:r>
    </w:p>
    <w:p>
      <w:pPr>
        <w:pStyle w:val="Heading2"/>
      </w:pPr>
      <w:r>
        <w:rPr>
          <w:sz w:val="30"/>
        </w:rPr>
        <w:t>Interaction</w:t>
      </w:r>
    </w:p>
    <w:p>
      <w:r>
        <w:t>Large touch targets, screen reader labels, haptic alternatives.</w:t>
      </w:r>
    </w:p>
    <w:p>
      <w:pPr>
        <w:pStyle w:val="Heading2"/>
      </w:pPr>
      <w:r>
        <w:rPr>
          <w:sz w:val="30"/>
        </w:rPr>
        <w:t>Compliance</w:t>
      </w:r>
    </w:p>
    <w:p>
      <w:r>
        <w:t>Aim for WCAG-inspired accessibility best practices.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