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39 - Error Handling &amp; Logging</w:t>
      </w:r>
    </w:p>
    <w:p>
      <w:pPr>
        <w:pStyle w:val="Heading2"/>
      </w:pPr>
      <w:r>
        <w:rPr>
          <w:sz w:val="30"/>
        </w:rPr>
        <w:t>Strategy</w:t>
      </w:r>
    </w:p>
    <w:p>
      <w:r>
        <w:t>Centralized error handling, graceful fallbacks, retry logic.</w:t>
      </w:r>
    </w:p>
    <w:p>
      <w:pPr>
        <w:pStyle w:val="Heading2"/>
      </w:pPr>
      <w:r>
        <w:rPr>
          <w:sz w:val="30"/>
        </w:rPr>
        <w:t>Logging</w:t>
      </w:r>
    </w:p>
    <w:p>
      <w:r>
        <w:t>Crash reporting, structured logs, user-friendly error messages.</w:t>
      </w:r>
    </w:p>
    <w:p>
      <w:pPr>
        <w:pStyle w:val="Heading2"/>
      </w:pPr>
      <w:r>
        <w:rPr>
          <w:sz w:val="30"/>
        </w:rPr>
        <w:t>Recovery</w:t>
      </w:r>
    </w:p>
    <w:p>
      <w:r>
        <w:t>Offline queue, sync retry, safe defaults.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