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46 - Splash Screen Specification</w:t>
      </w:r>
    </w:p>
    <w:p>
      <w:pPr>
        <w:pStyle w:val="Heading2"/>
      </w:pPr>
      <w:r>
        <w:rPr>
          <w:sz w:val="30"/>
        </w:rPr>
        <w:t>Purpose</w:t>
      </w:r>
    </w:p>
    <w:p>
      <w:r>
        <w:t>Create a memorable first impression with a lightweight animated splash screen.</w:t>
      </w:r>
    </w:p>
    <w:p>
      <w:pPr>
        <w:pStyle w:val="Heading2"/>
      </w:pPr>
      <w:r>
        <w:rPr>
          <w:sz w:val="30"/>
        </w:rPr>
        <w:t>Elements</w:t>
      </w:r>
    </w:p>
    <w:p>
      <w:r>
        <w:t>HabitFlow logo, subtle glass animation, tagline, smooth transition to onboarding or home.</w:t>
      </w:r>
    </w:p>
    <w:p>
      <w:pPr>
        <w:pStyle w:val="Heading2"/>
      </w:pPr>
      <w:r>
        <w:rPr>
          <w:sz w:val="30"/>
        </w:rPr>
        <w:t>Performance</w:t>
      </w:r>
    </w:p>
    <w:p>
      <w:r>
        <w:t>Display only while essential assets initialize.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