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56 - Admin Dashboard Specification</w:t>
      </w:r>
    </w:p>
    <w:p>
      <w:pPr>
        <w:pStyle w:val="Heading2"/>
      </w:pPr>
      <w:r>
        <w:rPr>
          <w:sz w:val="30"/>
        </w:rPr>
        <w:t>Purpose</w:t>
      </w:r>
    </w:p>
    <w:p>
      <w:r>
        <w:t>Provide operational visibility into app health, user growth, reports, and announcements.</w:t>
      </w:r>
    </w:p>
    <w:p>
      <w:pPr>
        <w:pStyle w:val="Heading2"/>
      </w:pPr>
      <w:r>
        <w:rPr>
          <w:sz w:val="30"/>
        </w:rPr>
        <w:t>Features</w:t>
      </w:r>
    </w:p>
    <w:p>
      <w:r>
        <w:t>User metrics, crash overview, feature flags, announcement composer, support dashboard.</w:t>
      </w:r>
    </w:p>
    <w:p>
      <w:pPr>
        <w:pStyle w:val="Heading2"/>
      </w:pPr>
      <w:r>
        <w:rPr>
          <w:sz w:val="30"/>
        </w:rPr>
        <w:t>Security</w:t>
      </w:r>
    </w:p>
    <w:p>
      <w:r>
        <w:t>Restricted access with role-based permissions and audit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