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57 - Push Notification Strategy</w:t>
      </w:r>
    </w:p>
    <w:p>
      <w:pPr>
        <w:pStyle w:val="Heading2"/>
      </w:pPr>
      <w:r>
        <w:rPr>
          <w:sz w:val="30"/>
        </w:rPr>
        <w:t>Goals</w:t>
      </w:r>
    </w:p>
    <w:p>
      <w:r>
        <w:t>Increase retention without causing notification fatigue.</w:t>
      </w:r>
    </w:p>
    <w:p>
      <w:pPr>
        <w:pStyle w:val="Heading2"/>
      </w:pPr>
      <w:r>
        <w:rPr>
          <w:sz w:val="30"/>
        </w:rPr>
        <w:t>Campaigns</w:t>
      </w:r>
    </w:p>
    <w:p>
      <w:r>
        <w:t>Daily reminders, streak celebrations, weekly summaries, milestone rewards, inactivity recovery.</w:t>
      </w:r>
    </w:p>
    <w:p>
      <w:pPr>
        <w:pStyle w:val="Heading2"/>
      </w:pPr>
      <w:r>
        <w:rPr>
          <w:sz w:val="30"/>
        </w:rPr>
        <w:t>Rules</w:t>
      </w:r>
    </w:p>
    <w:p>
      <w:r>
        <w:t>Personalized timing, frequency caps, opt-in controls, A/B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