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59 - Web Architecture Roadmap</w:t>
      </w:r>
    </w:p>
    <w:p>
      <w:pPr>
        <w:pStyle w:val="Heading2"/>
      </w:pPr>
      <w:r>
        <w:rPr>
          <w:sz w:val="30"/>
        </w:rPr>
        <w:t>Objective</w:t>
      </w:r>
    </w:p>
    <w:p>
      <w:r>
        <w:t>Prepare a future React-based web companion using shared business logic.</w:t>
      </w:r>
    </w:p>
    <w:p>
      <w:pPr>
        <w:pStyle w:val="Heading2"/>
      </w:pPr>
      <w:r>
        <w:rPr>
          <w:sz w:val="30"/>
        </w:rPr>
        <w:t>Features</w:t>
      </w:r>
    </w:p>
    <w:p>
      <w:r>
        <w:t>Dashboard, analytics, account management, exports, AI reports.</w:t>
      </w:r>
    </w:p>
    <w:p>
      <w:pPr>
        <w:pStyle w:val="Heading2"/>
      </w:pPr>
      <w:r>
        <w:rPr>
          <w:sz w:val="30"/>
        </w:rPr>
        <w:t>Shared Code</w:t>
      </w:r>
    </w:p>
    <w:p>
      <w:r>
        <w:t>Reuse TypeScript models, validation, and service layers.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