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60 - Desktop Application Roadmap</w:t>
      </w:r>
    </w:p>
    <w:p>
      <w:pPr>
        <w:pStyle w:val="Heading2"/>
      </w:pPr>
      <w:r>
        <w:rPr>
          <w:sz w:val="30"/>
        </w:rPr>
        <w:t>Platforms</w:t>
      </w:r>
    </w:p>
    <w:p>
      <w:r>
        <w:t>Windows, macOS, Linux using a cross-platform framework in the future.</w:t>
      </w:r>
    </w:p>
    <w:p>
      <w:pPr>
        <w:pStyle w:val="Heading2"/>
      </w:pPr>
      <w:r>
        <w:rPr>
          <w:sz w:val="30"/>
        </w:rPr>
        <w:t>Use Cases</w:t>
      </w:r>
    </w:p>
    <w:p>
      <w:r>
        <w:t>Deep analytics, planning, journaling, bulk editing, exports.</w:t>
      </w:r>
    </w:p>
    <w:p>
      <w:pPr>
        <w:pStyle w:val="Heading2"/>
      </w:pPr>
      <w:r>
        <w:rPr>
          <w:sz w:val="30"/>
        </w:rPr>
        <w:t>Sync</w:t>
      </w:r>
    </w:p>
    <w:p>
      <w:r>
        <w:t>Real-time synchronization with the mobile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