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81 - AI Prompt Engineering Guide</w:t>
      </w:r>
    </w:p>
    <w:p>
      <w:pPr>
        <w:pStyle w:val="Heading2"/>
      </w:pPr>
      <w:r>
        <w:rPr>
          <w:sz w:val="30"/>
        </w:rPr>
        <w:t>Purpose</w:t>
      </w:r>
    </w:p>
    <w:p>
      <w:r>
        <w:t>Define prompt templates, system prompts, safety boundaries and response styles for the AI Coach.</w:t>
      </w:r>
    </w:p>
    <w:p>
      <w:pPr>
        <w:pStyle w:val="Heading2"/>
      </w:pPr>
      <w:r>
        <w:rPr>
          <w:sz w:val="30"/>
        </w:rPr>
        <w:t>Best Practices</w:t>
      </w:r>
    </w:p>
    <w:p>
      <w:r>
        <w:t>Use structured prompts, context windows, memory boundaries and deterministic formatting where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