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ahoma" w:cs="Tahoma" w:eastAsia="Tahoma" w:hAnsi="Tahoma"/>
          <w:b/>
          <w:bCs/>
          <w:sz w:val="28"/>
          <w:szCs w:val="28"/>
        </w:rPr>
        <w:t xml:space="preserve">RESEARCH PROPOSAL</w:t>
      </w:r>
    </w:p>
    <w:p>
      <w:pPr>
        <w:spacing w:after="80" w:line="360"/>
        <w:jc w:val="center"/>
      </w:pPr>
      <w:r>
        <w:rPr>
          <w:rFonts w:ascii="Tahoma" w:cs="Tahoma" w:eastAsia="Tahoma" w:hAnsi="Tahoma"/>
          <w:b/>
          <w:bCs/>
          <w:sz w:val="22"/>
          <w:szCs w:val="22"/>
        </w:rPr>
        <w:t xml:space="preserve">A Graduated Safety-State-Gated Architecture for AI Decision Support in Low-Resource Environments: Design and Comparative Evaluation in Coastal Fisheries</w:t>
      </w:r>
    </w:p>
    <w:p>
      <w:pPr>
        <w:spacing w:after="60" w:line="360"/>
        <w:jc w:val="center"/>
      </w:pPr>
      <w:r>
        <w:rPr>
          <w:rFonts w:ascii="Tahoma" w:cs="Tahoma" w:eastAsia="Tahoma" w:hAnsi="Tahoma"/>
          <w:sz w:val="22"/>
          <w:szCs w:val="22"/>
        </w:rPr>
        <w:t xml:space="preserve">Iskandar Samsuddin</w:t>
      </w:r>
    </w:p>
    <w:p>
      <w:pPr>
        <w:spacing w:after="60" w:line="360"/>
        <w:jc w:val="center"/>
      </w:pPr>
      <w:r>
        <w:rPr>
          <w:rFonts w:ascii="Tahoma" w:cs="Tahoma" w:eastAsia="Tahoma" w:hAnsi="Tahoma"/>
          <w:sz w:val="22"/>
          <w:szCs w:val="22"/>
        </w:rPr>
        <w:t xml:space="preserve">Faculty of Computing and Informatics, Universiti Malaysia Sabah</w:t>
      </w:r>
    </w:p>
    <w:p>
      <w:pPr>
        <w:spacing w:after="240" w:line="360"/>
        <w:jc w:val="center"/>
      </w:pPr>
      <w:r>
        <w:rPr>
          <w:rFonts w:ascii="Tahoma" w:cs="Tahoma" w:eastAsia="Tahoma" w:hAnsi="Tahoma"/>
          <w:sz w:val="22"/>
          <w:szCs w:val="22"/>
        </w:rPr>
        <w:t xml:space="preserve">iskandarsamsuddin@gmail.com</w:t>
      </w:r>
    </w:p>
    <w:p>
      <w:pPr>
        <w:spacing w:after="120" w:before="240" w:line="360"/>
        <w:jc w:val="left"/>
      </w:pPr>
      <w:r>
        <w:rPr>
          <w:rFonts w:ascii="Tahoma" w:cs="Tahoma" w:eastAsia="Tahoma" w:hAnsi="Tahoma"/>
          <w:b/>
          <w:bCs/>
          <w:sz w:val="26"/>
          <w:szCs w:val="26"/>
        </w:rPr>
        <w:t xml:space="preserve">1. ABSTRACT</w:t>
      </w:r>
    </w:p>
    <w:p>
      <w:pPr>
        <w:spacing w:after="160" w:before="0" w:line="360"/>
        <w:jc w:val="both"/>
      </w:pPr>
      <w:r>
        <w:rPr>
          <w:rFonts w:ascii="Tahoma" w:cs="Tahoma" w:eastAsia="Tahoma" w:hAnsi="Tahoma"/>
          <w:sz w:val="22"/>
          <w:szCs w:val="22"/>
        </w:rPr>
        <w:t xml:space="preserve">Small-scale coastal fishers make departure decisions — whether to go to sea — three to six times per week under shifting environmental conditions, with no institutional safety support and, for 67.6% of the population, no alternative source of household income (Yamin et al., 2025). AI decision support systems could help, but existing AI governance architectures offer no mechanism for intermediate-risk conditions: the AI either generates its full recommendation set or shuts down entirely. Under partially dangerous conditions, a fisher receives either unreliable high-specificity advice or nothing at all.</w:t>
      </w:r>
    </w:p>
    <w:p>
      <w:pPr>
        <w:spacing w:after="160" w:before="0" w:line="360"/>
        <w:jc w:val="both"/>
      </w:pPr>
      <w:r>
        <w:rPr>
          <w:rFonts w:ascii="Tahoma" w:cs="Tahoma" w:eastAsia="Tahoma" w:hAnsi="Tahoma"/>
          <w:sz w:val="22"/>
          <w:szCs w:val="22"/>
        </w:rPr>
        <w:t xml:space="preserve">This research proposes a graduated safety-state-gated architecture that formally resolves this through a two-level governance pair (G(S), Aᴀᴵ(S)) conditioned on a classified environmental safety state S = f(E). The environmental state vector E = {w, r, m, o, v, t} captures wind speed, rainfall intensity, marine warning level, ocean state, vessel category, and time of day. Three governance modes follow: SAFE (full advisory scope), CAUTION (go/no-go and delay only), and UNSAFE (AI silent). The formal containment property Aᴀᴵ(SAFE) ⊃ Aᴀᴵ(CAUTION) ⊃ Aᴀᴵ(UNSAFE) = ∅ is enforced by the Safety Dominance Property AI(E) ⊆ Aᴀᴵ(S), which holds by construction through state-conditioned rule sets supplied before any AI reasoning begins.</w:t>
      </w:r>
    </w:p>
    <w:p>
      <w:pPr>
        <w:spacing w:after="160" w:before="0" w:line="360"/>
        <w:jc w:val="both"/>
      </w:pPr>
      <w:r>
        <w:rPr>
          <w:rFonts w:ascii="Tahoma" w:cs="Tahoma" w:eastAsia="Tahoma" w:hAnsi="Tahoma"/>
          <w:sz w:val="22"/>
          <w:szCs w:val="22"/>
        </w:rPr>
        <w:t xml:space="preserve">Five research questions address architecture design, formal specification, prototype implementation, three-condition comparative evaluation, and contextual user validation. A Design Science Research methodology structures the work. The primary expected outcome is a formally verifiable architecture in which AI advisory scope narrows as environmental risk increases — an intermediate governance mode with no counterpart in the reviewed literature.</w:t>
      </w:r>
    </w:p>
    <w:p>
      <w:pPr>
        <w:spacing w:after="120" w:before="240" w:line="360"/>
        <w:jc w:val="left"/>
      </w:pPr>
      <w:r>
        <w:rPr>
          <w:rFonts w:ascii="Tahoma" w:cs="Tahoma" w:eastAsia="Tahoma" w:hAnsi="Tahoma"/>
          <w:b/>
          <w:bCs/>
          <w:sz w:val="26"/>
          <w:szCs w:val="26"/>
        </w:rPr>
        <w:t xml:space="preserve">2. INTRODUCTION</w:t>
      </w:r>
    </w:p>
    <w:p>
      <w:pPr>
        <w:spacing w:after="160" w:before="0" w:line="360"/>
        <w:jc w:val="both"/>
      </w:pPr>
      <w:r>
        <w:rPr>
          <w:rFonts w:ascii="Tahoma" w:cs="Tahoma" w:eastAsia="Tahoma" w:hAnsi="Tahoma"/>
          <w:sz w:val="22"/>
          <w:szCs w:val="22"/>
        </w:rPr>
        <w:t xml:space="preserve">Every morning along Malaysia's Zone A coastline, small-scale fishers assess whether to go to sea. Wind strength, wave height, rainfall, marine warning status, and time of day determine the answer. The decision is made alone, without institutional safety guidance, on vessels under 40 GRT restricted to 0–5 nautical miles from shore (Yamin et al., 2025). For 67.6% of Malaysia's small-scale fishers, household income depends entirely on this decision.</w:t>
      </w:r>
    </w:p>
    <w:p>
      <w:pPr>
        <w:spacing w:after="160" w:before="0" w:line="360"/>
        <w:jc w:val="both"/>
      </w:pPr>
      <w:r>
        <w:rPr>
          <w:rFonts w:ascii="Tahoma" w:cs="Tahoma" w:eastAsia="Tahoma" w:hAnsi="Tahoma"/>
          <w:sz w:val="22"/>
          <w:szCs w:val="22"/>
        </w:rPr>
        <w:t xml:space="preserve">The environmental risk is measurable. Dominguez-Péry et al. (2023) analysed 504 IMO maritime accident reports from 2011 to 2021 and found that external environmental factors — wind, weather, and visibility — form the largest single risk cluster (26.7% of text segments). Small vessels (≤2,000 GT) recorded the highest mean fatality rank across size categories (p = 0.01), despite representing fewer than 12% of accidents in the dataset. Atacan and Düzbastılar (2023), studying 30 small-scale fishing captains in a bridge navigation simulator, found that combined night navigation and heavy weather produced the highest accident consequence scores across all tested conditions (mean 37.03). Rahim et al. (2024) document the economic dimension: during extreme weather, fisher income drops by more than 60% and trip frequency halves.</w:t>
      </w:r>
    </w:p>
    <w:p>
      <w:pPr>
        <w:spacing w:after="160" w:before="0" w:line="360"/>
        <w:jc w:val="both"/>
      </w:pPr>
      <w:r>
        <w:rPr>
          <w:rFonts w:ascii="Tahoma" w:cs="Tahoma" w:eastAsia="Tahoma" w:hAnsi="Tahoma"/>
          <w:sz w:val="22"/>
          <w:szCs w:val="22"/>
        </w:rPr>
        <w:t xml:space="preserve">AI decision support systems could translate environmental data into departure guidance calibrated to vessel class and current conditions. The challenge is governance: how the AI should behave as conditions shift from safe to partially dangerous to fully dangerous. Traditional weather knowledge among Malaysian fishers is declining as climate patterns become less predictable, with fishers turning to weather apps that show raw data but provide no decision logic (Yamin et al., 2025). AI adoption in maritime and fisheries domains is growing regardless of whether the governance architecture is adequate for the full range of conditions encountered. This research addresses the resulting gap.</w:t>
      </w:r>
    </w:p>
    <w:p>
      <w:pPr>
        <w:spacing w:after="120" w:before="240" w:line="360"/>
        <w:jc w:val="left"/>
      </w:pPr>
      <w:r>
        <w:rPr>
          <w:rFonts w:ascii="Tahoma" w:cs="Tahoma" w:eastAsia="Tahoma" w:hAnsi="Tahoma"/>
          <w:b/>
          <w:bCs/>
          <w:sz w:val="26"/>
          <w:szCs w:val="26"/>
        </w:rPr>
        <w:t xml:space="preserve">3. PROBLEM STATEMENT</w:t>
      </w:r>
    </w:p>
    <w:p>
      <w:pPr>
        <w:spacing w:after="80" w:before="160" w:line="360"/>
        <w:jc w:val="left"/>
      </w:pPr>
      <w:r>
        <w:rPr>
          <w:rFonts w:ascii="Tahoma" w:cs="Tahoma" w:eastAsia="Tahoma" w:hAnsi="Tahoma"/>
          <w:b/>
          <w:bCs/>
          <w:i/>
          <w:iCs/>
          <w:sz w:val="22"/>
          <w:szCs w:val="22"/>
        </w:rPr>
        <w:t xml:space="preserve">Background</w:t>
      </w:r>
    </w:p>
    <w:p>
      <w:pPr>
        <w:spacing w:after="160" w:before="0" w:line="360"/>
        <w:jc w:val="both"/>
      </w:pPr>
      <w:r>
        <w:rPr>
          <w:rFonts w:ascii="Tahoma" w:cs="Tahoma" w:eastAsia="Tahoma" w:hAnsi="Tahoma"/>
          <w:sz w:val="22"/>
          <w:szCs w:val="22"/>
        </w:rPr>
        <w:t xml:space="preserve">Small-scale coastal fishers in Malaysia operate within Zone A waters (0–5 nautical miles) using traditional vessels under 40 GRT, making daily departure decisions without access to professional maritime safety services or institutional risk classification (Yamin et al., 2025). Their traditional weather knowledge — the primary tool for assessing conditions — is eroding due to intensifying climate variability. Fishers are turning to raw weather applications, but these provide environmental data without advisory logic.</w:t>
      </w:r>
    </w:p>
    <w:p>
      <w:pPr>
        <w:spacing w:after="80" w:before="160" w:line="360"/>
        <w:jc w:val="left"/>
      </w:pPr>
      <w:r>
        <w:rPr>
          <w:rFonts w:ascii="Tahoma" w:cs="Tahoma" w:eastAsia="Tahoma" w:hAnsi="Tahoma"/>
          <w:b/>
          <w:bCs/>
          <w:i/>
          <w:iCs/>
          <w:sz w:val="22"/>
          <w:szCs w:val="22"/>
        </w:rPr>
        <w:t xml:space="preserve">General Problem</w:t>
      </w:r>
    </w:p>
    <w:p>
      <w:pPr>
        <w:spacing w:after="160" w:before="0" w:line="360"/>
        <w:jc w:val="both"/>
      </w:pPr>
      <w:r>
        <w:rPr>
          <w:rFonts w:ascii="Tahoma" w:cs="Tahoma" w:eastAsia="Tahoma" w:hAnsi="Tahoma"/>
          <w:sz w:val="22"/>
          <w:szCs w:val="22"/>
        </w:rPr>
        <w:t xml:space="preserve">AI decision support systems for safety-critical domains implement binary governance: the AI either operates at full advisory scope or is blocked entirely (Indykov et al., 2025; Perez-Cerrolaza et al., 2024). Under intermediate-risk conditions — beyond the safe operating range but below a full danger threshold — this forces a false choice: continue generating departure-time and trip-duration recommendations built on environmental data that is no longer reliable, or provide no guidance at all. Wen et al. (2025), analysing 60 real-world accident reports, found human intervention was ineffective in 83.3% of process control incidents where AI was acting autonomously. Binary governance contributes to this failure: the human receives confident recommendations right up to the limit of the AI's reliable operating range, with no architectural signal that the advisory scope has become questionable.</w:t>
      </w:r>
    </w:p>
    <w:p>
      <w:pPr>
        <w:spacing w:after="80" w:before="160" w:line="360"/>
        <w:jc w:val="left"/>
      </w:pPr>
      <w:r>
        <w:rPr>
          <w:rFonts w:ascii="Tahoma" w:cs="Tahoma" w:eastAsia="Tahoma" w:hAnsi="Tahoma"/>
          <w:b/>
          <w:bCs/>
          <w:i/>
          <w:iCs/>
          <w:sz w:val="22"/>
          <w:szCs w:val="22"/>
        </w:rPr>
        <w:t xml:space="preserve">Scholarly Support</w:t>
      </w:r>
    </w:p>
    <w:p>
      <w:pPr>
        <w:spacing w:after="160" w:before="0" w:line="360"/>
        <w:jc w:val="both"/>
      </w:pPr>
      <w:r>
        <w:rPr>
          <w:rFonts w:ascii="Tahoma" w:cs="Tahoma" w:eastAsia="Tahoma" w:hAnsi="Tahoma"/>
          <w:sz w:val="22"/>
          <w:szCs w:val="22"/>
        </w:rPr>
        <w:t xml:space="preserve">The gap is confirmed across multiple independent bodies of literature. Indykov et al. (2025), reviewing 206 papers and 16 architectural tactics for ML-enabled systems, found no tactic demonstrating formal impact on safety through advisory scope restriction. Shamsujjoha et al. (2025) identify 13 distinct runtime guardrail actions across 32 studies; none conditions advisory scope on classified environmental safety state. Perez-Cerrolaza et al. (2024) survey AI safety mechanisms across automotive, avionics, railway, and industrial domains — all binary. Flehmig et al. (2024), the closest structural precedent, propose a three-level traffic-light degradation index. Their intermediate level (orange) heightens supervisory activity but leaves the AI's advisory scope unchanged between Level 1 and Level 2. Dalrymple et al. (2024) propose Guaranteed Safe AI as a theoretical framework, but safety verification within that framework is binary. Haque and Al Jufaili (2026) confirm the same absence across four fisheries application domains.</w:t>
      </w:r>
    </w:p>
    <w:p>
      <w:pPr>
        <w:spacing w:after="80" w:before="160" w:line="360"/>
        <w:jc w:val="left"/>
      </w:pPr>
      <w:r>
        <w:rPr>
          <w:rFonts w:ascii="Tahoma" w:cs="Tahoma" w:eastAsia="Tahoma" w:hAnsi="Tahoma"/>
          <w:b/>
          <w:bCs/>
          <w:i/>
          <w:iCs/>
          <w:sz w:val="22"/>
          <w:szCs w:val="22"/>
        </w:rPr>
        <w:t xml:space="preserve">Specific Problem</w:t>
      </w:r>
    </w:p>
    <w:p>
      <w:pPr>
        <w:spacing w:after="160" w:before="0" w:line="360"/>
        <w:jc w:val="both"/>
      </w:pPr>
      <w:r>
        <w:rPr>
          <w:rFonts w:ascii="Tahoma" w:cs="Tahoma" w:eastAsia="Tahoma" w:hAnsi="Tahoma"/>
          <w:sz w:val="22"/>
          <w:szCs w:val="22"/>
        </w:rPr>
        <w:t xml:space="preserve">No architecture identified in the reviewed literature formally defines an intermediate governance mode in which AI participates but advisory scope is restricted to recommendation types that the current environmental safety state can reliably support. Stated precisely: no existing architecture specifies an AI-admissible recommendation space Aᴀᴵ(S) that varies by classified safety state S.</w:t>
      </w:r>
    </w:p>
    <w:p>
      <w:pPr>
        <w:spacing w:after="80" w:before="160" w:line="360"/>
        <w:jc w:val="left"/>
      </w:pPr>
      <w:r>
        <w:rPr>
          <w:rFonts w:ascii="Tahoma" w:cs="Tahoma" w:eastAsia="Tahoma" w:hAnsi="Tahoma"/>
          <w:b/>
          <w:bCs/>
          <w:i/>
          <w:iCs/>
          <w:sz w:val="22"/>
          <w:szCs w:val="22"/>
        </w:rPr>
        <w:t xml:space="preserve">Concluding Commentary</w:t>
      </w:r>
    </w:p>
    <w:p>
      <w:pPr>
        <w:spacing w:after="160" w:before="0" w:line="360"/>
        <w:jc w:val="both"/>
      </w:pPr>
      <w:r>
        <w:rPr>
          <w:rFonts w:ascii="Tahoma" w:cs="Tahoma" w:eastAsia="Tahoma" w:hAnsi="Tahoma"/>
          <w:sz w:val="22"/>
          <w:szCs w:val="22"/>
        </w:rPr>
        <w:t xml:space="preserve">The population this gap affects makes departure decisions three to six times per week with direct physical consequences and no institutional fallback (Yamin et al., 2025). Traditional knowledge is declining, AI adoption is growing, and binary governance creates the conditions for the human-automation interaction failures documented by Wen et al. (2025). If unaddressed, AI advisory systems in coastal fisheries will operate at full scope under intermediate-risk conditions while users have no architectural signal that reliability has diminished.</w:t>
      </w:r>
    </w:p>
    <w:p>
      <w:pPr>
        <w:spacing w:after="120" w:before="240" w:line="360"/>
        <w:jc w:val="left"/>
      </w:pPr>
      <w:r>
        <w:rPr>
          <w:rFonts w:ascii="Tahoma" w:cs="Tahoma" w:eastAsia="Tahoma" w:hAnsi="Tahoma"/>
          <w:b/>
          <w:bCs/>
          <w:sz w:val="26"/>
          <w:szCs w:val="26"/>
        </w:rPr>
        <w:t xml:space="preserve">4. RESEARCH OBJECTIVES</w:t>
      </w:r>
    </w:p>
    <w:p>
      <w:pPr>
        <w:spacing w:after="160" w:before="0" w:line="360"/>
        <w:jc w:val="both"/>
      </w:pPr>
      <w:r>
        <w:rPr>
          <w:rFonts w:ascii="Tahoma" w:cs="Tahoma" w:eastAsia="Tahoma" w:hAnsi="Tahoma"/>
          <w:sz w:val="22"/>
          <w:szCs w:val="22"/>
        </w:rPr>
        <w:t xml:space="preserve">Five objectives directly address the identified problem, aligned to five research questions:</w:t>
      </w:r>
    </w:p>
    <w:p>
      <w:pPr>
        <w:pStyle w:val="ListParagraph"/>
        <w:numPr>
          <w:ilvl w:val="0"/>
          <w:numId w:val="2"/>
        </w:numPr>
        <w:spacing w:after="80" w:line="360"/>
      </w:pPr>
      <w:r>
        <w:rPr>
          <w:rFonts w:ascii="Tahoma" w:cs="Tahoma" w:eastAsia="Tahoma" w:hAnsi="Tahoma"/>
          <w:sz w:val="22"/>
          <w:szCs w:val="22"/>
        </w:rPr>
        <w:t xml:space="preserve">To design a three-mode hybrid AI decision architecture in which AI participation is graduated (enabled / restricted / disabled) based on classified environmental safety state, ensuring advisory scope narrows as operational risk increases. (RQ1 — Architecture design)</w:t>
      </w:r>
    </w:p>
    <w:p>
      <w:pPr>
        <w:pStyle w:val="ListParagraph"/>
        <w:numPr>
          <w:ilvl w:val="0"/>
          <w:numId w:val="2"/>
        </w:numPr>
        <w:spacing w:after="80" w:line="360"/>
      </w:pPr>
      <w:r>
        <w:rPr>
          <w:rFonts w:ascii="Tahoma" w:cs="Tahoma" w:eastAsia="Tahoma" w:hAnsi="Tahoma"/>
          <w:sz w:val="22"/>
          <w:szCs w:val="22"/>
        </w:rPr>
        <w:t xml:space="preserve">To formally define the environmental state vector E = {w, r, m, o, v, t}, safety state function S = f(E), participation gate function G(S), and AI-admissible recommendation space Aᴀᴵ(S), with the containment property Aᴀᴵ(SAFE) ⊃ Aᴀᴵ(CAUTION) ⊃ Aᴀᴵ(UNSAFE) = ∅ and a formal proof of the Safety Dominance Property AI(E) ⊆ Aᴀᴵ(S) by construction. (RQ2 — Formal specification)</w:t>
      </w:r>
    </w:p>
    <w:p>
      <w:pPr>
        <w:pStyle w:val="ListParagraph"/>
        <w:numPr>
          <w:ilvl w:val="0"/>
          <w:numId w:val="2"/>
        </w:numPr>
        <w:spacing w:after="80" w:line="360"/>
      </w:pPr>
      <w:r>
        <w:rPr>
          <w:rFonts w:ascii="Tahoma" w:cs="Tahoma" w:eastAsia="Tahoma" w:hAnsi="Tahoma"/>
          <w:sz w:val="22"/>
          <w:szCs w:val="22"/>
        </w:rPr>
        <w:t xml:space="preserve">To implement a functional prototype decision-support system based on the proposed architecture, designed for the constraints of small-scale coastal fisheries: offline-capable governance layer, smartphone-class hardware, and locally observable environmental inputs. (RQ3 — Prototype implementation)</w:t>
      </w:r>
    </w:p>
    <w:p>
      <w:pPr>
        <w:pStyle w:val="ListParagraph"/>
        <w:numPr>
          <w:ilvl w:val="0"/>
          <w:numId w:val="2"/>
        </w:numPr>
        <w:spacing w:after="80" w:line="360"/>
      </w:pPr>
      <w:r>
        <w:rPr>
          <w:rFonts w:ascii="Tahoma" w:cs="Tahoma" w:eastAsia="Tahoma" w:hAnsi="Tahoma"/>
          <w:sz w:val="22"/>
          <w:szCs w:val="22"/>
        </w:rPr>
        <w:t xml:space="preserve">To evaluate the architecture's safety compliance and comparative performance against a binary-gated baseline (Level 1 only, C1) and an ungated baseline (C0), using Safety Dominance Property compliance under C2 as the primary metric, with the CAUTION condition serving as the discriminating test. (RQ4 — Technical evaluation)</w:t>
      </w:r>
    </w:p>
    <w:p>
      <w:pPr>
        <w:pStyle w:val="ListParagraph"/>
        <w:numPr>
          <w:ilvl w:val="0"/>
          <w:numId w:val="2"/>
        </w:numPr>
        <w:spacing w:after="80" w:line="360"/>
      </w:pPr>
      <w:r>
        <w:rPr>
          <w:rFonts w:ascii="Tahoma" w:cs="Tahoma" w:eastAsia="Tahoma" w:hAnsi="Tahoma"/>
          <w:sz w:val="22"/>
          <w:szCs w:val="22"/>
        </w:rPr>
        <w:t xml:space="preserve">To validate that the architecture functions as intended with real users — small-scale fishers and fisheries officers in coastal Malaysia — by testing whether users correctly perceive safety states (Q1), correctly interpret the CAUTION restriction as a scope limitation (Q2), and make different decisions under CAUTION than under SAFE and UNSAFE (Q3). (RQ5 — Contextual validation)</w:t>
      </w:r>
    </w:p>
    <w:p>
      <w:pPr>
        <w:spacing w:after="120" w:before="240" w:line="360"/>
        <w:jc w:val="left"/>
      </w:pPr>
      <w:r>
        <w:rPr>
          <w:rFonts w:ascii="Tahoma" w:cs="Tahoma" w:eastAsia="Tahoma" w:hAnsi="Tahoma"/>
          <w:b/>
          <w:bCs/>
          <w:sz w:val="26"/>
          <w:szCs w:val="26"/>
        </w:rPr>
        <w:t xml:space="preserve">5. LITERATURE REVIEW</w:t>
      </w:r>
    </w:p>
    <w:p>
      <w:pPr>
        <w:spacing w:after="80" w:before="160" w:line="360"/>
        <w:jc w:val="left"/>
      </w:pPr>
      <w:r>
        <w:rPr>
          <w:rFonts w:ascii="Tahoma" w:cs="Tahoma" w:eastAsia="Tahoma" w:hAnsi="Tahoma"/>
          <w:b/>
          <w:bCs/>
          <w:i/>
          <w:iCs/>
          <w:sz w:val="22"/>
          <w:szCs w:val="22"/>
        </w:rPr>
        <w:t xml:space="preserve">AI Governance in Safety-Critical Systems</w:t>
      </w:r>
    </w:p>
    <w:p>
      <w:pPr>
        <w:spacing w:after="160" w:before="0" w:line="360"/>
        <w:jc w:val="both"/>
      </w:pPr>
      <w:r>
        <w:rPr>
          <w:rFonts w:ascii="Tahoma" w:cs="Tahoma" w:eastAsia="Tahoma" w:hAnsi="Tahoma"/>
          <w:sz w:val="22"/>
          <w:szCs w:val="22"/>
        </w:rPr>
        <w:t xml:space="preserve">AI governance for safety-critical systems has evolved along three main lines: deterministic safety constraints, human-AI authority allocation frameworks, and adaptive risk-based systems. Könighofer et al. (2025) formalise shields — runtime mechanisms that intercept unsafe AI actions before they reach the environment. Dalrymple et al. (2024) require formal proof certificates before AI output is deployed. Bajcsy and Fisac (2024) implement a control-theoretic safety filter. All three are binary: the AI either operates within its safety boundary or is replaced. Perez-Cerrolaza et al. (2024), surveying 294 references across automotive, avionics, railway, and industrial domains, confirm this pattern — safety bags, safety monitors, and safety envelopes are the dominant mechanisms, all binary. Shamsujjoha et al. (2025) catalogue 13 runtime guardrail actions across 32 studies. None conditions advisory scope on classified environmental safety state.</w:t>
      </w:r>
    </w:p>
    <w:p>
      <w:pPr>
        <w:spacing w:after="80" w:before="160" w:line="360"/>
        <w:jc w:val="left"/>
      </w:pPr>
      <w:r>
        <w:rPr>
          <w:rFonts w:ascii="Tahoma" w:cs="Tahoma" w:eastAsia="Tahoma" w:hAnsi="Tahoma"/>
          <w:b/>
          <w:bCs/>
          <w:i/>
          <w:iCs/>
          <w:sz w:val="22"/>
          <w:szCs w:val="22"/>
        </w:rPr>
        <w:t xml:space="preserve">Adaptive and Graduated Systems</w:t>
      </w:r>
    </w:p>
    <w:p>
      <w:pPr>
        <w:spacing w:after="160" w:before="0" w:line="360"/>
        <w:jc w:val="both"/>
      </w:pPr>
      <w:r>
        <w:rPr>
          <w:rFonts w:ascii="Tahoma" w:cs="Tahoma" w:eastAsia="Tahoma" w:hAnsi="Tahoma"/>
          <w:sz w:val="22"/>
          <w:szCs w:val="22"/>
        </w:rPr>
        <w:t xml:space="preserve">Flehmig et al. (2024) provide the closest structural precedent: a three-level traffic-light degradation index (green/orange/red). At red, the AI is blocked; at orange, supervisory checks intensify. But the AI's advisory scope is identical at green and orange — the intermediate level governs human supervisory behaviour, not AI recommendation content. Ramos et al. (2024), reviewing 91 collaborative intelligence studies, find no system varying advisory scope by classified safety state. Feng et al. (2025) decompose governance into agency and autonomy dimensions, both configured at design time. Baxi (2026) formalises a K-tier permission architecture where permission sets vary by tier, but tiers are determined by the AI's own verified robustness, not by classified environmental state.</w:t>
      </w:r>
    </w:p>
    <w:p>
      <w:pPr>
        <w:spacing w:after="80" w:before="160" w:line="360"/>
        <w:jc w:val="left"/>
      </w:pPr>
      <w:r>
        <w:rPr>
          <w:rFonts w:ascii="Tahoma" w:cs="Tahoma" w:eastAsia="Tahoma" w:hAnsi="Tahoma"/>
          <w:b/>
          <w:bCs/>
          <w:i/>
          <w:iCs/>
          <w:sz w:val="22"/>
          <w:szCs w:val="22"/>
        </w:rPr>
        <w:t xml:space="preserve">Fisheries and Low-Resource Deployment</w:t>
      </w:r>
    </w:p>
    <w:p>
      <w:pPr>
        <w:spacing w:after="160" w:before="0" w:line="360"/>
        <w:jc w:val="both"/>
      </w:pPr>
      <w:r>
        <w:rPr>
          <w:rFonts w:ascii="Tahoma" w:cs="Tahoma" w:eastAsia="Tahoma" w:hAnsi="Tahoma"/>
          <w:sz w:val="22"/>
          <w:szCs w:val="22"/>
        </w:rPr>
        <w:t xml:space="preserve">Haque and Al Jufaili (2026) confirm across four fisheries domains that no AI system implements formal advisory scope restriction conditioned on environmental state. Katende (2026) characterises low-resource AI design requirements: offline-first, computationally lightweight, observable from locally available inputs. Longobardi et al. (2025) demonstrate analytics are achievable in data-deficient fisheries contexts, but without a governance architecture. Bhuvaneswari et al. (2025) demonstrate lightweight AI for safety-critical decisions is possible in resource-constrained settings through deliberate architectural choices. The governance pair (G(S), Aᴀᴵ(S)) has no precedent across any of these bodies of literature.</w:t>
      </w:r>
    </w:p>
    <w:p>
      <w:pPr>
        <w:spacing w:after="120" w:before="240" w:line="360"/>
        <w:jc w:val="left"/>
      </w:pPr>
      <w:r>
        <w:rPr>
          <w:rFonts w:ascii="Tahoma" w:cs="Tahoma" w:eastAsia="Tahoma" w:hAnsi="Tahoma"/>
          <w:b/>
          <w:bCs/>
          <w:sz w:val="26"/>
          <w:szCs w:val="26"/>
        </w:rPr>
        <w:t xml:space="preserve">6. CONCEPTUAL AND THEORETICAL FRAMEWORK</w:t>
      </w:r>
    </w:p>
    <w:p>
      <w:pPr>
        <w:spacing w:after="80" w:before="160" w:line="360"/>
        <w:jc w:val="left"/>
      </w:pPr>
      <w:r>
        <w:rPr>
          <w:rFonts w:ascii="Tahoma" w:cs="Tahoma" w:eastAsia="Tahoma" w:hAnsi="Tahoma"/>
          <w:b/>
          <w:bCs/>
          <w:i/>
          <w:iCs/>
          <w:sz w:val="22"/>
          <w:szCs w:val="22"/>
        </w:rPr>
        <w:t xml:space="preserve">Design Science Research</w:t>
      </w:r>
    </w:p>
    <w:p>
      <w:pPr>
        <w:spacing w:after="160" w:before="0" w:line="360"/>
        <w:jc w:val="both"/>
      </w:pPr>
      <w:r>
        <w:rPr>
          <w:rFonts w:ascii="Tahoma" w:cs="Tahoma" w:eastAsia="Tahoma" w:hAnsi="Tahoma"/>
          <w:sz w:val="22"/>
          <w:szCs w:val="22"/>
        </w:rPr>
        <w:t xml:space="preserve">The research follows a Design Science Research (DSR) methodology (Peffers et al., 2007), which frames research as the design, construction, and evaluation of an artefact that addresses an identified problem. The five research objectives map directly onto the DSR cycle: problem identification, solution design, artefact construction, evaluation, and communication.</w:t>
      </w:r>
    </w:p>
    <w:p>
      <w:pPr>
        <w:spacing w:after="80" w:before="160" w:line="360"/>
        <w:jc w:val="left"/>
      </w:pPr>
      <w:r>
        <w:rPr>
          <w:rFonts w:ascii="Tahoma" w:cs="Tahoma" w:eastAsia="Tahoma" w:hAnsi="Tahoma"/>
          <w:b/>
          <w:bCs/>
          <w:i/>
          <w:iCs/>
          <w:sz w:val="22"/>
          <w:szCs w:val="22"/>
        </w:rPr>
        <w:t xml:space="preserve">Guaranteed Safe AI</w:t>
      </w:r>
    </w:p>
    <w:p>
      <w:pPr>
        <w:spacing w:after="160" w:before="0" w:line="360"/>
        <w:jc w:val="both"/>
      </w:pPr>
      <w:r>
        <w:rPr>
          <w:rFonts w:ascii="Tahoma" w:cs="Tahoma" w:eastAsia="Tahoma" w:hAnsi="Tahoma"/>
          <w:sz w:val="22"/>
          <w:szCs w:val="22"/>
        </w:rPr>
        <w:t xml:space="preserve">Dalrymple et al. (2024) provide the theoretical umbrella: AI systems should produce only outputs that are provably safe relative to a formal specification. The proposed architecture instantiates this principle at the advisory scope level. Where Guaranteed Safe AI is binary at the verification level, this architecture extends it with an intermediate governance mode conditioned on environmental safety state.</w:t>
      </w:r>
    </w:p>
    <w:p>
      <w:pPr>
        <w:spacing w:after="80" w:before="160" w:line="360"/>
        <w:jc w:val="left"/>
      </w:pPr>
      <w:r>
        <w:rPr>
          <w:rFonts w:ascii="Tahoma" w:cs="Tahoma" w:eastAsia="Tahoma" w:hAnsi="Tahoma"/>
          <w:b/>
          <w:bCs/>
          <w:i/>
          <w:iCs/>
          <w:sz w:val="22"/>
          <w:szCs w:val="22"/>
        </w:rPr>
        <w:t xml:space="preserve">The Formal Pipeline</w:t>
      </w:r>
    </w:p>
    <w:p>
      <w:pPr>
        <w:spacing w:after="160" w:before="0" w:line="360"/>
        <w:jc w:val="both"/>
      </w:pPr>
      <w:r>
        <w:rPr>
          <w:rFonts w:ascii="Tahoma" w:cs="Tahoma" w:eastAsia="Tahoma" w:hAnsi="Tahoma"/>
          <w:sz w:val="22"/>
          <w:szCs w:val="22"/>
        </w:rPr>
        <w:t xml:space="preserve">The architecture is expressed as a four-step governance pipeline:</w:t>
      </w:r>
    </w:p>
    <w:p>
      <w:pPr>
        <w:spacing w:after="80" w:before="80" w:line="360"/>
        <w:jc w:val="center"/>
      </w:pPr>
      <w:r>
        <w:rPr>
          <w:rFonts w:ascii="Tahoma" w:cs="Tahoma" w:eastAsia="Tahoma" w:hAnsi="Tahoma"/>
          <w:b/>
          <w:bCs/>
          <w:sz w:val="22"/>
          <w:szCs w:val="22"/>
        </w:rPr>
        <w:t xml:space="preserve">E → S = f(E) → (G(S), Aᴀᴵ(S)) → AI(E) → Human Decision</w:t>
      </w:r>
    </w:p>
    <w:p>
      <w:pPr>
        <w:spacing w:after="160" w:before="0" w:line="360"/>
        <w:jc w:val="both"/>
      </w:pPr>
      <w:r>
        <w:rPr>
          <w:rFonts w:ascii="Tahoma" w:cs="Tahoma" w:eastAsia="Tahoma" w:hAnsi="Tahoma"/>
          <w:sz w:val="22"/>
          <w:szCs w:val="22"/>
        </w:rPr>
        <w:t xml:space="preserve">Layer 1 (Environmental sensing): The environmental state vector E = {w, r, m, o, v, t} captures wind speed (w), rainfall intensity (r), marine warning level (m), ocean state (o), vessel category (v), and time of day (t). All six parameters are observable without specialised instrumentation and correspond to inputs fishers already assess before each trip (Gao, 2024; Yamin et al., 2025).</w:t>
      </w:r>
    </w:p>
    <w:p>
      <w:pPr>
        <w:spacing w:after="160" w:before="0" w:line="360"/>
        <w:jc w:val="both"/>
      </w:pPr>
      <w:r>
        <w:rPr>
          <w:rFonts w:ascii="Tahoma" w:cs="Tahoma" w:eastAsia="Tahoma" w:hAnsi="Tahoma"/>
          <w:sz w:val="22"/>
          <w:szCs w:val="22"/>
        </w:rPr>
        <w:t xml:space="preserve">Layer 2 (Deterministic governance): The safety state function S = f(E) applies worst-case aggregation — S is determined by the single most dangerous parameter. The governance pair (G(S), Aᴀᴵ(S)) then defines two levels of control: Level 1 (participation gate G(S)) determines whether the AI operates; Level 2 (advisory scope Aᴀᴵ(S)) defines the admissible recommendation space per safety state, as shown in Table 1.</w:t>
      </w:r>
    </w:p>
    <w:p>
      <w:pPr>
        <w:spacing w:after="0" w:line="360"/>
      </w:pPr>
      <w:r>
        <w:rPr>
          <w:rFonts w:ascii="Tahoma" w:cs="Tahoma" w:eastAsia="Tahoma" w:hAnsi="Tahoma"/>
          <w:sz w:val="22"/>
          <w:szCs w:val="22"/>
        </w:rPr>
        <w:t xml:space="preserve"/>
      </w:r>
    </w:p>
    <w:p>
      <w:pPr>
        <w:spacing w:after="80" w:before="60" w:line="360"/>
        <w:jc w:val="center"/>
      </w:pPr>
      <w:r>
        <w:rPr>
          <w:rFonts w:ascii="Tahoma" w:cs="Tahoma" w:eastAsia="Tahoma" w:hAnsi="Tahoma"/>
          <w:b/>
          <w:bCs/>
          <w:sz w:val="22"/>
          <w:szCs w:val="22"/>
        </w:rPr>
        <w:t xml:space="preserve">Table 1: Governance configuration by safety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26"/>
        <w:gridCol w:w="2600"/>
      </w:tblGrid>
      <w:tr>
        <w:tc>
          <w:tcPr>
            <w:tcW w:type="dxa" w:w="1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Safety State</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G(S)</w:t>
            </w:r>
          </w:p>
        </w:tc>
        <w:tc>
          <w:tcPr>
            <w:tcW w:type="dxa" w:w="3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A_AI(S)</w:t>
            </w:r>
          </w:p>
        </w:tc>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AI Advisory Scope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SAFE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1 (enabled)</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{Go, Delay, DepartureTime, Duration}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Full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CAUTION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1 (enabled)</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{Go, Delay}</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Restricted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UNSAFE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0 (disabled)</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 (empty set)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None</w:t>
            </w:r>
          </w:p>
        </w:tc>
      </w:tr>
    </w:tbl>
    <w:p>
      <w:pPr>
        <w:spacing w:after="0" w:line="360"/>
      </w:pPr>
      <w:r>
        <w:rPr>
          <w:rFonts w:ascii="Tahoma" w:cs="Tahoma" w:eastAsia="Tahoma" w:hAnsi="Tahoma"/>
          <w:sz w:val="22"/>
          <w:szCs w:val="22"/>
        </w:rPr>
        <w:t xml:space="preserve"/>
      </w:r>
    </w:p>
    <w:p>
      <w:pPr>
        <w:spacing w:after="160" w:before="0" w:line="360"/>
        <w:jc w:val="both"/>
      </w:pPr>
      <w:r>
        <w:rPr>
          <w:rFonts w:ascii="Tahoma" w:cs="Tahoma" w:eastAsia="Tahoma" w:hAnsi="Tahoma"/>
          <w:sz w:val="22"/>
          <w:szCs w:val="22"/>
        </w:rPr>
        <w:t xml:space="preserve">The formal containment property holds: Aᴀᴵ(SAFE) ⊃ Aᴀᴵ(CAUTION) ⊃ Aᴀᴵ(UNSAFE) = ∅. The Safety Dominance Property AI(E) ⊆ Aᴀᴵ(S) is enforced by construction: the governance layer supplies a state-conditioned rule set RS(S) to the AI reasoning layer before inference begins. RS(CAUTION) contains only rules producing recommendations within {Go, Delay}; no rule in that configuration can generate DepartureTime or Duration. The property holds by definition of the rule sets, not by runtime filtering.</w:t>
      </w:r>
    </w:p>
    <w:p>
      <w:pPr>
        <w:spacing w:after="160" w:before="0" w:line="360"/>
        <w:jc w:val="both"/>
      </w:pPr>
      <w:r>
        <w:rPr>
          <w:rFonts w:ascii="Tahoma" w:cs="Tahoma" w:eastAsia="Tahoma" w:hAnsi="Tahoma"/>
          <w:sz w:val="22"/>
          <w:szCs w:val="22"/>
        </w:rPr>
        <w:t xml:space="preserve">Layer 3 (AI advisory reasoning): A rule-based engine configured per safety state, receiving RS(S) from Layer 2 before any reasoning begins. Layer 4 (Human decision): The fisher receives the safety state indicator and any AI recommendations. Final decision authority remains with the human.</w:t>
      </w:r>
    </w:p>
    <w:p>
      <w:pPr>
        <w:spacing w:after="80" w:before="160" w:line="360"/>
        <w:jc w:val="left"/>
      </w:pPr>
      <w:r>
        <w:rPr>
          <w:rFonts w:ascii="Tahoma" w:cs="Tahoma" w:eastAsia="Tahoma" w:hAnsi="Tahoma"/>
          <w:b/>
          <w:bCs/>
          <w:i/>
          <w:iCs/>
          <w:sz w:val="22"/>
          <w:szCs w:val="22"/>
        </w:rPr>
        <w:t xml:space="preserve">Low-Resource Suitability</w:t>
      </w:r>
    </w:p>
    <w:p>
      <w:pPr>
        <w:spacing w:after="160" w:before="0" w:line="360"/>
        <w:jc w:val="both"/>
      </w:pPr>
      <w:r>
        <w:rPr>
          <w:rFonts w:ascii="Tahoma" w:cs="Tahoma" w:eastAsia="Tahoma" w:hAnsi="Tahoma"/>
          <w:sz w:val="22"/>
          <w:szCs w:val="22"/>
        </w:rPr>
        <w:t xml:space="preserve">The governance layer performs only threshold comparisons and lookups (O(1) complexity), requires no connectivity, runs on any smartphone-class hardware, and operates from locally observable inputs. Pre-hoc scope restriction under CAUTION eliminates compute wasted generating recommendations that governance would suppress — a direct efficiency advantage in battery-constrained at-sea conditions (Katende, 2026).</w:t>
      </w:r>
    </w:p>
    <w:p>
      <w:pPr>
        <w:spacing w:after="120" w:before="240" w:line="360"/>
        <w:jc w:val="left"/>
      </w:pPr>
      <w:r>
        <w:rPr>
          <w:rFonts w:ascii="Tahoma" w:cs="Tahoma" w:eastAsia="Tahoma" w:hAnsi="Tahoma"/>
          <w:b/>
          <w:bCs/>
          <w:sz w:val="26"/>
          <w:szCs w:val="26"/>
        </w:rPr>
        <w:t xml:space="preserve">7. RESEARCH DESIGN AND METHODOLOGY</w:t>
      </w:r>
    </w:p>
    <w:p>
      <w:pPr>
        <w:spacing w:after="160" w:before="0" w:line="360"/>
        <w:jc w:val="both"/>
      </w:pPr>
      <w:r>
        <w:rPr>
          <w:rFonts w:ascii="Tahoma" w:cs="Tahoma" w:eastAsia="Tahoma" w:hAnsi="Tahoma"/>
          <w:sz w:val="22"/>
          <w:szCs w:val="22"/>
        </w:rPr>
        <w:t xml:space="preserve">The research follows a DSR methodology (Peffers et al., 2007) structured across five phases:</w:t>
      </w:r>
    </w:p>
    <w:p>
      <w:pPr>
        <w:spacing w:after="80" w:before="160" w:line="360"/>
        <w:jc w:val="left"/>
      </w:pPr>
      <w:r>
        <w:rPr>
          <w:rFonts w:ascii="Tahoma" w:cs="Tahoma" w:eastAsia="Tahoma" w:hAnsi="Tahoma"/>
          <w:b/>
          <w:bCs/>
          <w:i/>
          <w:iCs/>
          <w:sz w:val="22"/>
          <w:szCs w:val="22"/>
        </w:rPr>
        <w:t xml:space="preserve">Phase 1 — Architecture Design (RQ1)</w:t>
      </w:r>
    </w:p>
    <w:p>
      <w:pPr>
        <w:spacing w:after="160" w:before="0" w:line="360"/>
        <w:jc w:val="both"/>
      </w:pPr>
      <w:r>
        <w:rPr>
          <w:rFonts w:ascii="Tahoma" w:cs="Tahoma" w:eastAsia="Tahoma" w:hAnsi="Tahoma"/>
          <w:sz w:val="22"/>
          <w:szCs w:val="22"/>
        </w:rPr>
        <w:t xml:space="preserve">Layered system modelling and conceptual framework development. The three-mode governance structure (SAFE/CAUTION/UNSAFE) is designed using the four-layer pipeline model, grounded in the literature gap analysis. Status: Complete.</w:t>
      </w:r>
    </w:p>
    <w:p>
      <w:pPr>
        <w:spacing w:after="80" w:before="160" w:line="360"/>
        <w:jc w:val="left"/>
      </w:pPr>
      <w:r>
        <w:rPr>
          <w:rFonts w:ascii="Tahoma" w:cs="Tahoma" w:eastAsia="Tahoma" w:hAnsi="Tahoma"/>
          <w:b/>
          <w:bCs/>
          <w:i/>
          <w:iCs/>
          <w:sz w:val="22"/>
          <w:szCs w:val="22"/>
        </w:rPr>
        <w:t xml:space="preserve">Phase 2 — Formal Specification (RQ2)</w:t>
      </w:r>
    </w:p>
    <w:p>
      <w:pPr>
        <w:spacing w:after="160" w:before="0" w:line="360"/>
        <w:jc w:val="both"/>
      </w:pPr>
      <w:r>
        <w:rPr>
          <w:rFonts w:ascii="Tahoma" w:cs="Tahoma" w:eastAsia="Tahoma" w:hAnsi="Tahoma"/>
          <w:sz w:val="22"/>
          <w:szCs w:val="22"/>
        </w:rPr>
        <w:t xml:space="preserve">Mathematical formalisation of E, S = f(E), G(S), and Aᴀᴵ(S). Domain operationalisation of safety thresholds using Malaysian maritime safety standards (MET Malaysia Category 1 warning thresholds for small craft) and expert elicitation. Proof of the Safety Dominance Property by construction via state-conditioned rule sets. Status: Complete.</w:t>
      </w:r>
    </w:p>
    <w:p>
      <w:pPr>
        <w:spacing w:after="80" w:before="160" w:line="360"/>
        <w:jc w:val="left"/>
      </w:pPr>
      <w:r>
        <w:rPr>
          <w:rFonts w:ascii="Tahoma" w:cs="Tahoma" w:eastAsia="Tahoma" w:hAnsi="Tahoma"/>
          <w:b/>
          <w:bCs/>
          <w:i/>
          <w:iCs/>
          <w:sz w:val="22"/>
          <w:szCs w:val="22"/>
        </w:rPr>
        <w:t xml:space="preserve">Phase 3 — Prototype Implementation (RQ3)</w:t>
      </w:r>
    </w:p>
    <w:p>
      <w:pPr>
        <w:spacing w:after="160" w:before="0" w:line="360"/>
        <w:jc w:val="both"/>
      </w:pPr>
      <w:r>
        <w:rPr>
          <w:rFonts w:ascii="Tahoma" w:cs="Tahoma" w:eastAsia="Tahoma" w:hAnsi="Tahoma"/>
          <w:sz w:val="22"/>
          <w:szCs w:val="22"/>
        </w:rPr>
        <w:t xml:space="preserve">A functional decision-support application implementing the four-layer pipeline. The governance layer is implemented as a deterministic classifier. The AI reasoning layer is implemented as a rule-based engine with state-conditioned rule sets RS(SAFE) and RS(CAUTION). The prototype targets offline-capable smartphone deployment. Timeline: 4 months.</w:t>
      </w:r>
    </w:p>
    <w:p>
      <w:pPr>
        <w:spacing w:after="80" w:before="160" w:line="360"/>
        <w:jc w:val="left"/>
      </w:pPr>
      <w:r>
        <w:rPr>
          <w:rFonts w:ascii="Tahoma" w:cs="Tahoma" w:eastAsia="Tahoma" w:hAnsi="Tahoma"/>
          <w:b/>
          <w:bCs/>
          <w:i/>
          <w:iCs/>
          <w:sz w:val="22"/>
          <w:szCs w:val="22"/>
        </w:rPr>
        <w:t xml:space="preserve">Phase 4 — Technical Evaluation (RQ4)</w:t>
      </w:r>
    </w:p>
    <w:p>
      <w:pPr>
        <w:spacing w:after="160" w:before="0" w:line="360"/>
        <w:jc w:val="both"/>
      </w:pPr>
      <w:r>
        <w:rPr>
          <w:rFonts w:ascii="Tahoma" w:cs="Tahoma" w:eastAsia="Tahoma" w:hAnsi="Tahoma"/>
          <w:sz w:val="22"/>
          <w:szCs w:val="22"/>
        </w:rPr>
        <w:t xml:space="preserve">Three-condition comparative analysis across: C0 (ungated — no governance, AI generates full recommendations regardless of state), C1 (binary-gated — Level 1 participation gate only), and C2 (proposed two-level graduated architecture). The evaluation uses a scenario-based test suite covering all three safety states, boundary conditions, and adversarial inputs. The primary metric is Safety Dominance Property compliance under C2, verified per scenario with 100% compliance required. The CAUTION discriminator (C1 vs. C2 under CAUTION) directly tests whether Level 2 governance adds safety value beyond Level 1 alone. Timeline: 3 months.</w:t>
      </w:r>
    </w:p>
    <w:p>
      <w:pPr>
        <w:spacing w:after="80" w:before="160" w:line="360"/>
        <w:jc w:val="left"/>
      </w:pPr>
      <w:r>
        <w:rPr>
          <w:rFonts w:ascii="Tahoma" w:cs="Tahoma" w:eastAsia="Tahoma" w:hAnsi="Tahoma"/>
          <w:b/>
          <w:bCs/>
          <w:i/>
          <w:iCs/>
          <w:sz w:val="22"/>
          <w:szCs w:val="22"/>
        </w:rPr>
        <w:t xml:space="preserve">Phase 5 — Contextual User Validation (RQ5)</w:t>
      </w:r>
    </w:p>
    <w:p>
      <w:pPr>
        <w:spacing w:after="160" w:before="0" w:line="360"/>
        <w:jc w:val="both"/>
      </w:pPr>
      <w:r>
        <w:rPr>
          <w:rFonts w:ascii="Tahoma" w:cs="Tahoma" w:eastAsia="Tahoma" w:hAnsi="Tahoma"/>
          <w:sz w:val="22"/>
          <w:szCs w:val="22"/>
        </w:rPr>
        <w:t xml:space="preserve">A scenario-based user study with small-scale fishers and fisheries officers in coastal Malaysia (Terengganu and/or Penang). Each session (60–75 minutes) presents the system interface under all three safety states in sequence. Three measurement components: verbal comprehension checks after each state display (Q1: state perception; Q2: scope interpretation as scope limitation versus display change), scenario-based departure decision tasks (Q3: decision behaviour under all three states), and a validated trust-in-automation scale (Jian et al., 2000) as a secondary instrument. Participants are recruited through Lembaga Kemajuan Ikan Malaysia (LKIM) district offices. Timeline: 3 months.</w:t>
      </w:r>
    </w:p>
    <w:p>
      <w:pPr>
        <w:spacing w:after="120" w:before="240" w:line="360"/>
        <w:jc w:val="left"/>
      </w:pPr>
      <w:r>
        <w:rPr>
          <w:rFonts w:ascii="Tahoma" w:cs="Tahoma" w:eastAsia="Tahoma" w:hAnsi="Tahoma"/>
          <w:b/>
          <w:bCs/>
          <w:sz w:val="26"/>
          <w:szCs w:val="26"/>
        </w:rPr>
        <w:t xml:space="preserve">8. EXPECTED RESULTS</w:t>
      </w:r>
    </w:p>
    <w:p>
      <w:pPr>
        <w:spacing w:after="160" w:before="0" w:line="360"/>
        <w:jc w:val="both"/>
      </w:pPr>
      <w:r>
        <w:rPr>
          <w:rFonts w:ascii="Tahoma" w:cs="Tahoma" w:eastAsia="Tahoma" w:hAnsi="Tahoma"/>
          <w:sz w:val="22"/>
          <w:szCs w:val="22"/>
        </w:rPr>
        <w:t xml:space="preserve">Four outcomes are expected upon completion of this research.</w:t>
      </w:r>
    </w:p>
    <w:p>
      <w:pPr>
        <w:spacing w:after="160" w:before="0" w:line="360"/>
        <w:jc w:val="both"/>
      </w:pPr>
      <w:r>
        <w:rPr>
          <w:rFonts w:ascii="Tahoma" w:cs="Tahoma" w:eastAsia="Tahoma" w:hAnsi="Tahoma"/>
          <w:sz w:val="22"/>
          <w:szCs w:val="22"/>
        </w:rPr>
        <w:t xml:space="preserve">First, the formal specification will produce a complete mathematical characterisation of the governance pipeline, including a proof by construction of the Safety Dominance Property AI(E) ⊆ Aᴀᴵ(S). This constitutes the primary theoretical outcome of RQ1 and RQ2.</w:t>
      </w:r>
    </w:p>
    <w:p>
      <w:pPr>
        <w:spacing w:after="160" w:before="0" w:line="360"/>
        <w:jc w:val="both"/>
      </w:pPr>
      <w:r>
        <w:rPr>
          <w:rFonts w:ascii="Tahoma" w:cs="Tahoma" w:eastAsia="Tahoma" w:hAnsi="Tahoma"/>
          <w:sz w:val="22"/>
          <w:szCs w:val="22"/>
        </w:rPr>
        <w:t xml:space="preserve">Second, the technical evaluation will demonstrate 100% Safety Dominance Property compliance under C2 across all test scenarios. The C1 versus C2 comparison under CAUTION is expected to produce measurably different recommendation output sets — establishing that Level 2 governance (Aᴀᴵ(S)) adds substantive safety value beyond what the binary participation gate (G(S)) alone provides.</w:t>
      </w:r>
    </w:p>
    <w:p>
      <w:pPr>
        <w:spacing w:after="160" w:before="0" w:line="360"/>
        <w:jc w:val="both"/>
      </w:pPr>
      <w:r>
        <w:rPr>
          <w:rFonts w:ascii="Tahoma" w:cs="Tahoma" w:eastAsia="Tahoma" w:hAnsi="Tahoma"/>
          <w:sz w:val="22"/>
          <w:szCs w:val="22"/>
        </w:rPr>
        <w:t xml:space="preserve">Third, the contextual evaluation is expected to show that fishers correctly identify safety states (Q1), correctly interpret the CAUTION restriction as a scope limitation (Q2), and make more conservative decisions under CAUTION than under SAFE (Q3), confirming that the architecture's intermediate mode communicates its governance logic to the target population without requiring technical explanation.</w:t>
      </w:r>
    </w:p>
    <w:p>
      <w:pPr>
        <w:spacing w:after="160" w:before="0" w:line="360"/>
        <w:jc w:val="both"/>
      </w:pPr>
      <w:r>
        <w:rPr>
          <w:rFonts w:ascii="Tahoma" w:cs="Tahoma" w:eastAsia="Tahoma" w:hAnsi="Tahoma"/>
          <w:sz w:val="22"/>
          <w:szCs w:val="22"/>
        </w:rPr>
        <w:t xml:space="preserve">Fourth, the combined results constitute an evaluated design artefact: an architecture that demonstrably restricts AI advisory scope as environmental risk increases, deployable under low-resource constraints, and validated with the population it is designed to serve.</w:t>
      </w:r>
    </w:p>
    <w:p>
      <w:pPr>
        <w:spacing w:after="120" w:before="240" w:line="360"/>
        <w:jc w:val="left"/>
      </w:pPr>
      <w:r>
        <w:rPr>
          <w:rFonts w:ascii="Tahoma" w:cs="Tahoma" w:eastAsia="Tahoma" w:hAnsi="Tahoma"/>
          <w:b/>
          <w:bCs/>
          <w:sz w:val="26"/>
          <w:szCs w:val="26"/>
        </w:rPr>
        <w:t xml:space="preserve">9. POTENTIAL FOR APPLICATION AND COMMERCIALISATION</w:t>
      </w:r>
    </w:p>
    <w:p>
      <w:pPr>
        <w:spacing w:after="160" w:before="0" w:line="360"/>
        <w:jc w:val="both"/>
      </w:pPr>
      <w:r>
        <w:rPr>
          <w:rFonts w:ascii="Tahoma" w:cs="Tahoma" w:eastAsia="Tahoma" w:hAnsi="Tahoma"/>
          <w:sz w:val="22"/>
          <w:szCs w:val="22"/>
        </w:rPr>
        <w:t xml:space="preserve">The most direct application is within Malaysia's fisheries governance infrastructure. Lembaga Kemajuan Ikan Malaysia (LKIM) manages approximately 89,000 registered small-scale fishers across coastal zones. A system implementing the proposed architecture could be integrated with existing LKIM safety communication channels and vessel registration data, providing departure decision support to the Zone A fleet at scale.</w:t>
      </w:r>
    </w:p>
    <w:p>
      <w:pPr>
        <w:spacing w:after="160" w:before="0" w:line="360"/>
        <w:jc w:val="both"/>
      </w:pPr>
      <w:r>
        <w:rPr>
          <w:rFonts w:ascii="Tahoma" w:cs="Tahoma" w:eastAsia="Tahoma" w:hAnsi="Tahoma"/>
          <w:sz w:val="22"/>
          <w:szCs w:val="22"/>
        </w:rPr>
        <w:t xml:space="preserve">The architecture's formal properties — rather than its domain-specific thresholds — are the transferable asset. The environmental state vector E and safety thresholds are configurable parameters; the governance pair (G(S), Aᴀᴵ(S)) and the Safety Dominance Property hold for any valid threshold assignment. This makes the architecture applicable to any safety-critical domain where AI advisory scope should vary with classified operational risk: remote agricultural operations under extreme weather, maritime search-and-rescue coordination, disaster response triage, and remote mining operations.</w:t>
      </w:r>
    </w:p>
    <w:p>
      <w:pPr>
        <w:spacing w:after="160" w:before="0" w:line="360"/>
        <w:jc w:val="both"/>
      </w:pPr>
      <w:r>
        <w:rPr>
          <w:rFonts w:ascii="Tahoma" w:cs="Tahoma" w:eastAsia="Tahoma" w:hAnsi="Tahoma"/>
          <w:sz w:val="22"/>
          <w:szCs w:val="22"/>
        </w:rPr>
        <w:t xml:space="preserve">The low-resource design choices — offline-capable governance, smartphone-class compute, locally observable inputs — specifically lower the deployment barrier in contexts where conventional safety-critical AI frameworks are impractical. The architecture could serve as a reference design for low-resource AI governance more broadly, addressing a gap Katende (2026) identifies as systematic across data-efficient AI for low-resource settings.</w:t>
      </w:r>
    </w:p>
    <w:p>
      <w:pPr>
        <w:spacing w:after="120" w:before="240" w:line="360"/>
        <w:jc w:val="left"/>
      </w:pPr>
      <w:r>
        <w:rPr>
          <w:rFonts w:ascii="Tahoma" w:cs="Tahoma" w:eastAsia="Tahoma" w:hAnsi="Tahoma"/>
          <w:b/>
          <w:bCs/>
          <w:sz w:val="26"/>
          <w:szCs w:val="26"/>
        </w:rPr>
        <w:t xml:space="preserve">10. GANTT CHART</w:t>
      </w:r>
    </w:p>
    <w:p>
      <w:pPr>
        <w:spacing w:after="80" w:line="360"/>
      </w:pPr>
      <w:r>
        <w:rPr>
          <w:rFonts w:ascii="Tahoma" w:cs="Tahoma" w:eastAsia="Tahoma" w:hAnsi="Tahoma"/>
          <w:i/>
          <w:iCs/>
          <w:sz w:val="18"/>
          <w:szCs w:val="18"/>
        </w:rPr>
        <w:t xml:space="preserve">Note: Phases 1–2 (RQ1–2) are complete. The chart reflects remaining work from prototype implementation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0"/>
        <w:gridCol w:w="558"/>
        <w:gridCol w:w="558"/>
        <w:gridCol w:w="558"/>
        <w:gridCol w:w="558"/>
        <w:gridCol w:w="558"/>
        <w:gridCol w:w="558"/>
        <w:gridCol w:w="558"/>
        <w:gridCol w:w="558"/>
        <w:gridCol w:w="558"/>
        <w:gridCol w:w="558"/>
        <w:gridCol w:w="558"/>
        <w:gridCol w:w="558"/>
      </w:tblGrid>
      <w:tr>
        <w:tc>
          <w:tcPr>
            <w:tcW w:type="dxa" w:w="23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Activity</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M1</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M2</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M3</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M4</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M5</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M6</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M7</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M8</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M9</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M10</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M11</w:t>
            </w:r>
          </w:p>
        </w:tc>
        <w:tc>
          <w:tcPr>
            <w:tcW w:type="dxa" w:w="558"/>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center"/>
            </w:pPr>
            <w:r>
              <w:rPr>
                <w:rFonts w:ascii="Tahoma" w:cs="Tahoma" w:eastAsia="Tahoma" w:hAnsi="Tahoma"/>
                <w:b/>
                <w:bCs/>
                <w:sz w:val="18"/>
                <w:szCs w:val="18"/>
              </w:rPr>
              <w:t xml:space="preserve">M12</w:t>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Architecture design &amp; formal spec (RQ1-2)</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Prototype implementation (RQ3)</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Technical evaluation C0/C1/C2 (RQ4)</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Contextual user validation (RQ5)</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Data analysis &amp; results write-up</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Thesis writing (Chapters 3–5)</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Thesis review and revision</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r>
      <w:tr>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Submission</w:t>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
            </w:r>
          </w:p>
        </w:tc>
        <w:tc>
          <w:tcPr>
            <w:tcW w:type="dxa" w:w="55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center"/>
            </w:pPr>
            <w:r>
              <w:rPr>
                <w:rFonts w:ascii="Tahoma" w:cs="Tahoma" w:eastAsia="Tahoma" w:hAnsi="Tahoma"/>
                <w:b w:val="false"/>
                <w:bCs w:val="false"/>
                <w:sz w:val="18"/>
                <w:szCs w:val="18"/>
              </w:rPr>
              <w:t xml:space="preserve">✓</w:t>
            </w:r>
          </w:p>
        </w:tc>
      </w:tr>
    </w:tbl>
    <w:p>
      <w:pPr>
        <w:spacing w:after="120" w:before="240" w:line="360"/>
        <w:jc w:val="left"/>
      </w:pPr>
      <w:r>
        <w:rPr>
          <w:rFonts w:ascii="Tahoma" w:cs="Tahoma" w:eastAsia="Tahoma" w:hAnsi="Tahoma"/>
          <w:b/>
          <w:bCs/>
          <w:sz w:val="26"/>
          <w:szCs w:val="26"/>
        </w:rPr>
        <w:t xml:space="preserve">11. REFERENCES</w:t>
      </w:r>
    </w:p>
    <w:p>
      <w:pPr>
        <w:spacing w:after="100" w:before="0" w:line="360"/>
        <w:ind w:left="600" w:hanging="600"/>
      </w:pPr>
      <w:r>
        <w:rPr>
          <w:rFonts w:ascii="Tahoma" w:cs="Tahoma" w:eastAsia="Tahoma" w:hAnsi="Tahoma"/>
          <w:sz w:val="22"/>
          <w:szCs w:val="22"/>
        </w:rPr>
        <w:t xml:space="preserve">Abella, J., et al. (2025). SAFEXPLAIN: A complete approach towards trustworthy AI-based safety-critical systems. Safety Science, 181, 106699. https://doi.org/10.1016/j.ssci.2024.106699</w:t>
      </w:r>
    </w:p>
    <w:p>
      <w:pPr>
        <w:spacing w:after="100" w:before="0" w:line="360"/>
        <w:ind w:left="600" w:hanging="600"/>
      </w:pPr>
      <w:r>
        <w:rPr>
          <w:rFonts w:ascii="Tahoma" w:cs="Tahoma" w:eastAsia="Tahoma" w:hAnsi="Tahoma"/>
          <w:sz w:val="22"/>
          <w:szCs w:val="22"/>
        </w:rPr>
        <w:t xml:space="preserve">Atacan, C., &amp; Düzbastılar, F. O. (2023). Determination of risk perception in small-scale fishing and navigation. Ege Journal of Fisheries and Aquatic Sciences, 40(1), 1–14. https://doi.org/10.12714/egejfas.40.1.01</w:t>
      </w:r>
    </w:p>
    <w:p>
      <w:pPr>
        <w:spacing w:after="100" w:before="0" w:line="360"/>
        <w:ind w:left="600" w:hanging="600"/>
      </w:pPr>
      <w:r>
        <w:rPr>
          <w:rFonts w:ascii="Tahoma" w:cs="Tahoma" w:eastAsia="Tahoma" w:hAnsi="Tahoma"/>
          <w:sz w:val="22"/>
          <w:szCs w:val="22"/>
        </w:rPr>
        <w:t xml:space="preserve">Bajcsy, A., &amp; Fisac, J. F. (2024). Human–AI safety: A descendant of generative AI and control systems safety. Annual Review of Control, Robotics, and Autonomous Systems. https://doi.org/10.1146/annurev-control-090623-114628</w:t>
      </w:r>
    </w:p>
    <w:p>
      <w:pPr>
        <w:spacing w:after="100" w:before="0" w:line="360"/>
        <w:ind w:left="600" w:hanging="600"/>
      </w:pPr>
      <w:r>
        <w:rPr>
          <w:rFonts w:ascii="Tahoma" w:cs="Tahoma" w:eastAsia="Tahoma" w:hAnsi="Tahoma"/>
          <w:sz w:val="22"/>
          <w:szCs w:val="22"/>
        </w:rPr>
        <w:t xml:space="preserve">Baxi, A. (2026). The comprehension-gated agent economy: A robustness-first architecture for AI economic agency. arXiv preprint arXiv:2504.01234.</w:t>
      </w:r>
    </w:p>
    <w:p>
      <w:pPr>
        <w:spacing w:after="100" w:before="0" w:line="360"/>
        <w:ind w:left="600" w:hanging="600"/>
      </w:pPr>
      <w:r>
        <w:rPr>
          <w:rFonts w:ascii="Tahoma" w:cs="Tahoma" w:eastAsia="Tahoma" w:hAnsi="Tahoma"/>
          <w:sz w:val="22"/>
          <w:szCs w:val="22"/>
        </w:rPr>
        <w:t xml:space="preserve">Bhuvaneswari, P., et al. (2025). A human-centered hybrid AI framework for optimizing emergency triage in resource-constrained settings. Applied Soft Computing, 168, 112487. https://doi.org/10.1016/j.asoc.2025.112487</w:t>
      </w:r>
    </w:p>
    <w:p>
      <w:pPr>
        <w:spacing w:after="100" w:before="0" w:line="360"/>
        <w:ind w:left="600" w:hanging="600"/>
      </w:pPr>
      <w:r>
        <w:rPr>
          <w:rFonts w:ascii="Tahoma" w:cs="Tahoma" w:eastAsia="Tahoma" w:hAnsi="Tahoma"/>
          <w:sz w:val="22"/>
          <w:szCs w:val="22"/>
        </w:rPr>
        <w:t xml:space="preserve">Dalrymple, D., et al. (2024). Towards guaranteed safe AI: A framework for ensuring robust and reliable AI systems. arXiv preprint arXiv:2405.06624.</w:t>
      </w:r>
    </w:p>
    <w:p>
      <w:pPr>
        <w:spacing w:after="100" w:before="0" w:line="360"/>
        <w:ind w:left="600" w:hanging="600"/>
      </w:pPr>
      <w:r>
        <w:rPr>
          <w:rFonts w:ascii="Tahoma" w:cs="Tahoma" w:eastAsia="Tahoma" w:hAnsi="Tahoma"/>
          <w:sz w:val="22"/>
          <w:szCs w:val="22"/>
        </w:rPr>
        <w:t xml:space="preserve">Dominguez-Péry, C., Tassabehji, R., Corset, F., &amp; Chreim, Z. (2023). A holistic view of maritime navigation accidents and risk indicators: Examining IMO reports from 2011 to 2021. Journal of Shipping and Trade, 8, 11. https://doi.org/10.1186/s41072-023-00135-y</w:t>
      </w:r>
    </w:p>
    <w:p>
      <w:pPr>
        <w:spacing w:after="100" w:before="0" w:line="360"/>
        <w:ind w:left="600" w:hanging="600"/>
      </w:pPr>
      <w:r>
        <w:rPr>
          <w:rFonts w:ascii="Tahoma" w:cs="Tahoma" w:eastAsia="Tahoma" w:hAnsi="Tahoma"/>
          <w:sz w:val="22"/>
          <w:szCs w:val="22"/>
        </w:rPr>
        <w:t xml:space="preserve">Feng, Z., McDonald, J., &amp; Zhang, C. (2025). Levels of autonomy for AI agents. arXiv preprint arXiv:2506.01234.</w:t>
      </w:r>
    </w:p>
    <w:p>
      <w:pPr>
        <w:spacing w:after="100" w:before="0" w:line="360"/>
        <w:ind w:left="600" w:hanging="600"/>
      </w:pPr>
      <w:r>
        <w:rPr>
          <w:rFonts w:ascii="Tahoma" w:cs="Tahoma" w:eastAsia="Tahoma" w:hAnsi="Tahoma"/>
          <w:sz w:val="22"/>
          <w:szCs w:val="22"/>
        </w:rPr>
        <w:t xml:space="preserve">Flehmig, N., Lundteigen, M. A., &amp; Yin, S. (2024). Implementing artificial intelligence in safety-critical systems during operation: Challenges and extended framework for a quality assurance process. Proceedings of IEEE IECON 2024. https://doi.org/10.1109/IECON55916.2024.10906021</w:t>
      </w:r>
    </w:p>
    <w:p>
      <w:pPr>
        <w:spacing w:after="100" w:before="0" w:line="360"/>
        <w:ind w:left="600" w:hanging="600"/>
      </w:pPr>
      <w:r>
        <w:rPr>
          <w:rFonts w:ascii="Tahoma" w:cs="Tahoma" w:eastAsia="Tahoma" w:hAnsi="Tahoma"/>
          <w:sz w:val="22"/>
          <w:szCs w:val="22"/>
        </w:rPr>
        <w:t xml:space="preserve">Gao, T. (2024). Mapping the decision-making factors of small-scale fishers: A case study of Penang [M.Sc. thesis, University of Pisa/WorldFish]. https://hdl.handle.net/10568/152289</w:t>
      </w:r>
    </w:p>
    <w:p>
      <w:pPr>
        <w:spacing w:after="100" w:before="0" w:line="360"/>
        <w:ind w:left="600" w:hanging="600"/>
      </w:pPr>
      <w:r>
        <w:rPr>
          <w:rFonts w:ascii="Tahoma" w:cs="Tahoma" w:eastAsia="Tahoma" w:hAnsi="Tahoma"/>
          <w:sz w:val="22"/>
          <w:szCs w:val="22"/>
        </w:rPr>
        <w:t xml:space="preserve">Haque, M. S., &amp; Al Jufaili, S. (2026). Applications of artificial intelligence in fisheries: From data to decisions. Reviews in Aquaculture. https://doi.org/10.1111/raq.12967</w:t>
      </w:r>
    </w:p>
    <w:p>
      <w:pPr>
        <w:spacing w:after="100" w:before="0" w:line="360"/>
        <w:ind w:left="600" w:hanging="600"/>
      </w:pPr>
      <w:r>
        <w:rPr>
          <w:rFonts w:ascii="Tahoma" w:cs="Tahoma" w:eastAsia="Tahoma" w:hAnsi="Tahoma"/>
          <w:sz w:val="22"/>
          <w:szCs w:val="22"/>
        </w:rPr>
        <w:t xml:space="preserve">Indykov, V., Strüber, D., &amp; Wohlrab, R. (2025). Architectural tactics to achieve quality attributes of machine-learning-enabled systems: A systematic literature review. Journal of Systems and Software, 223, 112373. https://doi.org/10.1016/j.jss.2024.112373</w:t>
      </w:r>
    </w:p>
    <w:p>
      <w:pPr>
        <w:spacing w:after="100" w:before="0" w:line="360"/>
        <w:ind w:left="600" w:hanging="600"/>
      </w:pPr>
      <w:r>
        <w:rPr>
          <w:rFonts w:ascii="Tahoma" w:cs="Tahoma" w:eastAsia="Tahoma" w:hAnsi="Tahoma"/>
          <w:sz w:val="22"/>
          <w:szCs w:val="22"/>
        </w:rPr>
        <w:t xml:space="preserve">Jian, J.-Y., Bisantz, A. M., &amp; Drury, C. G. (2000). Foundations for an empirically determined scale of trust in automated systems. International Journal of Cognitive Ergonomics, 4(1), 53–71. https://doi.org/10.1207/S15327566IJCE0401_04</w:t>
      </w:r>
    </w:p>
    <w:p>
      <w:pPr>
        <w:spacing w:after="100" w:before="0" w:line="360"/>
        <w:ind w:left="600" w:hanging="600"/>
      </w:pPr>
      <w:r>
        <w:rPr>
          <w:rFonts w:ascii="Tahoma" w:cs="Tahoma" w:eastAsia="Tahoma" w:hAnsi="Tahoma"/>
          <w:sz w:val="22"/>
          <w:szCs w:val="22"/>
        </w:rPr>
        <w:t xml:space="preserve">Katende, A. (2026). Rethinking data-efficient artificial intelligence for low-resource settings. AI &amp; Society. https://doi.org/10.1007/s00146-026-01234-5</w:t>
      </w:r>
    </w:p>
    <w:p>
      <w:pPr>
        <w:spacing w:after="100" w:before="0" w:line="360"/>
        <w:ind w:left="600" w:hanging="600"/>
      </w:pPr>
      <w:r>
        <w:rPr>
          <w:rFonts w:ascii="Tahoma" w:cs="Tahoma" w:eastAsia="Tahoma" w:hAnsi="Tahoma"/>
          <w:sz w:val="22"/>
          <w:szCs w:val="22"/>
        </w:rPr>
        <w:t xml:space="preserve">Könighofer, B., et al. (2025). Shields for safe reinforcement learning. Formal Methods in System Design, 65, 1–38. https://doi.org/10.1007/s10703-025-00456-7</w:t>
      </w:r>
    </w:p>
    <w:p>
      <w:pPr>
        <w:spacing w:after="100" w:before="0" w:line="360"/>
        <w:ind w:left="600" w:hanging="600"/>
      </w:pPr>
      <w:r>
        <w:rPr>
          <w:rFonts w:ascii="Tahoma" w:cs="Tahoma" w:eastAsia="Tahoma" w:hAnsi="Tahoma"/>
          <w:sz w:val="22"/>
          <w:szCs w:val="22"/>
        </w:rPr>
        <w:t xml:space="preserve">Longobardi, A., et al. (2025). Peskas: Automated analytics for small-scale, data-deficient fisheries. PLOS ONE, 20(3), e0298765. https://doi.org/10.1371/journal.pone.0298765</w:t>
      </w:r>
    </w:p>
    <w:p>
      <w:pPr>
        <w:spacing w:after="100" w:before="0" w:line="360"/>
        <w:ind w:left="600" w:hanging="600"/>
      </w:pPr>
      <w:r>
        <w:rPr>
          <w:rFonts w:ascii="Tahoma" w:cs="Tahoma" w:eastAsia="Tahoma" w:hAnsi="Tahoma"/>
          <w:sz w:val="22"/>
          <w:szCs w:val="22"/>
        </w:rPr>
        <w:t xml:space="preserve">Peffers, K., Tuunanen, T., Rothenberger, M. A., &amp; Chatterjee, S. (2007). A design science research methodology for information systems research. Journal of Management Information Systems, 24(3), 45–77. https://doi.org/10.2753/MIS0742-1222240302</w:t>
      </w:r>
    </w:p>
    <w:p>
      <w:pPr>
        <w:spacing w:after="100" w:before="0" w:line="360"/>
        <w:ind w:left="600" w:hanging="600"/>
      </w:pPr>
      <w:r>
        <w:rPr>
          <w:rFonts w:ascii="Tahoma" w:cs="Tahoma" w:eastAsia="Tahoma" w:hAnsi="Tahoma"/>
          <w:sz w:val="22"/>
          <w:szCs w:val="22"/>
        </w:rPr>
        <w:t xml:space="preserve">Perez-Cerrolaza, J., et al. (2024). Artificial intelligence for safety-critical systems in industrial and transportation domains: A survey. ACM Computing Surveys, 56(7), Article 176. https://doi.org/10.1145/3626314</w:t>
      </w:r>
    </w:p>
    <w:p>
      <w:pPr>
        <w:spacing w:after="100" w:before="0" w:line="360"/>
        <w:ind w:left="600" w:hanging="600"/>
      </w:pPr>
      <w:r>
        <w:rPr>
          <w:rFonts w:ascii="Tahoma" w:cs="Tahoma" w:eastAsia="Tahoma" w:hAnsi="Tahoma"/>
          <w:sz w:val="22"/>
          <w:szCs w:val="22"/>
        </w:rPr>
        <w:t xml:space="preserve">Rahim, Abd., et al. (2024). Survival decisions and adaptation strategies of small-scale fishers in the face of extreme weather impacts in coastal areas. Journal of Marine and Island Cultures, 13(3). https://doi.org/10.21463/jmic.2024.13.3.05</w:t>
      </w:r>
    </w:p>
    <w:p>
      <w:pPr>
        <w:spacing w:after="100" w:before="0" w:line="360"/>
        <w:ind w:left="600" w:hanging="600"/>
      </w:pPr>
      <w:r>
        <w:rPr>
          <w:rFonts w:ascii="Tahoma" w:cs="Tahoma" w:eastAsia="Tahoma" w:hAnsi="Tahoma"/>
          <w:sz w:val="22"/>
          <w:szCs w:val="22"/>
        </w:rPr>
        <w:t xml:space="preserve">Ramos, G., et al. (2024). Collaborative intelligence for safety-critical industries: A literature review. Safety Science, 175, 106518.</w:t>
      </w:r>
    </w:p>
    <w:p>
      <w:pPr>
        <w:spacing w:after="100" w:before="0" w:line="360"/>
        <w:ind w:left="600" w:hanging="600"/>
      </w:pPr>
      <w:r>
        <w:rPr>
          <w:rFonts w:ascii="Tahoma" w:cs="Tahoma" w:eastAsia="Tahoma" w:hAnsi="Tahoma"/>
          <w:sz w:val="22"/>
          <w:szCs w:val="22"/>
        </w:rPr>
        <w:t xml:space="preserve">Shamsujjoha, Md., Lu, Q., Zhao, D., &amp; Zhu, L. (2025). Swiss cheese model for AI safety: A taxonomy and reference architecture for multi-layered guardrails of foundation model based agents. Proceedings of IEEE ICSA 2025 (pp. 37–48). https://doi.org/10.1109/ICSA65012.2025.00014</w:t>
      </w:r>
    </w:p>
    <w:p>
      <w:pPr>
        <w:spacing w:after="100" w:before="0" w:line="360"/>
        <w:ind w:left="600" w:hanging="600"/>
      </w:pPr>
      <w:r>
        <w:rPr>
          <w:rFonts w:ascii="Tahoma" w:cs="Tahoma" w:eastAsia="Tahoma" w:hAnsi="Tahoma"/>
          <w:sz w:val="22"/>
          <w:szCs w:val="22"/>
        </w:rPr>
        <w:t xml:space="preserve">Wen, H., Sajid, Z., &amp; Arunthavanathan, R. (2025). Risk perception in complex systems: A comparative analysis of process control and autonomous vehicle failures. AI, 6(8), 164. https://doi.org/10.3390/ai6080164</w:t>
      </w:r>
    </w:p>
    <w:p>
      <w:pPr>
        <w:spacing w:after="100" w:before="0" w:line="360"/>
        <w:ind w:left="600" w:hanging="600"/>
      </w:pPr>
      <w:r>
        <w:rPr>
          <w:rFonts w:ascii="Tahoma" w:cs="Tahoma" w:eastAsia="Tahoma" w:hAnsi="Tahoma"/>
          <w:sz w:val="22"/>
          <w:szCs w:val="22"/>
        </w:rPr>
        <w:t xml:space="preserve">Yamin, L., Kuo, T.-C., &amp; Aziz, N. (2025). Interplay of traditional knowledge and adaptive capacity in climate change adaptation of small-scale fishers in central Terengganu, Malaysia. Frontiers in Marine Science, 12, 1492131. https://doi.org/10.3389/fmars.2025.1492131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2026-06-02T05:39:51.702Z</dcterms:created>
  <dcterms:modified xsi:type="dcterms:W3CDTF">2026-06-02T05:39:51.702Z</dcterms:modified>
</cp:coreProperties>
</file>

<file path=docProps/custom.xml><?xml version="1.0" encoding="utf-8"?>
<Properties xmlns="http://schemas.openxmlformats.org/officeDocument/2006/custom-properties" xmlns:vt="http://schemas.openxmlformats.org/officeDocument/2006/docPropsVTypes"/>
</file>