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br/>
        <w:br/>
        <w:t>LUMINA FPM</w:t>
        <w:br/>
      </w:r>
      <w:r>
        <w:rPr>
          <w:b/>
          <w:color w:val="2F75B5"/>
          <w:sz w:val="36"/>
        </w:rPr>
        <w:t>Master Specification Package</w:t>
        <w:br/>
      </w:r>
      <w:r>
        <w:rPr>
          <w:b/>
          <w:color w:val="404040"/>
          <w:sz w:val="32"/>
        </w:rPr>
        <w:br/>
        <w:t>Volume 2 — Complete System Architecture Specification</w:t>
        <w:br/>
      </w:r>
      <w:r>
        <w:rPr>
          <w:color w:val="404040"/>
          <w:sz w:val="24"/>
        </w:rPr>
        <w:br/>
        <w:t>Authoritative Engineering Blueprint for LuminaFPM</w:t>
        <w:br/>
      </w:r>
      <w:r>
        <w:rPr>
          <w:sz w:val="22"/>
        </w:rPr>
        <w:br/>
        <w:t>Version: Draft 1.0</w:t>
        <w:br/>
        <w:t>Prepared For: Cybersecurity Development / Implementation Company</w:t>
        <w:br/>
      </w:r>
    </w:p>
    <w:p>
      <w:r>
        <w:br/>
        <w:br/>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r>
              <w:rPr>
                <w:sz w:val="18"/>
              </w:rPr>
            </w:r>
            <w:r>
              <w:rPr>
                <w:b/>
                <w:color w:val="FFFFFF"/>
                <w:sz w:val="18"/>
              </w:rPr>
              <w:t>Item</w:t>
            </w:r>
          </w:p>
        </w:tc>
        <w:tc>
          <w:tcPr>
            <w:tcW w:type="dxa" w:w="6480"/>
            <w:shd w:fill="1F4E79"/>
            <w:vAlign w:val="center"/>
          </w:tcPr>
          <w:p>
            <w:r>
              <w:rPr>
                <w:sz w:val="18"/>
              </w:rPr>
            </w:r>
            <w:r>
              <w:rPr>
                <w:b/>
                <w:color w:val="FFFFFF"/>
                <w:sz w:val="18"/>
              </w:rPr>
              <w:t>Value</w:t>
            </w:r>
          </w:p>
        </w:tc>
      </w:tr>
      <w:tr>
        <w:tc>
          <w:tcPr>
            <w:tcW w:type="dxa" w:w="3168"/>
            <w:vAlign w:val="center"/>
          </w:tcPr>
          <w:p>
            <w:r>
              <w:rPr>
                <w:sz w:val="18"/>
              </w:rPr>
            </w:r>
            <w:r>
              <w:rPr>
                <w:b w:val="0"/>
                <w:sz w:val="18"/>
              </w:rPr>
              <w:t>Document Type</w:t>
            </w:r>
          </w:p>
        </w:tc>
        <w:tc>
          <w:tcPr>
            <w:tcW w:type="dxa" w:w="6480"/>
            <w:vAlign w:val="center"/>
          </w:tcPr>
          <w:p>
            <w:r>
              <w:rPr>
                <w:sz w:val="18"/>
              </w:rPr>
            </w:r>
            <w:r>
              <w:rPr>
                <w:b w:val="0"/>
                <w:sz w:val="18"/>
              </w:rPr>
              <w:t>System Architecture Specification</w:t>
            </w:r>
          </w:p>
        </w:tc>
      </w:tr>
      <w:tr>
        <w:tc>
          <w:tcPr>
            <w:tcW w:type="dxa" w:w="3168"/>
            <w:vAlign w:val="center"/>
          </w:tcPr>
          <w:p>
            <w:r>
              <w:rPr>
                <w:sz w:val="18"/>
              </w:rPr>
            </w:r>
            <w:r>
              <w:rPr>
                <w:b w:val="0"/>
                <w:sz w:val="18"/>
              </w:rPr>
              <w:t>Primary Audience</w:t>
            </w:r>
          </w:p>
        </w:tc>
        <w:tc>
          <w:tcPr>
            <w:tcW w:type="dxa" w:w="6480"/>
            <w:vAlign w:val="center"/>
          </w:tcPr>
          <w:p>
            <w:r>
              <w:rPr>
                <w:sz w:val="18"/>
              </w:rPr>
            </w:r>
            <w:r>
              <w:rPr>
                <w:b w:val="0"/>
                <w:sz w:val="18"/>
              </w:rPr>
              <w:t>Cybersecurity development company, security architects, backend/frontend engineers</w:t>
            </w:r>
          </w:p>
        </w:tc>
      </w:tr>
      <w:tr>
        <w:tc>
          <w:tcPr>
            <w:tcW w:type="dxa" w:w="3168"/>
            <w:vAlign w:val="center"/>
          </w:tcPr>
          <w:p>
            <w:r>
              <w:rPr>
                <w:sz w:val="18"/>
              </w:rPr>
            </w:r>
            <w:r>
              <w:rPr>
                <w:b w:val="0"/>
                <w:sz w:val="18"/>
              </w:rPr>
              <w:t>Project Mode</w:t>
            </w:r>
          </w:p>
        </w:tc>
        <w:tc>
          <w:tcPr>
            <w:tcW w:type="dxa" w:w="6480"/>
            <w:vAlign w:val="center"/>
          </w:tcPr>
          <w:p>
            <w:r>
              <w:rPr>
                <w:sz w:val="18"/>
              </w:rPr>
            </w:r>
            <w:r>
              <w:rPr>
                <w:b w:val="0"/>
                <w:sz w:val="18"/>
              </w:rPr>
              <w:t>Read-only firewall policy intelligence platform</w:t>
            </w:r>
          </w:p>
        </w:tc>
      </w:tr>
      <w:tr>
        <w:tc>
          <w:tcPr>
            <w:tcW w:type="dxa" w:w="3168"/>
            <w:vAlign w:val="center"/>
          </w:tcPr>
          <w:p>
            <w:r>
              <w:rPr>
                <w:sz w:val="18"/>
              </w:rPr>
            </w:r>
            <w:r>
              <w:rPr>
                <w:b w:val="0"/>
                <w:sz w:val="18"/>
              </w:rPr>
              <w:t>Approved Stack</w:t>
            </w:r>
          </w:p>
        </w:tc>
        <w:tc>
          <w:tcPr>
            <w:tcW w:type="dxa" w:w="6480"/>
            <w:vAlign w:val="center"/>
          </w:tcPr>
          <w:p>
            <w:r>
              <w:rPr>
                <w:sz w:val="18"/>
              </w:rPr>
            </w:r>
            <w:r>
              <w:rPr>
                <w:b w:val="0"/>
                <w:sz w:val="18"/>
              </w:rPr>
              <w:t>FastAPI, React + TypeScript, PostgreSQL, Celery, Redis, Cytoscape.js, Docker Compose</w:t>
            </w:r>
          </w:p>
        </w:tc>
      </w:tr>
      <w:tr>
        <w:tc>
          <w:tcPr>
            <w:tcW w:type="dxa" w:w="3168"/>
            <w:vAlign w:val="center"/>
          </w:tcPr>
          <w:p>
            <w:r>
              <w:rPr>
                <w:sz w:val="18"/>
              </w:rPr>
            </w:r>
            <w:r>
              <w:rPr>
                <w:b w:val="0"/>
                <w:sz w:val="18"/>
              </w:rPr>
              <w:t>Core Purpose</w:t>
            </w:r>
          </w:p>
        </w:tc>
        <w:tc>
          <w:tcPr>
            <w:tcW w:type="dxa" w:w="6480"/>
            <w:vAlign w:val="center"/>
          </w:tcPr>
          <w:p>
            <w:r>
              <w:rPr>
                <w:sz w:val="18"/>
              </w:rPr>
            </w:r>
            <w:r>
              <w:rPr>
                <w:b w:val="0"/>
                <w:sz w:val="18"/>
              </w:rPr>
              <w:t>Define how LuminaFPM components, layers, data flows, and deployment architecture must be implemented</w:t>
            </w:r>
          </w:p>
        </w:tc>
      </w:tr>
    </w:tbl>
    <w:p/>
    <w:p>
      <w:r>
        <w:br w:type="page"/>
      </w:r>
    </w:p>
    <w:p>
      <w:pPr>
        <w:pStyle w:val="Heading1"/>
      </w:pPr>
      <w:r>
        <w:t>1. Purpose of This Volume</w:t>
      </w:r>
    </w:p>
    <w:p>
      <w:r>
        <w:t>This volume defines the complete system architecture of LuminaFPM. It explains how the platform is structured, how its components communicate, how firewall data moves through the system, how the laboratory architecture supports benchmarking, and how the selected technology stack must be implemented.</w:t>
      </w:r>
    </w:p>
    <w:p>
      <w:r>
        <w:t>This volume is binding for the cybersecurity development company. Any implementation must follow this architecture unless a formal design change is approved by the Lumina project team.</w:t>
      </w:r>
    </w:p>
    <w:p>
      <w:pPr>
        <w:pStyle w:val="Heading1"/>
      </w:pPr>
      <w:r>
        <w:t>2. Final Approved Technology Stack</w:t>
      </w:r>
    </w:p>
    <w:p>
      <w:r>
        <w:t>The following technology stack is approved for LuminaFPM v1.</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sz w:val="18"/>
              </w:rPr>
            </w:r>
            <w:r>
              <w:rPr>
                <w:b/>
                <w:color w:val="FFFFFF"/>
                <w:sz w:val="18"/>
              </w:rPr>
              <w:t>Layer</w:t>
            </w:r>
          </w:p>
        </w:tc>
        <w:tc>
          <w:tcPr>
            <w:tcW w:type="dxa" w:w="5112"/>
            <w:shd w:fill="1F4E79"/>
            <w:vAlign w:val="center"/>
          </w:tcPr>
          <w:p>
            <w:r>
              <w:rPr>
                <w:sz w:val="18"/>
              </w:rPr>
            </w:r>
            <w:r>
              <w:rPr>
                <w:b/>
                <w:color w:val="FFFFFF"/>
                <w:sz w:val="18"/>
              </w:rPr>
              <w:t>Approved Technology</w:t>
            </w:r>
          </w:p>
        </w:tc>
      </w:tr>
      <w:tr>
        <w:tc>
          <w:tcPr>
            <w:tcW w:type="dxa" w:w="5112"/>
            <w:vAlign w:val="center"/>
          </w:tcPr>
          <w:p>
            <w:r>
              <w:rPr>
                <w:sz w:val="18"/>
              </w:rPr>
            </w:r>
            <w:r>
              <w:rPr>
                <w:b w:val="0"/>
                <w:sz w:val="18"/>
              </w:rPr>
              <w:t>Backend API</w:t>
            </w:r>
          </w:p>
        </w:tc>
        <w:tc>
          <w:tcPr>
            <w:tcW w:type="dxa" w:w="5112"/>
            <w:vAlign w:val="center"/>
          </w:tcPr>
          <w:p>
            <w:r>
              <w:rPr>
                <w:sz w:val="18"/>
              </w:rPr>
            </w:r>
            <w:r>
              <w:rPr>
                <w:b w:val="0"/>
                <w:sz w:val="18"/>
              </w:rPr>
              <w:t>FastAPI</w:t>
            </w:r>
          </w:p>
        </w:tc>
      </w:tr>
      <w:tr>
        <w:tc>
          <w:tcPr>
            <w:tcW w:type="dxa" w:w="5112"/>
            <w:vAlign w:val="center"/>
          </w:tcPr>
          <w:p>
            <w:r>
              <w:rPr>
                <w:sz w:val="18"/>
              </w:rPr>
            </w:r>
            <w:r>
              <w:rPr>
                <w:b w:val="0"/>
                <w:sz w:val="18"/>
              </w:rPr>
              <w:t>Backend Language</w:t>
            </w:r>
          </w:p>
        </w:tc>
        <w:tc>
          <w:tcPr>
            <w:tcW w:type="dxa" w:w="5112"/>
            <w:vAlign w:val="center"/>
          </w:tcPr>
          <w:p>
            <w:r>
              <w:rPr>
                <w:sz w:val="18"/>
              </w:rPr>
            </w:r>
            <w:r>
              <w:rPr>
                <w:b w:val="0"/>
                <w:sz w:val="18"/>
              </w:rPr>
              <w:t>Python</w:t>
            </w:r>
          </w:p>
        </w:tc>
      </w:tr>
      <w:tr>
        <w:tc>
          <w:tcPr>
            <w:tcW w:type="dxa" w:w="5112"/>
            <w:vAlign w:val="center"/>
          </w:tcPr>
          <w:p>
            <w:r>
              <w:rPr>
                <w:sz w:val="18"/>
              </w:rPr>
            </w:r>
            <w:r>
              <w:rPr>
                <w:b w:val="0"/>
                <w:sz w:val="18"/>
              </w:rPr>
              <w:t>Database</w:t>
            </w:r>
          </w:p>
        </w:tc>
        <w:tc>
          <w:tcPr>
            <w:tcW w:type="dxa" w:w="5112"/>
            <w:vAlign w:val="center"/>
          </w:tcPr>
          <w:p>
            <w:r>
              <w:rPr>
                <w:sz w:val="18"/>
              </w:rPr>
            </w:r>
            <w:r>
              <w:rPr>
                <w:b w:val="0"/>
                <w:sz w:val="18"/>
              </w:rPr>
              <w:t>PostgreSQL only</w:t>
            </w:r>
          </w:p>
        </w:tc>
      </w:tr>
      <w:tr>
        <w:tc>
          <w:tcPr>
            <w:tcW w:type="dxa" w:w="5112"/>
            <w:vAlign w:val="center"/>
          </w:tcPr>
          <w:p>
            <w:r>
              <w:rPr>
                <w:sz w:val="18"/>
              </w:rPr>
            </w:r>
            <w:r>
              <w:rPr>
                <w:b w:val="0"/>
                <w:sz w:val="18"/>
              </w:rPr>
              <w:t>ORM</w:t>
            </w:r>
          </w:p>
        </w:tc>
        <w:tc>
          <w:tcPr>
            <w:tcW w:type="dxa" w:w="5112"/>
            <w:vAlign w:val="center"/>
          </w:tcPr>
          <w:p>
            <w:r>
              <w:rPr>
                <w:sz w:val="18"/>
              </w:rPr>
            </w:r>
            <w:r>
              <w:rPr>
                <w:b w:val="0"/>
                <w:sz w:val="18"/>
              </w:rPr>
              <w:t>SQLAlchemy</w:t>
            </w:r>
          </w:p>
        </w:tc>
      </w:tr>
      <w:tr>
        <w:tc>
          <w:tcPr>
            <w:tcW w:type="dxa" w:w="5112"/>
            <w:vAlign w:val="center"/>
          </w:tcPr>
          <w:p>
            <w:r>
              <w:rPr>
                <w:sz w:val="18"/>
              </w:rPr>
            </w:r>
            <w:r>
              <w:rPr>
                <w:b w:val="0"/>
                <w:sz w:val="18"/>
              </w:rPr>
              <w:t>Background Tasks</w:t>
            </w:r>
          </w:p>
        </w:tc>
        <w:tc>
          <w:tcPr>
            <w:tcW w:type="dxa" w:w="5112"/>
            <w:vAlign w:val="center"/>
          </w:tcPr>
          <w:p>
            <w:r>
              <w:rPr>
                <w:sz w:val="18"/>
              </w:rPr>
            </w:r>
            <w:r>
              <w:rPr>
                <w:b w:val="0"/>
                <w:sz w:val="18"/>
              </w:rPr>
              <w:t>Celery</w:t>
            </w:r>
          </w:p>
        </w:tc>
      </w:tr>
      <w:tr>
        <w:tc>
          <w:tcPr>
            <w:tcW w:type="dxa" w:w="5112"/>
            <w:vAlign w:val="center"/>
          </w:tcPr>
          <w:p>
            <w:r>
              <w:rPr>
                <w:sz w:val="18"/>
              </w:rPr>
            </w:r>
            <w:r>
              <w:rPr>
                <w:b w:val="0"/>
                <w:sz w:val="18"/>
              </w:rPr>
              <w:t>Message Broker</w:t>
            </w:r>
          </w:p>
        </w:tc>
        <w:tc>
          <w:tcPr>
            <w:tcW w:type="dxa" w:w="5112"/>
            <w:vAlign w:val="center"/>
          </w:tcPr>
          <w:p>
            <w:r>
              <w:rPr>
                <w:sz w:val="18"/>
              </w:rPr>
            </w:r>
            <w:r>
              <w:rPr>
                <w:b w:val="0"/>
                <w:sz w:val="18"/>
              </w:rPr>
              <w:t>Redis</w:t>
            </w:r>
          </w:p>
        </w:tc>
      </w:tr>
      <w:tr>
        <w:tc>
          <w:tcPr>
            <w:tcW w:type="dxa" w:w="5112"/>
            <w:vAlign w:val="center"/>
          </w:tcPr>
          <w:p>
            <w:r>
              <w:rPr>
                <w:sz w:val="18"/>
              </w:rPr>
            </w:r>
            <w:r>
              <w:rPr>
                <w:b w:val="0"/>
                <w:sz w:val="18"/>
              </w:rPr>
              <w:t>Frontend</w:t>
            </w:r>
          </w:p>
        </w:tc>
        <w:tc>
          <w:tcPr>
            <w:tcW w:type="dxa" w:w="5112"/>
            <w:vAlign w:val="center"/>
          </w:tcPr>
          <w:p>
            <w:r>
              <w:rPr>
                <w:sz w:val="18"/>
              </w:rPr>
            </w:r>
            <w:r>
              <w:rPr>
                <w:b w:val="0"/>
                <w:sz w:val="18"/>
              </w:rPr>
              <w:t>React + TypeScript</w:t>
            </w:r>
          </w:p>
        </w:tc>
      </w:tr>
      <w:tr>
        <w:tc>
          <w:tcPr>
            <w:tcW w:type="dxa" w:w="5112"/>
            <w:vAlign w:val="center"/>
          </w:tcPr>
          <w:p>
            <w:r>
              <w:rPr>
                <w:sz w:val="18"/>
              </w:rPr>
            </w:r>
            <w:r>
              <w:rPr>
                <w:b w:val="0"/>
                <w:sz w:val="18"/>
              </w:rPr>
              <w:t>Graph Visualization</w:t>
            </w:r>
          </w:p>
        </w:tc>
        <w:tc>
          <w:tcPr>
            <w:tcW w:type="dxa" w:w="5112"/>
            <w:vAlign w:val="center"/>
          </w:tcPr>
          <w:p>
            <w:r>
              <w:rPr>
                <w:sz w:val="18"/>
              </w:rPr>
            </w:r>
            <w:r>
              <w:rPr>
                <w:b w:val="0"/>
                <w:sz w:val="18"/>
              </w:rPr>
              <w:t>Cytoscape.js</w:t>
            </w:r>
          </w:p>
        </w:tc>
      </w:tr>
      <w:tr>
        <w:tc>
          <w:tcPr>
            <w:tcW w:type="dxa" w:w="5112"/>
            <w:vAlign w:val="center"/>
          </w:tcPr>
          <w:p>
            <w:r>
              <w:rPr>
                <w:sz w:val="18"/>
              </w:rPr>
            </w:r>
            <w:r>
              <w:rPr>
                <w:b w:val="0"/>
                <w:sz w:val="18"/>
              </w:rPr>
              <w:t>Deployment</w:t>
            </w:r>
          </w:p>
        </w:tc>
        <w:tc>
          <w:tcPr>
            <w:tcW w:type="dxa" w:w="5112"/>
            <w:vAlign w:val="center"/>
          </w:tcPr>
          <w:p>
            <w:r>
              <w:rPr>
                <w:sz w:val="18"/>
              </w:rPr>
            </w:r>
            <w:r>
              <w:rPr>
                <w:b w:val="0"/>
                <w:sz w:val="18"/>
              </w:rPr>
              <w:t>Docker Compose</w:t>
            </w:r>
          </w:p>
        </w:tc>
      </w:tr>
      <w:tr>
        <w:tc>
          <w:tcPr>
            <w:tcW w:type="dxa" w:w="5112"/>
            <w:vAlign w:val="center"/>
          </w:tcPr>
          <w:p>
            <w:r>
              <w:rPr>
                <w:sz w:val="18"/>
              </w:rPr>
            </w:r>
            <w:r>
              <w:rPr>
                <w:b w:val="0"/>
                <w:sz w:val="18"/>
              </w:rPr>
              <w:t>CTI Integration</w:t>
            </w:r>
          </w:p>
        </w:tc>
        <w:tc>
          <w:tcPr>
            <w:tcW w:type="dxa" w:w="5112"/>
            <w:vAlign w:val="center"/>
          </w:tcPr>
          <w:p>
            <w:r>
              <w:rPr>
                <w:sz w:val="18"/>
              </w:rPr>
            </w:r>
            <w:r>
              <w:rPr>
                <w:b w:val="0"/>
                <w:sz w:val="18"/>
              </w:rPr>
              <w:t>API-based CTI providers</w:t>
            </w:r>
          </w:p>
        </w:tc>
      </w:tr>
      <w:tr>
        <w:tc>
          <w:tcPr>
            <w:tcW w:type="dxa" w:w="5112"/>
            <w:vAlign w:val="center"/>
          </w:tcPr>
          <w:p>
            <w:r>
              <w:rPr>
                <w:sz w:val="18"/>
              </w:rPr>
            </w:r>
            <w:r>
              <w:rPr>
                <w:b w:val="0"/>
                <w:sz w:val="18"/>
              </w:rPr>
              <w:t>LLM Integration</w:t>
            </w:r>
          </w:p>
        </w:tc>
        <w:tc>
          <w:tcPr>
            <w:tcW w:type="dxa" w:w="5112"/>
            <w:vAlign w:val="center"/>
          </w:tcPr>
          <w:p>
            <w:r>
              <w:rPr>
                <w:sz w:val="18"/>
              </w:rPr>
            </w:r>
            <w:r>
              <w:rPr>
                <w:b w:val="0"/>
                <w:sz w:val="18"/>
              </w:rPr>
              <w:t>Gemini, OpenAI, Ollama through provider abstraction</w:t>
            </w:r>
          </w:p>
        </w:tc>
      </w:tr>
      <w:tr>
        <w:tc>
          <w:tcPr>
            <w:tcW w:type="dxa" w:w="5112"/>
            <w:vAlign w:val="center"/>
          </w:tcPr>
          <w:p>
            <w:r>
              <w:rPr>
                <w:sz w:val="18"/>
              </w:rPr>
            </w:r>
            <w:r>
              <w:rPr>
                <w:b w:val="0"/>
                <w:sz w:val="18"/>
              </w:rPr>
              <w:t>Firewall APIs</w:t>
            </w:r>
          </w:p>
        </w:tc>
        <w:tc>
          <w:tcPr>
            <w:tcW w:type="dxa" w:w="5112"/>
            <w:vAlign w:val="center"/>
          </w:tcPr>
          <w:p>
            <w:r>
              <w:rPr>
                <w:sz w:val="18"/>
              </w:rPr>
            </w:r>
            <w:r>
              <w:rPr>
                <w:b w:val="0"/>
                <w:sz w:val="18"/>
              </w:rPr>
              <w:t>FortiGate REST API, Palo Alto XML API</w:t>
            </w:r>
          </w:p>
        </w:tc>
      </w:tr>
      <w:tr>
        <w:tc>
          <w:tcPr>
            <w:tcW w:type="dxa" w:w="5112"/>
            <w:vAlign w:val="center"/>
          </w:tcPr>
          <w:p>
            <w:r>
              <w:rPr>
                <w:sz w:val="18"/>
              </w:rPr>
            </w:r>
            <w:r>
              <w:rPr>
                <w:b w:val="0"/>
                <w:sz w:val="18"/>
              </w:rPr>
              <w:t>Anomaly Engine</w:t>
            </w:r>
          </w:p>
        </w:tc>
        <w:tc>
          <w:tcPr>
            <w:tcW w:type="dxa" w:w="5112"/>
            <w:vAlign w:val="center"/>
          </w:tcPr>
          <w:p>
            <w:r>
              <w:rPr>
                <w:sz w:val="18"/>
              </w:rPr>
            </w:r>
            <w:r>
              <w:rPr>
                <w:b w:val="0"/>
                <w:sz w:val="18"/>
              </w:rPr>
              <w:t>Deterministic rule-based engine</w:t>
            </w:r>
          </w:p>
        </w:tc>
      </w:tr>
      <w:tr>
        <w:tc>
          <w:tcPr>
            <w:tcW w:type="dxa" w:w="5112"/>
            <w:vAlign w:val="center"/>
          </w:tcPr>
          <w:p>
            <w:r>
              <w:rPr>
                <w:sz w:val="18"/>
              </w:rPr>
            </w:r>
            <w:r>
              <w:rPr>
                <w:b w:val="0"/>
                <w:sz w:val="18"/>
              </w:rPr>
              <w:t>Risk Engine</w:t>
            </w:r>
          </w:p>
        </w:tc>
        <w:tc>
          <w:tcPr>
            <w:tcW w:type="dxa" w:w="5112"/>
            <w:vAlign w:val="center"/>
          </w:tcPr>
          <w:p>
            <w:r>
              <w:rPr>
                <w:sz w:val="18"/>
              </w:rPr>
            </w:r>
            <w:r>
              <w:rPr>
                <w:b w:val="0"/>
                <w:sz w:val="18"/>
              </w:rPr>
              <w:t>Separate scoring service</w:t>
            </w:r>
          </w:p>
        </w:tc>
      </w:tr>
    </w:tbl>
    <w:p/>
    <w:p>
      <w:r>
        <w:t>Older mentions of MongoDB must be removed from the final implementation path. PostgreSQL is sufficient and preferred because LuminaFPM depends heavily on structured joins between devices, rules, objects, anomalies, threats, benchmark cases, benchmark results, and reports.</w:t>
      </w:r>
    </w:p>
    <w:p>
      <w:pPr>
        <w:pStyle w:val="Heading1"/>
      </w:pPr>
      <w:r>
        <w:t>3. Final Architecture Model</w:t>
      </w:r>
    </w:p>
    <w:p>
      <w:pPr>
        <w:pStyle w:val="Heading2"/>
      </w:pPr>
      <w:r>
        <w:t>3.1 Selected Model</w:t>
      </w:r>
    </w:p>
    <w:p>
      <w:r>
        <w:t>The selected architecture is the Hybrid Parallel Shared-Network Architecture.</w:t>
      </w:r>
    </w:p>
    <w:p>
      <w:r>
        <w:t>In this model, FortiGate and Palo Alto firewalls share the same logical networks but operate independently. They are not connected inline and they do not forward production traffic through each other.</w:t>
      </w:r>
    </w:p>
    <w:p>
      <w:pPr>
        <w:pStyle w:val="ListBullet"/>
      </w:pPr>
      <w:r>
        <w:t>Configuration sources</w:t>
      </w:r>
    </w:p>
    <w:p>
      <w:pPr>
        <w:pStyle w:val="ListBullet"/>
      </w:pPr>
      <w:r>
        <w:t>API data providers</w:t>
      </w:r>
    </w:p>
    <w:p>
      <w:pPr>
        <w:pStyle w:val="ListBullet"/>
      </w:pPr>
      <w:r>
        <w:t>Independent policy engines</w:t>
      </w:r>
    </w:p>
    <w:p>
      <w:pPr>
        <w:pStyle w:val="ListBullet"/>
      </w:pPr>
      <w:r>
        <w:t>Cross-vendor comparison targets</w:t>
      </w:r>
    </w:p>
    <w:p>
      <w:pPr>
        <w:pStyle w:val="ListBullet"/>
      </w:pPr>
      <w:r>
        <w:t>Controlled anomaly-generation devices</w:t>
      </w:r>
    </w:p>
    <w:p>
      <w:pPr>
        <w:pStyle w:val="Heading2"/>
      </w:pPr>
      <w:r>
        <w:t>3.2 Architecture Principle</w:t>
      </w:r>
    </w:p>
    <w:p>
      <w:pPr>
        <w:pStyle w:val="CodeBlock"/>
      </w:pPr>
      <w:r>
        <w:rPr>
          <w:rFonts w:ascii="Courier New" w:hAnsi="Courier New" w:eastAsia="Courier New"/>
          <w:sz w:val="17"/>
        </w:rPr>
        <w:t>Same Logical Networks</w:t>
      </w:r>
      <w:r>
        <w:br/>
      </w:r>
      <w:r>
        <w:rPr>
          <w:rFonts w:ascii="Courier New" w:hAnsi="Courier New" w:eastAsia="Courier New"/>
          <w:sz w:val="17"/>
        </w:rPr>
        <w:t xml:space="preserve">        ↓</w:t>
      </w:r>
      <w:r>
        <w:br/>
      </w:r>
      <w:r>
        <w:rPr>
          <w:rFonts w:ascii="Courier New" w:hAnsi="Courier New" w:eastAsia="Courier New"/>
          <w:sz w:val="17"/>
        </w:rPr>
        <w:t>Two Independent Firewall Policy Engines</w:t>
      </w:r>
      <w:r>
        <w:br/>
      </w:r>
      <w:r>
        <w:rPr>
          <w:rFonts w:ascii="Courier New" w:hAnsi="Courier New" w:eastAsia="Courier New"/>
          <w:sz w:val="17"/>
        </w:rPr>
        <w:t xml:space="preserve">        ↓</w:t>
      </w:r>
      <w:r>
        <w:br/>
      </w:r>
      <w:r>
        <w:rPr>
          <w:rFonts w:ascii="Courier New" w:hAnsi="Courier New" w:eastAsia="Courier New"/>
          <w:sz w:val="17"/>
        </w:rPr>
        <w:t>Different Vendor Rulebases</w:t>
      </w:r>
      <w:r>
        <w:br/>
      </w:r>
      <w:r>
        <w:rPr>
          <w:rFonts w:ascii="Courier New" w:hAnsi="Courier New" w:eastAsia="Courier New"/>
          <w:sz w:val="17"/>
        </w:rPr>
        <w:t xml:space="preserve">        ↓</w:t>
      </w:r>
      <w:r>
        <w:br/>
      </w:r>
      <w:r>
        <w:rPr>
          <w:rFonts w:ascii="Courier New" w:hAnsi="Courier New" w:eastAsia="Courier New"/>
          <w:sz w:val="17"/>
        </w:rPr>
        <w:t>Normalized Policy Repository</w:t>
      </w:r>
      <w:r>
        <w:br/>
      </w:r>
      <w:r>
        <w:rPr>
          <w:rFonts w:ascii="Courier New" w:hAnsi="Courier New" w:eastAsia="Courier New"/>
          <w:sz w:val="17"/>
        </w:rPr>
        <w:t xml:space="preserve">        ↓</w:t>
      </w:r>
      <w:r>
        <w:br/>
      </w:r>
      <w:r>
        <w:rPr>
          <w:rFonts w:ascii="Courier New" w:hAnsi="Courier New" w:eastAsia="Courier New"/>
          <w:sz w:val="17"/>
        </w:rPr>
        <w:t>Cross-Vendor Anomaly Detection</w:t>
      </w:r>
      <w:r>
        <w:br/>
      </w:r>
    </w:p>
    <w:p>
      <w:r>
        <w:t>This model is the foundation of LuminaFPM. The system does not depend on live packet traversal between the firewalls. It depends on extracting and comparing normalized policy intent.</w:t>
      </w:r>
    </w:p>
    <w:p>
      <w:pPr>
        <w:pStyle w:val="Heading1"/>
      </w:pPr>
      <w:r>
        <w:t>4. System Context Architecture</w:t>
      </w:r>
    </w:p>
    <w:p>
      <w:pPr>
        <w:pStyle w:val="Heading2"/>
      </w:pPr>
      <w:r>
        <w:t>4.1 External Actors and Systems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sz w:val="18"/>
              </w:rPr>
            </w:r>
            <w:r>
              <w:rPr>
                <w:b/>
                <w:color w:val="FFFFFF"/>
                <w:sz w:val="18"/>
              </w:rPr>
              <w:t>Actor / System</w:t>
            </w:r>
          </w:p>
        </w:tc>
        <w:tc>
          <w:tcPr>
            <w:tcW w:type="dxa" w:w="5112"/>
            <w:shd w:fill="1F4E79"/>
            <w:vAlign w:val="center"/>
          </w:tcPr>
          <w:p>
            <w:r>
              <w:rPr>
                <w:sz w:val="18"/>
              </w:rPr>
            </w:r>
            <w:r>
              <w:rPr>
                <w:b/>
                <w:color w:val="FFFFFF"/>
                <w:sz w:val="18"/>
              </w:rPr>
              <w:t>Role</w:t>
            </w:r>
          </w:p>
        </w:tc>
      </w:tr>
      <w:tr>
        <w:tc>
          <w:tcPr>
            <w:tcW w:type="dxa" w:w="5112"/>
            <w:vAlign w:val="center"/>
          </w:tcPr>
          <w:p>
            <w:r>
              <w:rPr>
                <w:sz w:val="18"/>
              </w:rPr>
            </w:r>
            <w:r>
              <w:rPr>
                <w:b w:val="0"/>
                <w:sz w:val="18"/>
              </w:rPr>
              <w:t>SOC Engineer</w:t>
            </w:r>
          </w:p>
        </w:tc>
        <w:tc>
          <w:tcPr>
            <w:tcW w:type="dxa" w:w="5112"/>
            <w:vAlign w:val="center"/>
          </w:tcPr>
          <w:p>
            <w:r>
              <w:rPr>
                <w:sz w:val="18"/>
              </w:rPr>
            </w:r>
            <w:r>
              <w:rPr>
                <w:b w:val="0"/>
                <w:sz w:val="18"/>
              </w:rPr>
              <w:t>Reviews risk findings and generated reports</w:t>
            </w:r>
          </w:p>
        </w:tc>
      </w:tr>
      <w:tr>
        <w:tc>
          <w:tcPr>
            <w:tcW w:type="dxa" w:w="5112"/>
            <w:vAlign w:val="center"/>
          </w:tcPr>
          <w:p>
            <w:r>
              <w:rPr>
                <w:sz w:val="18"/>
              </w:rPr>
            </w:r>
            <w:r>
              <w:rPr>
                <w:b w:val="0"/>
                <w:sz w:val="18"/>
              </w:rPr>
              <w:t>Firewall Administrator</w:t>
            </w:r>
          </w:p>
        </w:tc>
        <w:tc>
          <w:tcPr>
            <w:tcW w:type="dxa" w:w="5112"/>
            <w:vAlign w:val="center"/>
          </w:tcPr>
          <w:p>
            <w:r>
              <w:rPr>
                <w:sz w:val="18"/>
              </w:rPr>
            </w:r>
            <w:r>
              <w:rPr>
                <w:b w:val="0"/>
                <w:sz w:val="18"/>
              </w:rPr>
              <w:t>Reviews anomalies and applies firewall changes manually outside LuminaFPM</w:t>
            </w:r>
          </w:p>
        </w:tc>
      </w:tr>
      <w:tr>
        <w:tc>
          <w:tcPr>
            <w:tcW w:type="dxa" w:w="5112"/>
            <w:vAlign w:val="center"/>
          </w:tcPr>
          <w:p>
            <w:r>
              <w:rPr>
                <w:sz w:val="18"/>
              </w:rPr>
            </w:r>
            <w:r>
              <w:rPr>
                <w:b w:val="0"/>
                <w:sz w:val="18"/>
              </w:rPr>
              <w:t>Security Manager</w:t>
            </w:r>
          </w:p>
        </w:tc>
        <w:tc>
          <w:tcPr>
            <w:tcW w:type="dxa" w:w="5112"/>
            <w:vAlign w:val="center"/>
          </w:tcPr>
          <w:p>
            <w:r>
              <w:rPr>
                <w:sz w:val="18"/>
              </w:rPr>
            </w:r>
            <w:r>
              <w:rPr>
                <w:b w:val="0"/>
                <w:sz w:val="18"/>
              </w:rPr>
              <w:t>Views dashboards, summaries, and trend reports</w:t>
            </w:r>
          </w:p>
        </w:tc>
      </w:tr>
      <w:tr>
        <w:tc>
          <w:tcPr>
            <w:tcW w:type="dxa" w:w="5112"/>
            <w:vAlign w:val="center"/>
          </w:tcPr>
          <w:p>
            <w:r>
              <w:rPr>
                <w:sz w:val="18"/>
              </w:rPr>
            </w:r>
            <w:r>
              <w:rPr>
                <w:b w:val="0"/>
                <w:sz w:val="18"/>
              </w:rPr>
              <w:t>FortiGate Firewall</w:t>
            </w:r>
          </w:p>
        </w:tc>
        <w:tc>
          <w:tcPr>
            <w:tcW w:type="dxa" w:w="5112"/>
            <w:vAlign w:val="center"/>
          </w:tcPr>
          <w:p>
            <w:r>
              <w:rPr>
                <w:sz w:val="18"/>
              </w:rPr>
            </w:r>
            <w:r>
              <w:rPr>
                <w:b w:val="0"/>
                <w:sz w:val="18"/>
              </w:rPr>
              <w:t>Provides policies, objects, services, and metadata</w:t>
            </w:r>
          </w:p>
        </w:tc>
      </w:tr>
      <w:tr>
        <w:tc>
          <w:tcPr>
            <w:tcW w:type="dxa" w:w="5112"/>
            <w:vAlign w:val="center"/>
          </w:tcPr>
          <w:p>
            <w:r>
              <w:rPr>
                <w:sz w:val="18"/>
              </w:rPr>
            </w:r>
            <w:r>
              <w:rPr>
                <w:b w:val="0"/>
                <w:sz w:val="18"/>
              </w:rPr>
              <w:t>Palo Alto Firewall</w:t>
            </w:r>
          </w:p>
        </w:tc>
        <w:tc>
          <w:tcPr>
            <w:tcW w:type="dxa" w:w="5112"/>
            <w:vAlign w:val="center"/>
          </w:tcPr>
          <w:p>
            <w:r>
              <w:rPr>
                <w:sz w:val="18"/>
              </w:rPr>
            </w:r>
            <w:r>
              <w:rPr>
                <w:b w:val="0"/>
                <w:sz w:val="18"/>
              </w:rPr>
              <w:t>Provides policies, objects, services, and metadata</w:t>
            </w:r>
          </w:p>
        </w:tc>
      </w:tr>
      <w:tr>
        <w:tc>
          <w:tcPr>
            <w:tcW w:type="dxa" w:w="5112"/>
            <w:vAlign w:val="center"/>
          </w:tcPr>
          <w:p>
            <w:r>
              <w:rPr>
                <w:sz w:val="18"/>
              </w:rPr>
            </w:r>
            <w:r>
              <w:rPr>
                <w:b w:val="0"/>
                <w:sz w:val="18"/>
              </w:rPr>
              <w:t>CTI Providers</w:t>
            </w:r>
          </w:p>
        </w:tc>
        <w:tc>
          <w:tcPr>
            <w:tcW w:type="dxa" w:w="5112"/>
            <w:vAlign w:val="center"/>
          </w:tcPr>
          <w:p>
            <w:r>
              <w:rPr>
                <w:sz w:val="18"/>
              </w:rPr>
            </w:r>
            <w:r>
              <w:rPr>
                <w:b w:val="0"/>
                <w:sz w:val="18"/>
              </w:rPr>
              <w:t>Provide threat intelligence indicators and reports</w:t>
            </w:r>
          </w:p>
        </w:tc>
      </w:tr>
      <w:tr>
        <w:tc>
          <w:tcPr>
            <w:tcW w:type="dxa" w:w="5112"/>
            <w:vAlign w:val="center"/>
          </w:tcPr>
          <w:p>
            <w:r>
              <w:rPr>
                <w:sz w:val="18"/>
              </w:rPr>
            </w:r>
            <w:r>
              <w:rPr>
                <w:b w:val="0"/>
                <w:sz w:val="18"/>
              </w:rPr>
              <w:t>LLM Providers</w:t>
            </w:r>
          </w:p>
        </w:tc>
        <w:tc>
          <w:tcPr>
            <w:tcW w:type="dxa" w:w="5112"/>
            <w:vAlign w:val="center"/>
          </w:tcPr>
          <w:p>
            <w:r>
              <w:rPr>
                <w:sz w:val="18"/>
              </w:rPr>
            </w:r>
            <w:r>
              <w:rPr>
                <w:b w:val="0"/>
                <w:sz w:val="18"/>
              </w:rPr>
              <w:t>Generate queries, summarize CTI results, and produce reports</w:t>
            </w:r>
          </w:p>
        </w:tc>
      </w:tr>
      <w:tr>
        <w:tc>
          <w:tcPr>
            <w:tcW w:type="dxa" w:w="5112"/>
            <w:vAlign w:val="center"/>
          </w:tcPr>
          <w:p>
            <w:r>
              <w:rPr>
                <w:sz w:val="18"/>
              </w:rPr>
            </w:r>
            <w:r>
              <w:rPr>
                <w:b w:val="0"/>
                <w:sz w:val="18"/>
              </w:rPr>
              <w:t>PostgreSQL</w:t>
            </w:r>
          </w:p>
        </w:tc>
        <w:tc>
          <w:tcPr>
            <w:tcW w:type="dxa" w:w="5112"/>
            <w:vAlign w:val="center"/>
          </w:tcPr>
          <w:p>
            <w:r>
              <w:rPr>
                <w:sz w:val="18"/>
              </w:rPr>
            </w:r>
            <w:r>
              <w:rPr>
                <w:b w:val="0"/>
                <w:sz w:val="18"/>
              </w:rPr>
              <w:t>Stores normalized operational data</w:t>
            </w:r>
          </w:p>
        </w:tc>
      </w:tr>
      <w:tr>
        <w:tc>
          <w:tcPr>
            <w:tcW w:type="dxa" w:w="5112"/>
            <w:vAlign w:val="center"/>
          </w:tcPr>
          <w:p>
            <w:r>
              <w:rPr>
                <w:sz w:val="18"/>
              </w:rPr>
            </w:r>
            <w:r>
              <w:rPr>
                <w:b w:val="0"/>
                <w:sz w:val="18"/>
              </w:rPr>
              <w:t>Redis</w:t>
            </w:r>
          </w:p>
        </w:tc>
        <w:tc>
          <w:tcPr>
            <w:tcW w:type="dxa" w:w="5112"/>
            <w:vAlign w:val="center"/>
          </w:tcPr>
          <w:p>
            <w:r>
              <w:rPr>
                <w:sz w:val="18"/>
              </w:rPr>
            </w:r>
            <w:r>
              <w:rPr>
                <w:b w:val="0"/>
                <w:sz w:val="18"/>
              </w:rPr>
              <w:t>Queues acquisition and analysis tasks</w:t>
            </w:r>
          </w:p>
        </w:tc>
      </w:tr>
      <w:tr>
        <w:tc>
          <w:tcPr>
            <w:tcW w:type="dxa" w:w="5112"/>
            <w:vAlign w:val="center"/>
          </w:tcPr>
          <w:p>
            <w:r>
              <w:rPr>
                <w:sz w:val="18"/>
              </w:rPr>
            </w:r>
            <w:r>
              <w:rPr>
                <w:b w:val="0"/>
                <w:sz w:val="18"/>
              </w:rPr>
              <w:t>Celery Workers</w:t>
            </w:r>
          </w:p>
        </w:tc>
        <w:tc>
          <w:tcPr>
            <w:tcW w:type="dxa" w:w="5112"/>
            <w:vAlign w:val="center"/>
          </w:tcPr>
          <w:p>
            <w:r>
              <w:rPr>
                <w:sz w:val="18"/>
              </w:rPr>
            </w:r>
            <w:r>
              <w:rPr>
                <w:b w:val="0"/>
                <w:sz w:val="18"/>
              </w:rPr>
              <w:t>Execute background jobs</w:t>
            </w:r>
          </w:p>
        </w:tc>
      </w:tr>
      <w:tr>
        <w:tc>
          <w:tcPr>
            <w:tcW w:type="dxa" w:w="5112"/>
            <w:vAlign w:val="center"/>
          </w:tcPr>
          <w:p>
            <w:r>
              <w:rPr>
                <w:sz w:val="18"/>
              </w:rPr>
            </w:r>
            <w:r>
              <w:rPr>
                <w:b w:val="0"/>
                <w:sz w:val="18"/>
              </w:rPr>
              <w:t>React Dashboard</w:t>
            </w:r>
          </w:p>
        </w:tc>
        <w:tc>
          <w:tcPr>
            <w:tcW w:type="dxa" w:w="5112"/>
            <w:vAlign w:val="center"/>
          </w:tcPr>
          <w:p>
            <w:r>
              <w:rPr>
                <w:sz w:val="18"/>
              </w:rPr>
            </w:r>
            <w:r>
              <w:rPr>
                <w:b w:val="0"/>
                <w:sz w:val="18"/>
              </w:rPr>
              <w:t>User-facing interface</w:t>
            </w:r>
          </w:p>
        </w:tc>
      </w:tr>
    </w:tbl>
    <w:p/>
    <w:p>
      <w:pPr>
        <w:pStyle w:val="Heading2"/>
      </w:pPr>
      <w:r>
        <w:t>4.2 High-Level Context Diagram</w:t>
      </w:r>
    </w:p>
    <w:p>
      <w:pPr>
        <w:pStyle w:val="CodeBlock"/>
      </w:pPr>
      <w:r>
        <w:rPr>
          <w:rFonts w:ascii="Courier New" w:hAnsi="Courier New" w:eastAsia="Courier New"/>
          <w:sz w:val="17"/>
        </w:rPr>
        <w:t xml:space="preserve">                    ┌──────────────────────┐</w:t>
      </w:r>
      <w:r>
        <w:br/>
      </w:r>
      <w:r>
        <w:rPr>
          <w:rFonts w:ascii="Courier New" w:hAnsi="Courier New" w:eastAsia="Courier New"/>
          <w:sz w:val="17"/>
        </w:rPr>
        <w:t xml:space="preserve">                    │   SOC / Firewall     │</w:t>
      </w:r>
      <w:r>
        <w:br/>
      </w:r>
      <w:r>
        <w:rPr>
          <w:rFonts w:ascii="Courier New" w:hAnsi="Courier New" w:eastAsia="Courier New"/>
          <w:sz w:val="17"/>
        </w:rPr>
        <w:t xml:space="preserve">                    │   Admin Dashboard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React + TypeScript   │</w:t>
      </w:r>
      <w:r>
        <w:br/>
      </w:r>
      <w:r>
        <w:rPr>
          <w:rFonts w:ascii="Courier New" w:hAnsi="Courier New" w:eastAsia="Courier New"/>
          <w:sz w:val="17"/>
        </w:rPr>
        <w:t xml:space="preserve">                    │ Frontend Dashboard   │</w:t>
      </w:r>
      <w:r>
        <w:br/>
      </w:r>
      <w:r>
        <w:rPr>
          <w:rFonts w:ascii="Courier New" w:hAnsi="Courier New" w:eastAsia="Courier New"/>
          <w:sz w:val="17"/>
        </w:rPr>
        <w:t xml:space="preserve">                    └──────────┬───────────┘</w:t>
      </w:r>
      <w:r>
        <w:br/>
      </w:r>
      <w:r>
        <w:rPr>
          <w:rFonts w:ascii="Courier New" w:hAnsi="Courier New" w:eastAsia="Courier New"/>
          <w:sz w:val="17"/>
        </w:rPr>
        <w:t xml:space="preserve">                               │ HTTPS / REST</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FastAPI Backend API  │</w:t>
      </w:r>
      <w:r>
        <w:br/>
      </w:r>
      <w:r>
        <w:rPr>
          <w:rFonts w:ascii="Courier New" w:hAnsi="Courier New" w:eastAsia="Courier New"/>
          <w:sz w:val="17"/>
        </w:rPr>
        <w:t xml:space="preserve">                    └───────┬───────┬──────┘</w:t>
      </w:r>
      <w:r>
        <w:br/>
      </w:r>
      <w:r>
        <w:rPr>
          <w:rFonts w:ascii="Courier New" w:hAnsi="Courier New" w:eastAsia="Courier New"/>
          <w:sz w:val="17"/>
        </w:rPr>
        <w:t xml:space="preserve">                            │       │</w:t>
      </w:r>
      <w:r>
        <w:br/>
      </w:r>
      <w:r>
        <w:rPr>
          <w:rFonts w:ascii="Courier New" w:hAnsi="Courier New" w:eastAsia="Courier New"/>
          <w:sz w:val="17"/>
        </w:rPr>
        <w:t xml:space="preserve">              ┌─────────────▼──┐  ┌─▼──────────────┐</w:t>
      </w:r>
      <w:r>
        <w:br/>
      </w:r>
      <w:r>
        <w:rPr>
          <w:rFonts w:ascii="Courier New" w:hAnsi="Courier New" w:eastAsia="Courier New"/>
          <w:sz w:val="17"/>
        </w:rPr>
        <w:t xml:space="preserve">              │ PostgreSQL DB  │  │ Redis Queue    │</w:t>
      </w:r>
      <w:r>
        <w:br/>
      </w:r>
      <w:r>
        <w:rPr>
          <w:rFonts w:ascii="Courier New" w:hAnsi="Courier New" w:eastAsia="Courier New"/>
          <w:sz w:val="17"/>
        </w:rPr>
        <w:t xml:space="preserve">              └─────────────┬──┘  └─┬──────────────┘</w:t>
      </w:r>
      <w:r>
        <w:br/>
      </w:r>
      <w:r>
        <w:rPr>
          <w:rFonts w:ascii="Courier New" w:hAnsi="Courier New" w:eastAsia="Courier New"/>
          <w:sz w:val="17"/>
        </w:rPr>
        <w:t xml:space="preserve">                            │       │</w:t>
      </w:r>
      <w:r>
        <w:br/>
      </w:r>
      <w:r>
        <w:rPr>
          <w:rFonts w:ascii="Courier New" w:hAnsi="Courier New" w:eastAsia="Courier New"/>
          <w:sz w:val="17"/>
        </w:rPr>
        <w:t xml:space="preserve">                            │       ▼</w:t>
      </w:r>
      <w:r>
        <w:br/>
      </w:r>
      <w:r>
        <w:rPr>
          <w:rFonts w:ascii="Courier New" w:hAnsi="Courier New" w:eastAsia="Courier New"/>
          <w:sz w:val="17"/>
        </w:rPr>
        <w:t xml:space="preserve">                            │  ┌───────────────────┐</w:t>
      </w:r>
      <w:r>
        <w:br/>
      </w:r>
      <w:r>
        <w:rPr>
          <w:rFonts w:ascii="Courier New" w:hAnsi="Courier New" w:eastAsia="Courier New"/>
          <w:sz w:val="17"/>
        </w:rPr>
        <w:t xml:space="preserve">                            │  │ Celery Workers    │</w:t>
      </w:r>
      <w:r>
        <w:br/>
      </w:r>
      <w:r>
        <w:rPr>
          <w:rFonts w:ascii="Courier New" w:hAnsi="Courier New" w:eastAsia="Courier New"/>
          <w:sz w:val="17"/>
        </w:rPr>
        <w:t xml:space="preserve">                            │  └──────┬───────┬────┘</w:t>
      </w:r>
      <w:r>
        <w:br/>
      </w:r>
      <w:r>
        <w:rPr>
          <w:rFonts w:ascii="Courier New" w:hAnsi="Courier New" w:eastAsia="Courier New"/>
          <w:sz w:val="17"/>
        </w:rPr>
        <w:t xml:space="preserve">                            │         │       │</w:t>
      </w:r>
      <w:r>
        <w:br/>
      </w:r>
      <w:r>
        <w:rPr>
          <w:rFonts w:ascii="Courier New" w:hAnsi="Courier New" w:eastAsia="Courier New"/>
          <w:sz w:val="17"/>
        </w:rPr>
        <w:t xml:space="preserve">                            ▼         ▼       ▼</w:t>
      </w:r>
      <w:r>
        <w:br/>
      </w:r>
      <w:r>
        <w:rPr>
          <w:rFonts w:ascii="Courier New" w:hAnsi="Courier New" w:eastAsia="Courier New"/>
          <w:sz w:val="17"/>
        </w:rPr>
        <w:t xml:space="preserve">                  ┌────────────┐ ┌────────┐ ┌─────────────┐</w:t>
      </w:r>
      <w:r>
        <w:br/>
      </w:r>
      <w:r>
        <w:rPr>
          <w:rFonts w:ascii="Courier New" w:hAnsi="Courier New" w:eastAsia="Courier New"/>
          <w:sz w:val="17"/>
        </w:rPr>
        <w:t xml:space="preserve">                  │ Anomaly    │ │ CTI    │ │ LLM Report  │</w:t>
      </w:r>
      <w:r>
        <w:br/>
      </w:r>
      <w:r>
        <w:rPr>
          <w:rFonts w:ascii="Courier New" w:hAnsi="Courier New" w:eastAsia="Courier New"/>
          <w:sz w:val="17"/>
        </w:rPr>
        <w:t xml:space="preserve">                  │ Engine     │ │ Engine │ │ Engine      │</w:t>
      </w:r>
      <w:r>
        <w:br/>
      </w:r>
      <w:r>
        <w:rPr>
          <w:rFonts w:ascii="Courier New" w:hAnsi="Courier New" w:eastAsia="Courier New"/>
          <w:sz w:val="17"/>
        </w:rPr>
        <w:t xml:space="preserve">                  └────────────┘ └────────┘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 FortiGate API / Palo Alto XML API / CTI APIs│</w:t>
      </w:r>
      <w:r>
        <w:br/>
      </w:r>
      <w:r>
        <w:rPr>
          <w:rFonts w:ascii="Courier New" w:hAnsi="Courier New" w:eastAsia="Courier New"/>
          <w:sz w:val="17"/>
        </w:rPr>
        <w:t xml:space="preserve">              └────────────────────────────────────────────┘</w:t>
      </w:r>
      <w:r>
        <w:br/>
      </w:r>
    </w:p>
    <w:p>
      <w:pPr>
        <w:pStyle w:val="Heading1"/>
      </w:pPr>
      <w:r>
        <w:t>5. Layered System Architecture</w:t>
      </w:r>
    </w:p>
    <w:p>
      <w:r>
        <w:t>LuminaFPM follows a strict layered model. Each layer has a separate responsibility, and no layer should bypass the layer below it.</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sz w:val="18"/>
              </w:rPr>
            </w:r>
            <w:r>
              <w:rPr>
                <w:b/>
                <w:color w:val="FFFFFF"/>
                <w:sz w:val="18"/>
              </w:rPr>
              <w:t>Layer</w:t>
            </w:r>
          </w:p>
        </w:tc>
        <w:tc>
          <w:tcPr>
            <w:tcW w:type="dxa" w:w="5112"/>
            <w:shd w:fill="1F4E79"/>
            <w:vAlign w:val="center"/>
          </w:tcPr>
          <w:p>
            <w:r>
              <w:rPr>
                <w:sz w:val="18"/>
              </w:rPr>
            </w:r>
            <w:r>
              <w:rPr>
                <w:b/>
                <w:color w:val="FFFFFF"/>
                <w:sz w:val="18"/>
              </w:rPr>
              <w:t>Responsibility</w:t>
            </w:r>
          </w:p>
        </w:tc>
      </w:tr>
      <w:tr>
        <w:tc>
          <w:tcPr>
            <w:tcW w:type="dxa" w:w="5112"/>
            <w:vAlign w:val="center"/>
          </w:tcPr>
          <w:p>
            <w:r>
              <w:rPr>
                <w:sz w:val="18"/>
              </w:rPr>
            </w:r>
            <w:r>
              <w:rPr>
                <w:b w:val="0"/>
                <w:sz w:val="18"/>
              </w:rPr>
              <w:t>1. Acquisition Layer</w:t>
            </w:r>
          </w:p>
        </w:tc>
        <w:tc>
          <w:tcPr>
            <w:tcW w:type="dxa" w:w="5112"/>
            <w:vAlign w:val="center"/>
          </w:tcPr>
          <w:p>
            <w:r>
              <w:rPr>
                <w:sz w:val="18"/>
              </w:rPr>
            </w:r>
            <w:r>
              <w:rPr>
                <w:b w:val="0"/>
                <w:sz w:val="18"/>
              </w:rPr>
              <w:t>Connects to firewall APIs and retrieves raw configuration data</w:t>
            </w:r>
          </w:p>
        </w:tc>
      </w:tr>
      <w:tr>
        <w:tc>
          <w:tcPr>
            <w:tcW w:type="dxa" w:w="5112"/>
            <w:vAlign w:val="center"/>
          </w:tcPr>
          <w:p>
            <w:r>
              <w:rPr>
                <w:sz w:val="18"/>
              </w:rPr>
            </w:r>
            <w:r>
              <w:rPr>
                <w:b w:val="0"/>
                <w:sz w:val="18"/>
              </w:rPr>
              <w:t>2. Parsing Layer</w:t>
            </w:r>
          </w:p>
        </w:tc>
        <w:tc>
          <w:tcPr>
            <w:tcW w:type="dxa" w:w="5112"/>
            <w:vAlign w:val="center"/>
          </w:tcPr>
          <w:p>
            <w:r>
              <w:rPr>
                <w:sz w:val="18"/>
              </w:rPr>
            </w:r>
            <w:r>
              <w:rPr>
                <w:b w:val="0"/>
                <w:sz w:val="18"/>
              </w:rPr>
              <w:t>Converts vendor-specific API output into structured parsed models</w:t>
            </w:r>
          </w:p>
        </w:tc>
      </w:tr>
      <w:tr>
        <w:tc>
          <w:tcPr>
            <w:tcW w:type="dxa" w:w="5112"/>
            <w:vAlign w:val="center"/>
          </w:tcPr>
          <w:p>
            <w:r>
              <w:rPr>
                <w:sz w:val="18"/>
              </w:rPr>
            </w:r>
            <w:r>
              <w:rPr>
                <w:b w:val="0"/>
                <w:sz w:val="18"/>
              </w:rPr>
              <w:t>3. Normalization Layer</w:t>
            </w:r>
          </w:p>
        </w:tc>
        <w:tc>
          <w:tcPr>
            <w:tcW w:type="dxa" w:w="5112"/>
            <w:vAlign w:val="center"/>
          </w:tcPr>
          <w:p>
            <w:r>
              <w:rPr>
                <w:sz w:val="18"/>
              </w:rPr>
            </w:r>
            <w:r>
              <w:rPr>
                <w:b w:val="0"/>
                <w:sz w:val="18"/>
              </w:rPr>
              <w:t>Converts parsed vendor models into unified normalized policy records</w:t>
            </w:r>
          </w:p>
        </w:tc>
      </w:tr>
      <w:tr>
        <w:tc>
          <w:tcPr>
            <w:tcW w:type="dxa" w:w="5112"/>
            <w:vAlign w:val="center"/>
          </w:tcPr>
          <w:p>
            <w:r>
              <w:rPr>
                <w:sz w:val="18"/>
              </w:rPr>
            </w:r>
            <w:r>
              <w:rPr>
                <w:b w:val="0"/>
                <w:sz w:val="18"/>
              </w:rPr>
              <w:t>4. Repository Layer</w:t>
            </w:r>
          </w:p>
        </w:tc>
        <w:tc>
          <w:tcPr>
            <w:tcW w:type="dxa" w:w="5112"/>
            <w:vAlign w:val="center"/>
          </w:tcPr>
          <w:p>
            <w:r>
              <w:rPr>
                <w:sz w:val="18"/>
              </w:rPr>
            </w:r>
            <w:r>
              <w:rPr>
                <w:b w:val="0"/>
                <w:sz w:val="18"/>
              </w:rPr>
              <w:t>Stores normalized data, findings, CTI observations, benchmarks, and reports</w:t>
            </w:r>
          </w:p>
        </w:tc>
      </w:tr>
      <w:tr>
        <w:tc>
          <w:tcPr>
            <w:tcW w:type="dxa" w:w="5112"/>
            <w:vAlign w:val="center"/>
          </w:tcPr>
          <w:p>
            <w:r>
              <w:rPr>
                <w:sz w:val="18"/>
              </w:rPr>
            </w:r>
            <w:r>
              <w:rPr>
                <w:b w:val="0"/>
                <w:sz w:val="18"/>
              </w:rPr>
              <w:t>5. Analysis Layer</w:t>
            </w:r>
          </w:p>
        </w:tc>
        <w:tc>
          <w:tcPr>
            <w:tcW w:type="dxa" w:w="5112"/>
            <w:vAlign w:val="center"/>
          </w:tcPr>
          <w:p>
            <w:r>
              <w:rPr>
                <w:sz w:val="18"/>
              </w:rPr>
            </w:r>
            <w:r>
              <w:rPr>
                <w:b w:val="0"/>
                <w:sz w:val="18"/>
              </w:rPr>
              <w:t>Runs deterministic anomaly detection</w:t>
            </w:r>
          </w:p>
        </w:tc>
      </w:tr>
      <w:tr>
        <w:tc>
          <w:tcPr>
            <w:tcW w:type="dxa" w:w="5112"/>
            <w:vAlign w:val="center"/>
          </w:tcPr>
          <w:p>
            <w:r>
              <w:rPr>
                <w:sz w:val="18"/>
              </w:rPr>
            </w:r>
            <w:r>
              <w:rPr>
                <w:b w:val="0"/>
                <w:sz w:val="18"/>
              </w:rPr>
              <w:t>6. Risk and CTI Layer</w:t>
            </w:r>
          </w:p>
        </w:tc>
        <w:tc>
          <w:tcPr>
            <w:tcW w:type="dxa" w:w="5112"/>
            <w:vAlign w:val="center"/>
          </w:tcPr>
          <w:p>
            <w:r>
              <w:rPr>
                <w:sz w:val="18"/>
              </w:rPr>
            </w:r>
            <w:r>
              <w:rPr>
                <w:b w:val="0"/>
                <w:sz w:val="18"/>
              </w:rPr>
              <w:t>Correlates CTI and calculates risk priority</w:t>
            </w:r>
          </w:p>
        </w:tc>
      </w:tr>
      <w:tr>
        <w:tc>
          <w:tcPr>
            <w:tcW w:type="dxa" w:w="5112"/>
            <w:vAlign w:val="center"/>
          </w:tcPr>
          <w:p>
            <w:r>
              <w:rPr>
                <w:sz w:val="18"/>
              </w:rPr>
            </w:r>
            <w:r>
              <w:rPr>
                <w:b w:val="0"/>
                <w:sz w:val="18"/>
              </w:rPr>
              <w:t>7. AI Reporting Layer</w:t>
            </w:r>
          </w:p>
        </w:tc>
        <w:tc>
          <w:tcPr>
            <w:tcW w:type="dxa" w:w="5112"/>
            <w:vAlign w:val="center"/>
          </w:tcPr>
          <w:p>
            <w:r>
              <w:rPr>
                <w:sz w:val="18"/>
              </w:rPr>
            </w:r>
            <w:r>
              <w:rPr>
                <w:b w:val="0"/>
                <w:sz w:val="18"/>
              </w:rPr>
              <w:t>Generates CTI queries and SOC-style reports</w:t>
            </w:r>
          </w:p>
        </w:tc>
      </w:tr>
      <w:tr>
        <w:tc>
          <w:tcPr>
            <w:tcW w:type="dxa" w:w="5112"/>
            <w:vAlign w:val="center"/>
          </w:tcPr>
          <w:p>
            <w:r>
              <w:rPr>
                <w:sz w:val="18"/>
              </w:rPr>
            </w:r>
            <w:r>
              <w:rPr>
                <w:b w:val="0"/>
                <w:sz w:val="18"/>
              </w:rPr>
              <w:t>8. Presentation Layer</w:t>
            </w:r>
          </w:p>
        </w:tc>
        <w:tc>
          <w:tcPr>
            <w:tcW w:type="dxa" w:w="5112"/>
            <w:vAlign w:val="center"/>
          </w:tcPr>
          <w:p>
            <w:r>
              <w:rPr>
                <w:sz w:val="18"/>
              </w:rPr>
            </w:r>
            <w:r>
              <w:rPr>
                <w:b w:val="0"/>
                <w:sz w:val="18"/>
              </w:rPr>
              <w:t>Provides dashboard, explorer, graph, and reports</w:t>
            </w:r>
          </w:p>
        </w:tc>
      </w:tr>
    </w:tbl>
    <w:p/>
    <w:p>
      <w:pPr>
        <w:pStyle w:val="Heading1"/>
      </w:pPr>
      <w:r>
        <w:t>6. Layer 1 — Acquisition Layer</w:t>
      </w:r>
    </w:p>
    <w:p>
      <w:pPr>
        <w:pStyle w:val="Heading2"/>
      </w:pPr>
      <w:r>
        <w:t>6.1 Responsibility</w:t>
      </w:r>
    </w:p>
    <w:p>
      <w:r>
        <w:t>The acquisition layer connects to firewall devices and collects raw configuration data. It is responsible for API authentication, device polling, rule extraction, object extraction, service extraction, firmware and version extraction, poll status tracking, error handling, raw output storage, and scheduling extraction jobs.</w:t>
      </w:r>
    </w:p>
    <w:p>
      <w:pPr>
        <w:pStyle w:val="Heading2"/>
      </w:pPr>
      <w:r>
        <w:t>6.2 Supported v1 Acquisition Sources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Pr>
                <w:sz w:val="18"/>
              </w:rPr>
            </w:r>
            <w:r>
              <w:rPr>
                <w:b/>
                <w:color w:val="FFFFFF"/>
                <w:sz w:val="18"/>
              </w:rPr>
              <w:t>Vendor</w:t>
            </w:r>
          </w:p>
        </w:tc>
        <w:tc>
          <w:tcPr>
            <w:tcW w:type="dxa" w:w="3408"/>
            <w:shd w:fill="1F4E79"/>
            <w:vAlign w:val="center"/>
          </w:tcPr>
          <w:p>
            <w:r>
              <w:rPr>
                <w:sz w:val="18"/>
              </w:rPr>
            </w:r>
            <w:r>
              <w:rPr>
                <w:b/>
                <w:color w:val="FFFFFF"/>
                <w:sz w:val="18"/>
              </w:rPr>
              <w:t>API Method</w:t>
            </w:r>
          </w:p>
        </w:tc>
        <w:tc>
          <w:tcPr>
            <w:tcW w:type="dxa" w:w="3408"/>
            <w:shd w:fill="1F4E79"/>
            <w:vAlign w:val="center"/>
          </w:tcPr>
          <w:p>
            <w:r>
              <w:rPr>
                <w:sz w:val="18"/>
              </w:rPr>
            </w:r>
            <w:r>
              <w:rPr>
                <w:b/>
                <w:color w:val="FFFFFF"/>
                <w:sz w:val="18"/>
              </w:rPr>
              <w:t>Status</w:t>
            </w:r>
          </w:p>
        </w:tc>
      </w:tr>
      <w:tr>
        <w:tc>
          <w:tcPr>
            <w:tcW w:type="dxa" w:w="3408"/>
            <w:vAlign w:val="center"/>
          </w:tcPr>
          <w:p>
            <w:r>
              <w:rPr>
                <w:sz w:val="18"/>
              </w:rPr>
            </w:r>
            <w:r>
              <w:rPr>
                <w:b w:val="0"/>
                <w:sz w:val="18"/>
              </w:rPr>
              <w:t>Fortinet FortiGate</w:t>
            </w:r>
          </w:p>
        </w:tc>
        <w:tc>
          <w:tcPr>
            <w:tcW w:type="dxa" w:w="3408"/>
            <w:vAlign w:val="center"/>
          </w:tcPr>
          <w:p>
            <w:r>
              <w:rPr>
                <w:sz w:val="18"/>
              </w:rPr>
            </w:r>
            <w:r>
              <w:rPr>
                <w:b w:val="0"/>
                <w:sz w:val="18"/>
              </w:rPr>
              <w:t>REST API</w:t>
            </w:r>
          </w:p>
        </w:tc>
        <w:tc>
          <w:tcPr>
            <w:tcW w:type="dxa" w:w="3408"/>
            <w:vAlign w:val="center"/>
          </w:tcPr>
          <w:p>
            <w:r>
              <w:rPr>
                <w:sz w:val="18"/>
              </w:rPr>
            </w:r>
            <w:r>
              <w:rPr>
                <w:b w:val="0"/>
                <w:sz w:val="18"/>
              </w:rPr>
              <w:t>v1 implemented</w:t>
            </w:r>
          </w:p>
        </w:tc>
      </w:tr>
      <w:tr>
        <w:tc>
          <w:tcPr>
            <w:tcW w:type="dxa" w:w="3408"/>
            <w:vAlign w:val="center"/>
          </w:tcPr>
          <w:p>
            <w:r>
              <w:rPr>
                <w:sz w:val="18"/>
              </w:rPr>
            </w:r>
            <w:r>
              <w:rPr>
                <w:b w:val="0"/>
                <w:sz w:val="18"/>
              </w:rPr>
              <w:t>Palo Alto PAN-OS</w:t>
            </w:r>
          </w:p>
        </w:tc>
        <w:tc>
          <w:tcPr>
            <w:tcW w:type="dxa" w:w="3408"/>
            <w:vAlign w:val="center"/>
          </w:tcPr>
          <w:p>
            <w:r>
              <w:rPr>
                <w:sz w:val="18"/>
              </w:rPr>
            </w:r>
            <w:r>
              <w:rPr>
                <w:b w:val="0"/>
                <w:sz w:val="18"/>
              </w:rPr>
              <w:t>XML API</w:t>
            </w:r>
          </w:p>
        </w:tc>
        <w:tc>
          <w:tcPr>
            <w:tcW w:type="dxa" w:w="3408"/>
            <w:vAlign w:val="center"/>
          </w:tcPr>
          <w:p>
            <w:r>
              <w:rPr>
                <w:sz w:val="18"/>
              </w:rPr>
            </w:r>
            <w:r>
              <w:rPr>
                <w:b w:val="0"/>
                <w:sz w:val="18"/>
              </w:rPr>
              <w:t>v1 implemented</w:t>
            </w:r>
          </w:p>
        </w:tc>
      </w:tr>
      <w:tr>
        <w:tc>
          <w:tcPr>
            <w:tcW w:type="dxa" w:w="3408"/>
            <w:vAlign w:val="center"/>
          </w:tcPr>
          <w:p>
            <w:r>
              <w:rPr>
                <w:sz w:val="18"/>
              </w:rPr>
            </w:r>
            <w:r>
              <w:rPr>
                <w:b w:val="0"/>
                <w:sz w:val="18"/>
              </w:rPr>
              <w:t>FortiManager</w:t>
            </w:r>
          </w:p>
        </w:tc>
        <w:tc>
          <w:tcPr>
            <w:tcW w:type="dxa" w:w="3408"/>
            <w:vAlign w:val="center"/>
          </w:tcPr>
          <w:p>
            <w:r>
              <w:rPr>
                <w:sz w:val="18"/>
              </w:rPr>
            </w:r>
            <w:r>
              <w:rPr>
                <w:b w:val="0"/>
                <w:sz w:val="18"/>
              </w:rPr>
              <w:t>REST API</w:t>
            </w:r>
          </w:p>
        </w:tc>
        <w:tc>
          <w:tcPr>
            <w:tcW w:type="dxa" w:w="3408"/>
            <w:vAlign w:val="center"/>
          </w:tcPr>
          <w:p>
            <w:r>
              <w:rPr>
                <w:sz w:val="18"/>
              </w:rPr>
            </w:r>
            <w:r>
              <w:rPr>
                <w:b w:val="0"/>
                <w:sz w:val="18"/>
              </w:rPr>
              <w:t>future work</w:t>
            </w:r>
          </w:p>
        </w:tc>
      </w:tr>
      <w:tr>
        <w:tc>
          <w:tcPr>
            <w:tcW w:type="dxa" w:w="3408"/>
            <w:vAlign w:val="center"/>
          </w:tcPr>
          <w:p>
            <w:r>
              <w:rPr>
                <w:sz w:val="18"/>
              </w:rPr>
            </w:r>
            <w:r>
              <w:rPr>
                <w:b w:val="0"/>
                <w:sz w:val="18"/>
              </w:rPr>
              <w:t>Panorama</w:t>
            </w:r>
          </w:p>
        </w:tc>
        <w:tc>
          <w:tcPr>
            <w:tcW w:type="dxa" w:w="3408"/>
            <w:vAlign w:val="center"/>
          </w:tcPr>
          <w:p>
            <w:r>
              <w:rPr>
                <w:sz w:val="18"/>
              </w:rPr>
            </w:r>
            <w:r>
              <w:rPr>
                <w:b w:val="0"/>
                <w:sz w:val="18"/>
              </w:rPr>
              <w:t>XML/REST API</w:t>
            </w:r>
          </w:p>
        </w:tc>
        <w:tc>
          <w:tcPr>
            <w:tcW w:type="dxa" w:w="3408"/>
            <w:vAlign w:val="center"/>
          </w:tcPr>
          <w:p>
            <w:r>
              <w:rPr>
                <w:sz w:val="18"/>
              </w:rPr>
            </w:r>
            <w:r>
              <w:rPr>
                <w:b w:val="0"/>
                <w:sz w:val="18"/>
              </w:rPr>
              <w:t>future work</w:t>
            </w:r>
          </w:p>
        </w:tc>
      </w:tr>
    </w:tbl>
    <w:p/>
    <w:p>
      <w:pPr>
        <w:pStyle w:val="Heading2"/>
      </w:pPr>
      <w:r>
        <w:t>6.3 FortiGate Acquisition</w:t>
      </w:r>
    </w:p>
    <w:p>
      <w:r>
        <w:t>FortiGate acquisition must use REST API endpoints. Minimum required endpoint categories are:</w:t>
      </w:r>
    </w:p>
    <w:p>
      <w:pPr>
        <w:pStyle w:val="CodeBlock"/>
      </w:pPr>
      <w:r>
        <w:rPr>
          <w:rFonts w:ascii="Courier New" w:hAnsi="Courier New" w:eastAsia="Courier New"/>
          <w:sz w:val="17"/>
        </w:rPr>
        <w:t>/api/v2/cmdb/firewall/policy</w:t>
      </w:r>
      <w:r>
        <w:br/>
      </w:r>
      <w:r>
        <w:rPr>
          <w:rFonts w:ascii="Courier New" w:hAnsi="Courier New" w:eastAsia="Courier New"/>
          <w:sz w:val="17"/>
        </w:rPr>
        <w:t>/api/v2/cmdb/firewall/address</w:t>
      </w:r>
      <w:r>
        <w:br/>
      </w:r>
      <w:r>
        <w:rPr>
          <w:rFonts w:ascii="Courier New" w:hAnsi="Courier New" w:eastAsia="Courier New"/>
          <w:sz w:val="17"/>
        </w:rPr>
        <w:t>/api/v2/cmdb/firewall/addrgrp</w:t>
      </w:r>
      <w:r>
        <w:br/>
      </w:r>
      <w:r>
        <w:rPr>
          <w:rFonts w:ascii="Courier New" w:hAnsi="Courier New" w:eastAsia="Courier New"/>
          <w:sz w:val="17"/>
        </w:rPr>
        <w:t>/api/v2/cmdb/firewall/service/custom</w:t>
      </w:r>
      <w:r>
        <w:br/>
      </w:r>
      <w:r>
        <w:rPr>
          <w:rFonts w:ascii="Courier New" w:hAnsi="Courier New" w:eastAsia="Courier New"/>
          <w:sz w:val="17"/>
        </w:rPr>
        <w:t>/api/v2/cmdb/firewall/service/group</w:t>
      </w:r>
      <w:r>
        <w:br/>
      </w:r>
      <w:r>
        <w:rPr>
          <w:rFonts w:ascii="Courier New" w:hAnsi="Courier New" w:eastAsia="Courier New"/>
          <w:sz w:val="17"/>
        </w:rPr>
        <w:t>/api/v2/monitor/system/status</w:t>
      </w:r>
      <w:r>
        <w:br/>
      </w:r>
    </w:p>
    <w:p>
      <w:r>
        <w:t>The current project phase confirms FortiGate REST API validation, including token authentication, address extraction, policy extraction, and object retrieval.</w:t>
      </w:r>
    </w:p>
    <w:p>
      <w:pPr>
        <w:pStyle w:val="Heading2"/>
      </w:pPr>
      <w:r>
        <w:t>6.4 Palo Alto Acquisition</w:t>
      </w:r>
    </w:p>
    <w:p>
      <w:r>
        <w:t>Palo Alto acquisition must use the XML API. Minimum required API functions are:</w:t>
      </w:r>
    </w:p>
    <w:p>
      <w:pPr>
        <w:pStyle w:val="CodeBlock"/>
      </w:pPr>
      <w:r>
        <w:rPr>
          <w:rFonts w:ascii="Courier New" w:hAnsi="Courier New" w:eastAsia="Courier New"/>
          <w:sz w:val="17"/>
        </w:rPr>
        <w:t>type=keygen</w:t>
      </w:r>
      <w:r>
        <w:br/>
      </w:r>
      <w:r>
        <w:rPr>
          <w:rFonts w:ascii="Courier New" w:hAnsi="Courier New" w:eastAsia="Courier New"/>
          <w:sz w:val="17"/>
        </w:rPr>
        <w:t>type=config&amp;action=show</w:t>
      </w:r>
      <w:r>
        <w:br/>
      </w:r>
      <w:r>
        <w:rPr>
          <w:rFonts w:ascii="Courier New" w:hAnsi="Courier New" w:eastAsia="Courier New"/>
          <w:sz w:val="17"/>
        </w:rPr>
        <w:t>type=op</w:t>
      </w:r>
      <w:r>
        <w:br/>
      </w:r>
    </w:p>
    <w:p>
      <w:r>
        <w:t>Minimum required extraction targets are:</w:t>
      </w:r>
    </w:p>
    <w:p>
      <w:pPr>
        <w:pStyle w:val="CodeBlock"/>
      </w:pPr>
      <w:r>
        <w:rPr>
          <w:rFonts w:ascii="Courier New" w:hAnsi="Courier New" w:eastAsia="Courier New"/>
          <w:sz w:val="17"/>
        </w:rPr>
        <w:t>/config/devices/entry/vsys/entry/rulebase/security</w:t>
      </w:r>
      <w:r>
        <w:br/>
      </w:r>
      <w:r>
        <w:rPr>
          <w:rFonts w:ascii="Courier New" w:hAnsi="Courier New" w:eastAsia="Courier New"/>
          <w:sz w:val="17"/>
        </w:rPr>
        <w:t>/config/devices/entry/vsys/entry/address</w:t>
      </w:r>
      <w:r>
        <w:br/>
      </w:r>
      <w:r>
        <w:rPr>
          <w:rFonts w:ascii="Courier New" w:hAnsi="Courier New" w:eastAsia="Courier New"/>
          <w:sz w:val="17"/>
        </w:rPr>
        <w:t>/config/devices/entry/vsys/entry/address-group</w:t>
      </w:r>
      <w:r>
        <w:br/>
      </w:r>
      <w:r>
        <w:rPr>
          <w:rFonts w:ascii="Courier New" w:hAnsi="Courier New" w:eastAsia="Courier New"/>
          <w:sz w:val="17"/>
        </w:rPr>
        <w:t>/config/devices/entry/vsys/entry/service</w:t>
      </w:r>
      <w:r>
        <w:br/>
      </w:r>
      <w:r>
        <w:rPr>
          <w:rFonts w:ascii="Courier New" w:hAnsi="Courier New" w:eastAsia="Courier New"/>
          <w:sz w:val="17"/>
        </w:rPr>
        <w:t>/config/devices/entry/vsys/entry/service-group</w:t>
      </w:r>
      <w:r>
        <w:br/>
      </w:r>
    </w:p>
    <w:p>
      <w:r>
        <w:t>The current project phase confirms Palo Alto XML API validation, including API key generation, operational commands, configuration extraction, and rulebase extraction.</w:t>
      </w:r>
    </w:p>
    <w:p>
      <w:pPr>
        <w:pStyle w:val="Heading2"/>
      </w:pPr>
      <w:r>
        <w:t>6.5 Acquisition Scheduling</w:t>
      </w:r>
    </w:p>
    <w:p>
      <w:r>
        <w:t>Acquisition must not run inside the web request cycle. The frontend must never wait for firewall polling to complete synchronously.</w:t>
      </w:r>
    </w:p>
    <w:p>
      <w:pPr>
        <w:pStyle w:val="CodeBlock"/>
      </w:pPr>
      <w:r>
        <w:rPr>
          <w:rFonts w:ascii="Courier New" w:hAnsi="Courier New" w:eastAsia="Courier New"/>
          <w:sz w:val="17"/>
        </w:rPr>
        <w:t>User clicks "Run Extraction"</w:t>
      </w:r>
      <w:r>
        <w:br/>
      </w:r>
      <w:r>
        <w:rPr>
          <w:rFonts w:ascii="Courier New" w:hAnsi="Courier New" w:eastAsia="Courier New"/>
          <w:sz w:val="17"/>
        </w:rPr>
        <w:t xml:space="preserve">        ↓</w:t>
      </w:r>
      <w:r>
        <w:br/>
      </w:r>
      <w:r>
        <w:rPr>
          <w:rFonts w:ascii="Courier New" w:hAnsi="Courier New" w:eastAsia="Courier New"/>
          <w:sz w:val="17"/>
        </w:rPr>
        <w:t>FastAPI creates polling job</w:t>
      </w:r>
      <w:r>
        <w:br/>
      </w:r>
      <w:r>
        <w:rPr>
          <w:rFonts w:ascii="Courier New" w:hAnsi="Courier New" w:eastAsia="Courier New"/>
          <w:sz w:val="17"/>
        </w:rPr>
        <w:t xml:space="preserve">        ↓</w:t>
      </w:r>
      <w:r>
        <w:br/>
      </w:r>
      <w:r>
        <w:rPr>
          <w:rFonts w:ascii="Courier New" w:hAnsi="Courier New" w:eastAsia="Courier New"/>
          <w:sz w:val="17"/>
        </w:rPr>
        <w:t>Job is pushed to Redis</w:t>
      </w:r>
      <w:r>
        <w:br/>
      </w:r>
      <w:r>
        <w:rPr>
          <w:rFonts w:ascii="Courier New" w:hAnsi="Courier New" w:eastAsia="Courier New"/>
          <w:sz w:val="17"/>
        </w:rPr>
        <w:t xml:space="preserve">        ↓</w:t>
      </w:r>
      <w:r>
        <w:br/>
      </w:r>
      <w:r>
        <w:rPr>
          <w:rFonts w:ascii="Courier New" w:hAnsi="Courier New" w:eastAsia="Courier New"/>
          <w:sz w:val="17"/>
        </w:rPr>
        <w:t>Celery worker executes extraction</w:t>
      </w:r>
      <w:r>
        <w:br/>
      </w:r>
      <w:r>
        <w:rPr>
          <w:rFonts w:ascii="Courier New" w:hAnsi="Courier New" w:eastAsia="Courier New"/>
          <w:sz w:val="17"/>
        </w:rPr>
        <w:t xml:space="preserve">        ↓</w:t>
      </w:r>
      <w:r>
        <w:br/>
      </w:r>
      <w:r>
        <w:rPr>
          <w:rFonts w:ascii="Courier New" w:hAnsi="Courier New" w:eastAsia="Courier New"/>
          <w:sz w:val="17"/>
        </w:rPr>
        <w:t>Worker writes result to PostgreSQL</w:t>
      </w:r>
      <w:r>
        <w:br/>
      </w:r>
      <w:r>
        <w:rPr>
          <w:rFonts w:ascii="Courier New" w:hAnsi="Courier New" w:eastAsia="Courier New"/>
          <w:sz w:val="17"/>
        </w:rPr>
        <w:t xml:space="preserve">        ↓</w:t>
      </w:r>
      <w:r>
        <w:br/>
      </w:r>
      <w:r>
        <w:rPr>
          <w:rFonts w:ascii="Courier New" w:hAnsi="Courier New" w:eastAsia="Courier New"/>
          <w:sz w:val="17"/>
        </w:rPr>
        <w:t>Frontend polls job status or receives update</w:t>
      </w:r>
      <w:r>
        <w:br/>
      </w:r>
    </w:p>
    <w:p>
      <w:pPr>
        <w:pStyle w:val="Heading2"/>
      </w:pPr>
      <w:r>
        <w:t>6.6 Acquisition Job States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sz w:val="18"/>
              </w:rPr>
            </w:r>
            <w:r>
              <w:rPr>
                <w:b/>
                <w:color w:val="FFFFFF"/>
                <w:sz w:val="18"/>
              </w:rPr>
              <w:t>State</w:t>
            </w:r>
          </w:p>
        </w:tc>
        <w:tc>
          <w:tcPr>
            <w:tcW w:type="dxa" w:w="5112"/>
            <w:shd w:fill="1F4E79"/>
            <w:vAlign w:val="center"/>
          </w:tcPr>
          <w:p>
            <w:r>
              <w:rPr>
                <w:sz w:val="18"/>
              </w:rPr>
            </w:r>
            <w:r>
              <w:rPr>
                <w:b/>
                <w:color w:val="FFFFFF"/>
                <w:sz w:val="18"/>
              </w:rPr>
              <w:t>Meaning</w:t>
            </w:r>
          </w:p>
        </w:tc>
      </w:tr>
      <w:tr>
        <w:tc>
          <w:tcPr>
            <w:tcW w:type="dxa" w:w="5112"/>
            <w:vAlign w:val="center"/>
          </w:tcPr>
          <w:p>
            <w:r>
              <w:rPr>
                <w:sz w:val="18"/>
              </w:rPr>
            </w:r>
            <w:r>
              <w:rPr>
                <w:b w:val="0"/>
                <w:sz w:val="18"/>
              </w:rPr>
              <w:t>queued</w:t>
            </w:r>
          </w:p>
        </w:tc>
        <w:tc>
          <w:tcPr>
            <w:tcW w:type="dxa" w:w="5112"/>
            <w:vAlign w:val="center"/>
          </w:tcPr>
          <w:p>
            <w:r>
              <w:rPr>
                <w:sz w:val="18"/>
              </w:rPr>
            </w:r>
            <w:r>
              <w:rPr>
                <w:b w:val="0"/>
                <w:sz w:val="18"/>
              </w:rPr>
              <w:t>Job created but not started</w:t>
            </w:r>
          </w:p>
        </w:tc>
      </w:tr>
      <w:tr>
        <w:tc>
          <w:tcPr>
            <w:tcW w:type="dxa" w:w="5112"/>
            <w:vAlign w:val="center"/>
          </w:tcPr>
          <w:p>
            <w:r>
              <w:rPr>
                <w:sz w:val="18"/>
              </w:rPr>
            </w:r>
            <w:r>
              <w:rPr>
                <w:b w:val="0"/>
                <w:sz w:val="18"/>
              </w:rPr>
              <w:t>running</w:t>
            </w:r>
          </w:p>
        </w:tc>
        <w:tc>
          <w:tcPr>
            <w:tcW w:type="dxa" w:w="5112"/>
            <w:vAlign w:val="center"/>
          </w:tcPr>
          <w:p>
            <w:r>
              <w:rPr>
                <w:sz w:val="18"/>
              </w:rPr>
            </w:r>
            <w:r>
              <w:rPr>
                <w:b w:val="0"/>
                <w:sz w:val="18"/>
              </w:rPr>
              <w:t>Worker is actively polling</w:t>
            </w:r>
          </w:p>
        </w:tc>
      </w:tr>
      <w:tr>
        <w:tc>
          <w:tcPr>
            <w:tcW w:type="dxa" w:w="5112"/>
            <w:vAlign w:val="center"/>
          </w:tcPr>
          <w:p>
            <w:r>
              <w:rPr>
                <w:sz w:val="18"/>
              </w:rPr>
            </w:r>
            <w:r>
              <w:rPr>
                <w:b w:val="0"/>
                <w:sz w:val="18"/>
              </w:rPr>
              <w:t>success</w:t>
            </w:r>
          </w:p>
        </w:tc>
        <w:tc>
          <w:tcPr>
            <w:tcW w:type="dxa" w:w="5112"/>
            <w:vAlign w:val="center"/>
          </w:tcPr>
          <w:p>
            <w:r>
              <w:rPr>
                <w:sz w:val="18"/>
              </w:rPr>
            </w:r>
            <w:r>
              <w:rPr>
                <w:b w:val="0"/>
                <w:sz w:val="18"/>
              </w:rPr>
              <w:t>Extraction completed</w:t>
            </w:r>
          </w:p>
        </w:tc>
      </w:tr>
      <w:tr>
        <w:tc>
          <w:tcPr>
            <w:tcW w:type="dxa" w:w="5112"/>
            <w:vAlign w:val="center"/>
          </w:tcPr>
          <w:p>
            <w:r>
              <w:rPr>
                <w:sz w:val="18"/>
              </w:rPr>
            </w:r>
            <w:r>
              <w:rPr>
                <w:b w:val="0"/>
                <w:sz w:val="18"/>
              </w:rPr>
              <w:t>partial_success</w:t>
            </w:r>
          </w:p>
        </w:tc>
        <w:tc>
          <w:tcPr>
            <w:tcW w:type="dxa" w:w="5112"/>
            <w:vAlign w:val="center"/>
          </w:tcPr>
          <w:p>
            <w:r>
              <w:rPr>
                <w:sz w:val="18"/>
              </w:rPr>
            </w:r>
            <w:r>
              <w:rPr>
                <w:b w:val="0"/>
                <w:sz w:val="18"/>
              </w:rPr>
              <w:t>Some data collected but warnings occurred</w:t>
            </w:r>
          </w:p>
        </w:tc>
      </w:tr>
      <w:tr>
        <w:tc>
          <w:tcPr>
            <w:tcW w:type="dxa" w:w="5112"/>
            <w:vAlign w:val="center"/>
          </w:tcPr>
          <w:p>
            <w:r>
              <w:rPr>
                <w:sz w:val="18"/>
              </w:rPr>
            </w:r>
            <w:r>
              <w:rPr>
                <w:b w:val="0"/>
                <w:sz w:val="18"/>
              </w:rPr>
              <w:t>failed</w:t>
            </w:r>
          </w:p>
        </w:tc>
        <w:tc>
          <w:tcPr>
            <w:tcW w:type="dxa" w:w="5112"/>
            <w:vAlign w:val="center"/>
          </w:tcPr>
          <w:p>
            <w:r>
              <w:rPr>
                <w:sz w:val="18"/>
              </w:rPr>
            </w:r>
            <w:r>
              <w:rPr>
                <w:b w:val="0"/>
                <w:sz w:val="18"/>
              </w:rPr>
              <w:t>Extraction failed</w:t>
            </w:r>
          </w:p>
        </w:tc>
      </w:tr>
      <w:tr>
        <w:tc>
          <w:tcPr>
            <w:tcW w:type="dxa" w:w="5112"/>
            <w:vAlign w:val="center"/>
          </w:tcPr>
          <w:p>
            <w:r>
              <w:rPr>
                <w:sz w:val="18"/>
              </w:rPr>
            </w:r>
            <w:r>
              <w:rPr>
                <w:b w:val="0"/>
                <w:sz w:val="18"/>
              </w:rPr>
              <w:t>timeout</w:t>
            </w:r>
          </w:p>
        </w:tc>
        <w:tc>
          <w:tcPr>
            <w:tcW w:type="dxa" w:w="5112"/>
            <w:vAlign w:val="center"/>
          </w:tcPr>
          <w:p>
            <w:r>
              <w:rPr>
                <w:sz w:val="18"/>
              </w:rPr>
            </w:r>
            <w:r>
              <w:rPr>
                <w:b w:val="0"/>
                <w:sz w:val="18"/>
              </w:rPr>
              <w:t>Device did not respond in allowed time</w:t>
            </w:r>
          </w:p>
        </w:tc>
      </w:tr>
      <w:tr>
        <w:tc>
          <w:tcPr>
            <w:tcW w:type="dxa" w:w="5112"/>
            <w:vAlign w:val="center"/>
          </w:tcPr>
          <w:p>
            <w:r>
              <w:rPr>
                <w:sz w:val="18"/>
              </w:rPr>
            </w:r>
            <w:r>
              <w:rPr>
                <w:b w:val="0"/>
                <w:sz w:val="18"/>
              </w:rPr>
              <w:t>authentication_failed</w:t>
            </w:r>
          </w:p>
        </w:tc>
        <w:tc>
          <w:tcPr>
            <w:tcW w:type="dxa" w:w="5112"/>
            <w:vAlign w:val="center"/>
          </w:tcPr>
          <w:p>
            <w:r>
              <w:rPr>
                <w:sz w:val="18"/>
              </w:rPr>
            </w:r>
            <w:r>
              <w:rPr>
                <w:b w:val="0"/>
                <w:sz w:val="18"/>
              </w:rPr>
              <w:t>Token or credentials invalid</w:t>
            </w:r>
          </w:p>
        </w:tc>
      </w:tr>
      <w:tr>
        <w:tc>
          <w:tcPr>
            <w:tcW w:type="dxa" w:w="5112"/>
            <w:vAlign w:val="center"/>
          </w:tcPr>
          <w:p>
            <w:r>
              <w:rPr>
                <w:sz w:val="18"/>
              </w:rPr>
            </w:r>
            <w:r>
              <w:rPr>
                <w:b w:val="0"/>
                <w:sz w:val="18"/>
              </w:rPr>
              <w:t>parsing_failed</w:t>
            </w:r>
          </w:p>
        </w:tc>
        <w:tc>
          <w:tcPr>
            <w:tcW w:type="dxa" w:w="5112"/>
            <w:vAlign w:val="center"/>
          </w:tcPr>
          <w:p>
            <w:r>
              <w:rPr>
                <w:sz w:val="18"/>
              </w:rPr>
            </w:r>
            <w:r>
              <w:rPr>
                <w:b w:val="0"/>
                <w:sz w:val="18"/>
              </w:rPr>
              <w:t>Raw data collected but parser failed</w:t>
            </w:r>
          </w:p>
        </w:tc>
      </w:tr>
    </w:tbl>
    <w:p/>
    <w:p>
      <w:pPr>
        <w:pStyle w:val="Heading1"/>
      </w:pPr>
      <w:r>
        <w:t>7. Layer 2 — Parsing Layer</w:t>
      </w:r>
    </w:p>
    <w:p>
      <w:pPr>
        <w:pStyle w:val="Heading2"/>
      </w:pPr>
      <w:r>
        <w:t>7.1 Responsibility</w:t>
      </w:r>
    </w:p>
    <w:p>
      <w:r>
        <w:t>The parsing layer converts raw vendor responses into structured vendor-specific parser models. It understands vendor formats but must not perform anomaly detection.</w:t>
      </w:r>
    </w:p>
    <w:p>
      <w:pPr>
        <w:pStyle w:val="CodeBlock"/>
      </w:pPr>
      <w:r>
        <w:rPr>
          <w:rFonts w:ascii="Courier New" w:hAnsi="Courier New" w:eastAsia="Courier New"/>
          <w:sz w:val="17"/>
        </w:rPr>
        <w:t>FortiGate JSON → FortiGateParsedPolicy</w:t>
      </w:r>
      <w:r>
        <w:br/>
      </w:r>
      <w:r>
        <w:rPr>
          <w:rFonts w:ascii="Courier New" w:hAnsi="Courier New" w:eastAsia="Courier New"/>
          <w:sz w:val="17"/>
        </w:rPr>
        <w:t>Palo Alto XML → PaloAltoParsedPolicy</w:t>
      </w:r>
      <w:r>
        <w:br/>
      </w:r>
    </w:p>
    <w:p>
      <w:pPr>
        <w:pStyle w:val="Heading2"/>
      </w:pPr>
      <w:r>
        <w:t>7.2 Parser Inputs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sz w:val="18"/>
              </w:rPr>
            </w:r>
            <w:r>
              <w:rPr>
                <w:b/>
                <w:color w:val="FFFFFF"/>
                <w:sz w:val="18"/>
              </w:rPr>
              <w:t>Vendor</w:t>
            </w:r>
          </w:p>
        </w:tc>
        <w:tc>
          <w:tcPr>
            <w:tcW w:type="dxa" w:w="5112"/>
            <w:shd w:fill="1F4E79"/>
            <w:vAlign w:val="center"/>
          </w:tcPr>
          <w:p>
            <w:r>
              <w:rPr>
                <w:sz w:val="18"/>
              </w:rPr>
            </w:r>
            <w:r>
              <w:rPr>
                <w:b/>
                <w:color w:val="FFFFFF"/>
                <w:sz w:val="18"/>
              </w:rPr>
              <w:t>Raw Input</w:t>
            </w:r>
          </w:p>
        </w:tc>
      </w:tr>
      <w:tr>
        <w:tc>
          <w:tcPr>
            <w:tcW w:type="dxa" w:w="5112"/>
            <w:vAlign w:val="center"/>
          </w:tcPr>
          <w:p>
            <w:r>
              <w:rPr>
                <w:sz w:val="18"/>
              </w:rPr>
            </w:r>
            <w:r>
              <w:rPr>
                <w:b w:val="0"/>
                <w:sz w:val="18"/>
              </w:rPr>
              <w:t>FortiGate</w:t>
            </w:r>
          </w:p>
        </w:tc>
        <w:tc>
          <w:tcPr>
            <w:tcW w:type="dxa" w:w="5112"/>
            <w:vAlign w:val="center"/>
          </w:tcPr>
          <w:p>
            <w:r>
              <w:rPr>
                <w:sz w:val="18"/>
              </w:rPr>
            </w:r>
            <w:r>
              <w:rPr>
                <w:b w:val="0"/>
                <w:sz w:val="18"/>
              </w:rPr>
              <w:t>JSON</w:t>
            </w:r>
          </w:p>
        </w:tc>
      </w:tr>
      <w:tr>
        <w:tc>
          <w:tcPr>
            <w:tcW w:type="dxa" w:w="5112"/>
            <w:vAlign w:val="center"/>
          </w:tcPr>
          <w:p>
            <w:r>
              <w:rPr>
                <w:sz w:val="18"/>
              </w:rPr>
            </w:r>
            <w:r>
              <w:rPr>
                <w:b w:val="0"/>
                <w:sz w:val="18"/>
              </w:rPr>
              <w:t>Palo Alto</w:t>
            </w:r>
          </w:p>
        </w:tc>
        <w:tc>
          <w:tcPr>
            <w:tcW w:type="dxa" w:w="5112"/>
            <w:vAlign w:val="center"/>
          </w:tcPr>
          <w:p>
            <w:r>
              <w:rPr>
                <w:sz w:val="18"/>
              </w:rPr>
            </w:r>
            <w:r>
              <w:rPr>
                <w:b w:val="0"/>
                <w:sz w:val="18"/>
              </w:rPr>
              <w:t>XML</w:t>
            </w:r>
          </w:p>
        </w:tc>
      </w:tr>
    </w:tbl>
    <w:p/>
    <w:p>
      <w:pPr>
        <w:pStyle w:val="Heading2"/>
      </w:pPr>
      <w:r>
        <w:t>7.3 Parser Outputs</w:t>
      </w:r>
    </w:p>
    <w:p>
      <w:r>
        <w:t>Parser output must include the following data elements:</w:t>
      </w:r>
    </w:p>
    <w:p>
      <w:pPr>
        <w:pStyle w:val="ListBullet"/>
      </w:pPr>
      <w:r>
        <w:t>Device identity</w:t>
      </w:r>
    </w:p>
    <w:p>
      <w:pPr>
        <w:pStyle w:val="ListBullet"/>
      </w:pPr>
      <w:r>
        <w:t>Vendor identity</w:t>
      </w:r>
    </w:p>
    <w:p>
      <w:pPr>
        <w:pStyle w:val="ListBullet"/>
      </w:pPr>
      <w:r>
        <w:t>Firmware version</w:t>
      </w:r>
    </w:p>
    <w:p>
      <w:pPr>
        <w:pStyle w:val="ListBullet"/>
      </w:pPr>
      <w:r>
        <w:t>VDOM/VSYS</w:t>
      </w:r>
    </w:p>
    <w:p>
      <w:pPr>
        <w:pStyle w:val="ListBullet"/>
      </w:pPr>
      <w:r>
        <w:t>Rule name</w:t>
      </w:r>
    </w:p>
    <w:p>
      <w:pPr>
        <w:pStyle w:val="ListBullet"/>
      </w:pPr>
      <w:r>
        <w:t>Vendor rule ID</w:t>
      </w:r>
    </w:p>
    <w:p>
      <w:pPr>
        <w:pStyle w:val="ListBullet"/>
      </w:pPr>
      <w:r>
        <w:t>Vendor UUID if available</w:t>
      </w:r>
    </w:p>
    <w:p>
      <w:pPr>
        <w:pStyle w:val="ListBullet"/>
      </w:pPr>
      <w:r>
        <w:t>Rule order</w:t>
      </w:r>
    </w:p>
    <w:p>
      <w:pPr>
        <w:pStyle w:val="ListBullet"/>
      </w:pPr>
      <w:r>
        <w:t>Source zone/interface</w:t>
      </w:r>
    </w:p>
    <w:p>
      <w:pPr>
        <w:pStyle w:val="ListBullet"/>
      </w:pPr>
      <w:r>
        <w:t>Destination zone/interface</w:t>
      </w:r>
    </w:p>
    <w:p>
      <w:pPr>
        <w:pStyle w:val="ListBullet"/>
      </w:pPr>
      <w:r>
        <w:t>Source objects</w:t>
      </w:r>
    </w:p>
    <w:p>
      <w:pPr>
        <w:pStyle w:val="ListBullet"/>
      </w:pPr>
      <w:r>
        <w:t>Destination objects</w:t>
      </w:r>
    </w:p>
    <w:p>
      <w:pPr>
        <w:pStyle w:val="ListBullet"/>
      </w:pPr>
      <w:r>
        <w:t>Service objects</w:t>
      </w:r>
    </w:p>
    <w:p>
      <w:pPr>
        <w:pStyle w:val="ListBullet"/>
      </w:pPr>
      <w:r>
        <w:t>Action</w:t>
      </w:r>
    </w:p>
    <w:p>
      <w:pPr>
        <w:pStyle w:val="ListBullet"/>
      </w:pPr>
      <w:r>
        <w:t>Logging setting</w:t>
      </w:r>
    </w:p>
    <w:p>
      <w:pPr>
        <w:pStyle w:val="ListBullet"/>
      </w:pPr>
      <w:r>
        <w:t>Security profile group</w:t>
      </w:r>
    </w:p>
    <w:p>
      <w:pPr>
        <w:pStyle w:val="ListBullet"/>
      </w:pPr>
      <w:r>
        <w:t>Schedule</w:t>
      </w:r>
    </w:p>
    <w:p>
      <w:pPr>
        <w:pStyle w:val="ListBullet"/>
      </w:pPr>
      <w:r>
        <w:t>NAT setting where applicable</w:t>
      </w:r>
    </w:p>
    <w:p>
      <w:pPr>
        <w:pStyle w:val="ListBullet"/>
      </w:pPr>
      <w:r>
        <w:t>Description</w:t>
      </w:r>
    </w:p>
    <w:p>
      <w:pPr>
        <w:pStyle w:val="ListBullet"/>
      </w:pPr>
      <w:r>
        <w:t>Tags where applicable</w:t>
      </w:r>
    </w:p>
    <w:p>
      <w:pPr>
        <w:pStyle w:val="ListBullet"/>
      </w:pPr>
      <w:r>
        <w:t>Enabled/disabled status</w:t>
      </w:r>
    </w:p>
    <w:p>
      <w:r>
        <w:t>The existing schema already supports many of these fields in policy_rule, including vendor_uuid, vendor_type, vdom_vsys, rule_order, source/destination zone fields, logging, security profile, schedule, and timestamps.</w:t>
      </w:r>
    </w:p>
    <w:p>
      <w:pPr>
        <w:pStyle w:val="Heading1"/>
      </w:pPr>
      <w:r>
        <w:t>8. Layer 3 — Normalization Layer</w:t>
      </w:r>
    </w:p>
    <w:p>
      <w:pPr>
        <w:pStyle w:val="Heading2"/>
      </w:pPr>
      <w:r>
        <w:t>8.1 Responsibility</w:t>
      </w:r>
    </w:p>
    <w:p>
      <w:r>
        <w:t>The normalization layer converts parsed vendor models into a unified normalized policy model. The final locked decision is that the anomaly engine analyzes only normalized policies. Therefore, all anomaly logic must depend on the normalized repository, not directly on raw FortiGate or Palo Alto outputs.</w:t>
      </w:r>
    </w:p>
    <w:p>
      <w:pPr>
        <w:pStyle w:val="Heading2"/>
      </w:pPr>
      <w:r>
        <w:t>8.2 Normalization Duties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sz w:val="18"/>
              </w:rPr>
            </w:r>
            <w:r>
              <w:rPr>
                <w:b/>
                <w:color w:val="FFFFFF"/>
                <w:sz w:val="18"/>
              </w:rPr>
              <w:t>Area</w:t>
            </w:r>
          </w:p>
        </w:tc>
        <w:tc>
          <w:tcPr>
            <w:tcW w:type="dxa" w:w="5112"/>
            <w:shd w:fill="1F4E79"/>
            <w:vAlign w:val="center"/>
          </w:tcPr>
          <w:p>
            <w:r>
              <w:rPr>
                <w:sz w:val="18"/>
              </w:rPr>
            </w:r>
            <w:r>
              <w:rPr>
                <w:b/>
                <w:color w:val="FFFFFF"/>
                <w:sz w:val="18"/>
              </w:rPr>
              <w:t>Examples</w:t>
            </w:r>
          </w:p>
        </w:tc>
      </w:tr>
      <w:tr>
        <w:tc>
          <w:tcPr>
            <w:tcW w:type="dxa" w:w="5112"/>
            <w:vAlign w:val="center"/>
          </w:tcPr>
          <w:p>
            <w:r>
              <w:rPr>
                <w:sz w:val="18"/>
              </w:rPr>
            </w:r>
            <w:r>
              <w:rPr>
                <w:b w:val="0"/>
                <w:sz w:val="18"/>
              </w:rPr>
              <w:t>Vendors</w:t>
            </w:r>
          </w:p>
        </w:tc>
        <w:tc>
          <w:tcPr>
            <w:tcW w:type="dxa" w:w="5112"/>
            <w:vAlign w:val="center"/>
          </w:tcPr>
          <w:p>
            <w:r>
              <w:rPr>
                <w:sz w:val="18"/>
              </w:rPr>
            </w:r>
            <w:r>
              <w:rPr>
                <w:b w:val="0"/>
                <w:sz w:val="18"/>
              </w:rPr>
              <w:t>fortinet, paloalto</w:t>
            </w:r>
          </w:p>
        </w:tc>
      </w:tr>
      <w:tr>
        <w:tc>
          <w:tcPr>
            <w:tcW w:type="dxa" w:w="5112"/>
            <w:vAlign w:val="center"/>
          </w:tcPr>
          <w:p>
            <w:r>
              <w:rPr>
                <w:sz w:val="18"/>
              </w:rPr>
            </w:r>
            <w:r>
              <w:rPr>
                <w:b w:val="0"/>
                <w:sz w:val="18"/>
              </w:rPr>
              <w:t>Devices</w:t>
            </w:r>
          </w:p>
        </w:tc>
        <w:tc>
          <w:tcPr>
            <w:tcW w:type="dxa" w:w="5112"/>
            <w:vAlign w:val="center"/>
          </w:tcPr>
          <w:p>
            <w:r>
              <w:rPr>
                <w:sz w:val="18"/>
              </w:rPr>
            </w:r>
            <w:r>
              <w:rPr>
                <w:b w:val="0"/>
                <w:sz w:val="18"/>
              </w:rPr>
              <w:t>device IDs, hostnames, firmware</w:t>
            </w:r>
          </w:p>
        </w:tc>
      </w:tr>
      <w:tr>
        <w:tc>
          <w:tcPr>
            <w:tcW w:type="dxa" w:w="5112"/>
            <w:vAlign w:val="center"/>
          </w:tcPr>
          <w:p>
            <w:r>
              <w:rPr>
                <w:sz w:val="18"/>
              </w:rPr>
            </w:r>
            <w:r>
              <w:rPr>
                <w:b w:val="0"/>
                <w:sz w:val="18"/>
              </w:rPr>
              <w:t>Rule identity</w:t>
            </w:r>
          </w:p>
        </w:tc>
        <w:tc>
          <w:tcPr>
            <w:tcW w:type="dxa" w:w="5112"/>
            <w:vAlign w:val="center"/>
          </w:tcPr>
          <w:p>
            <w:r>
              <w:rPr>
                <w:sz w:val="18"/>
              </w:rPr>
            </w:r>
            <w:r>
              <w:rPr>
                <w:b w:val="0"/>
                <w:sz w:val="18"/>
              </w:rPr>
              <w:t>vendor UUID, vendor rule ID, internal rule ID</w:t>
            </w:r>
          </w:p>
        </w:tc>
      </w:tr>
      <w:tr>
        <w:tc>
          <w:tcPr>
            <w:tcW w:type="dxa" w:w="5112"/>
            <w:vAlign w:val="center"/>
          </w:tcPr>
          <w:p>
            <w:r>
              <w:rPr>
                <w:sz w:val="18"/>
              </w:rPr>
            </w:r>
            <w:r>
              <w:rPr>
                <w:b w:val="0"/>
                <w:sz w:val="18"/>
              </w:rPr>
              <w:t>Rule order</w:t>
            </w:r>
          </w:p>
        </w:tc>
        <w:tc>
          <w:tcPr>
            <w:tcW w:type="dxa" w:w="5112"/>
            <w:vAlign w:val="center"/>
          </w:tcPr>
          <w:p>
            <w:r>
              <w:rPr>
                <w:sz w:val="18"/>
              </w:rPr>
            </w:r>
            <w:r>
              <w:rPr>
                <w:b w:val="0"/>
                <w:sz w:val="18"/>
              </w:rPr>
              <w:t>numeric first-match order</w:t>
            </w:r>
          </w:p>
        </w:tc>
      </w:tr>
      <w:tr>
        <w:tc>
          <w:tcPr>
            <w:tcW w:type="dxa" w:w="5112"/>
            <w:vAlign w:val="center"/>
          </w:tcPr>
          <w:p>
            <w:r>
              <w:rPr>
                <w:sz w:val="18"/>
              </w:rPr>
            </w:r>
            <w:r>
              <w:rPr>
                <w:b w:val="0"/>
                <w:sz w:val="18"/>
              </w:rPr>
              <w:t>Zones/interfaces</w:t>
            </w:r>
          </w:p>
        </w:tc>
        <w:tc>
          <w:tcPr>
            <w:tcW w:type="dxa" w:w="5112"/>
            <w:vAlign w:val="center"/>
          </w:tcPr>
          <w:p>
            <w:r>
              <w:rPr>
                <w:sz w:val="18"/>
              </w:rPr>
            </w:r>
            <w:r>
              <w:rPr>
                <w:b w:val="0"/>
                <w:sz w:val="18"/>
              </w:rPr>
              <w:t>FortiGate interfaces and Palo Alto zones</w:t>
            </w:r>
          </w:p>
        </w:tc>
      </w:tr>
      <w:tr>
        <w:tc>
          <w:tcPr>
            <w:tcW w:type="dxa" w:w="5112"/>
            <w:vAlign w:val="center"/>
          </w:tcPr>
          <w:p>
            <w:r>
              <w:rPr>
                <w:sz w:val="18"/>
              </w:rPr>
            </w:r>
            <w:r>
              <w:rPr>
                <w:b w:val="0"/>
                <w:sz w:val="18"/>
              </w:rPr>
              <w:t>Source objects</w:t>
            </w:r>
          </w:p>
        </w:tc>
        <w:tc>
          <w:tcPr>
            <w:tcW w:type="dxa" w:w="5112"/>
            <w:vAlign w:val="center"/>
          </w:tcPr>
          <w:p>
            <w:r>
              <w:rPr>
                <w:sz w:val="18"/>
              </w:rPr>
            </w:r>
            <w:r>
              <w:rPr>
                <w:b w:val="0"/>
                <w:sz w:val="18"/>
              </w:rPr>
              <w:t>IP, CIDR, FQDN, object groups</w:t>
            </w:r>
          </w:p>
        </w:tc>
      </w:tr>
      <w:tr>
        <w:tc>
          <w:tcPr>
            <w:tcW w:type="dxa" w:w="5112"/>
            <w:vAlign w:val="center"/>
          </w:tcPr>
          <w:p>
            <w:r>
              <w:rPr>
                <w:sz w:val="18"/>
              </w:rPr>
            </w:r>
            <w:r>
              <w:rPr>
                <w:b w:val="0"/>
                <w:sz w:val="18"/>
              </w:rPr>
              <w:t>Destination objects</w:t>
            </w:r>
          </w:p>
        </w:tc>
        <w:tc>
          <w:tcPr>
            <w:tcW w:type="dxa" w:w="5112"/>
            <w:vAlign w:val="center"/>
          </w:tcPr>
          <w:p>
            <w:r>
              <w:rPr>
                <w:sz w:val="18"/>
              </w:rPr>
            </w:r>
            <w:r>
              <w:rPr>
                <w:b w:val="0"/>
                <w:sz w:val="18"/>
              </w:rPr>
              <w:t>IP, CIDR, FQDN, object groups</w:t>
            </w:r>
          </w:p>
        </w:tc>
      </w:tr>
      <w:tr>
        <w:tc>
          <w:tcPr>
            <w:tcW w:type="dxa" w:w="5112"/>
            <w:vAlign w:val="center"/>
          </w:tcPr>
          <w:p>
            <w:r>
              <w:rPr>
                <w:sz w:val="18"/>
              </w:rPr>
            </w:r>
            <w:r>
              <w:rPr>
                <w:b w:val="0"/>
                <w:sz w:val="18"/>
              </w:rPr>
              <w:t>Services</w:t>
            </w:r>
          </w:p>
        </w:tc>
        <w:tc>
          <w:tcPr>
            <w:tcW w:type="dxa" w:w="5112"/>
            <w:vAlign w:val="center"/>
          </w:tcPr>
          <w:p>
            <w:r>
              <w:rPr>
                <w:sz w:val="18"/>
              </w:rPr>
            </w:r>
            <w:r>
              <w:rPr>
                <w:b w:val="0"/>
                <w:sz w:val="18"/>
              </w:rPr>
              <w:t>TCP/UDP ports, service groups, applications</w:t>
            </w:r>
          </w:p>
        </w:tc>
      </w:tr>
      <w:tr>
        <w:tc>
          <w:tcPr>
            <w:tcW w:type="dxa" w:w="5112"/>
            <w:vAlign w:val="center"/>
          </w:tcPr>
          <w:p>
            <w:r>
              <w:rPr>
                <w:sz w:val="18"/>
              </w:rPr>
            </w:r>
            <w:r>
              <w:rPr>
                <w:b w:val="0"/>
                <w:sz w:val="18"/>
              </w:rPr>
              <w:t>Actions</w:t>
            </w:r>
          </w:p>
        </w:tc>
        <w:tc>
          <w:tcPr>
            <w:tcW w:type="dxa" w:w="5112"/>
            <w:vAlign w:val="center"/>
          </w:tcPr>
          <w:p>
            <w:r>
              <w:rPr>
                <w:sz w:val="18"/>
              </w:rPr>
            </w:r>
            <w:r>
              <w:rPr>
                <w:b w:val="0"/>
                <w:sz w:val="18"/>
              </w:rPr>
              <w:t>allow, deny, drop, reset</w:t>
            </w:r>
          </w:p>
        </w:tc>
      </w:tr>
      <w:tr>
        <w:tc>
          <w:tcPr>
            <w:tcW w:type="dxa" w:w="5112"/>
            <w:vAlign w:val="center"/>
          </w:tcPr>
          <w:p>
            <w:r>
              <w:rPr>
                <w:sz w:val="18"/>
              </w:rPr>
            </w:r>
            <w:r>
              <w:rPr>
                <w:b w:val="0"/>
                <w:sz w:val="18"/>
              </w:rPr>
              <w:t>Logging</w:t>
            </w:r>
          </w:p>
        </w:tc>
        <w:tc>
          <w:tcPr>
            <w:tcW w:type="dxa" w:w="5112"/>
            <w:vAlign w:val="center"/>
          </w:tcPr>
          <w:p>
            <w:r>
              <w:rPr>
                <w:sz w:val="18"/>
              </w:rPr>
            </w:r>
            <w:r>
              <w:rPr>
                <w:b w:val="0"/>
                <w:sz w:val="18"/>
              </w:rPr>
              <w:t>enabled, disabled, profile-based</w:t>
            </w:r>
          </w:p>
        </w:tc>
      </w:tr>
      <w:tr>
        <w:tc>
          <w:tcPr>
            <w:tcW w:type="dxa" w:w="5112"/>
            <w:vAlign w:val="center"/>
          </w:tcPr>
          <w:p>
            <w:r>
              <w:rPr>
                <w:sz w:val="18"/>
              </w:rPr>
            </w:r>
            <w:r>
              <w:rPr>
                <w:b w:val="0"/>
                <w:sz w:val="18"/>
              </w:rPr>
              <w:t>Security inspection</w:t>
            </w:r>
          </w:p>
        </w:tc>
        <w:tc>
          <w:tcPr>
            <w:tcW w:type="dxa" w:w="5112"/>
            <w:vAlign w:val="center"/>
          </w:tcPr>
          <w:p>
            <w:r>
              <w:rPr>
                <w:sz w:val="18"/>
              </w:rPr>
            </w:r>
            <w:r>
              <w:rPr>
                <w:b w:val="0"/>
                <w:sz w:val="18"/>
              </w:rPr>
              <w:t>protected, weak, missing</w:t>
            </w:r>
          </w:p>
        </w:tc>
      </w:tr>
      <w:tr>
        <w:tc>
          <w:tcPr>
            <w:tcW w:type="dxa" w:w="5112"/>
            <w:vAlign w:val="center"/>
          </w:tcPr>
          <w:p>
            <w:r>
              <w:rPr>
                <w:sz w:val="18"/>
              </w:rPr>
            </w:r>
            <w:r>
              <w:rPr>
                <w:b w:val="0"/>
                <w:sz w:val="18"/>
              </w:rPr>
              <w:t>Schedule</w:t>
            </w:r>
          </w:p>
        </w:tc>
        <w:tc>
          <w:tcPr>
            <w:tcW w:type="dxa" w:w="5112"/>
            <w:vAlign w:val="center"/>
          </w:tcPr>
          <w:p>
            <w:r>
              <w:rPr>
                <w:sz w:val="18"/>
              </w:rPr>
            </w:r>
            <w:r>
              <w:rPr>
                <w:b w:val="0"/>
                <w:sz w:val="18"/>
              </w:rPr>
              <w:t>always, named schedule, missing schedule</w:t>
            </w:r>
          </w:p>
        </w:tc>
      </w:tr>
      <w:tr>
        <w:tc>
          <w:tcPr>
            <w:tcW w:type="dxa" w:w="5112"/>
            <w:vAlign w:val="center"/>
          </w:tcPr>
          <w:p>
            <w:r>
              <w:rPr>
                <w:sz w:val="18"/>
              </w:rPr>
            </w:r>
            <w:r>
              <w:rPr>
                <w:b w:val="0"/>
                <w:sz w:val="18"/>
              </w:rPr>
              <w:t>NAT</w:t>
            </w:r>
          </w:p>
        </w:tc>
        <w:tc>
          <w:tcPr>
            <w:tcW w:type="dxa" w:w="5112"/>
            <w:vAlign w:val="center"/>
          </w:tcPr>
          <w:p>
            <w:r>
              <w:rPr>
                <w:sz w:val="18"/>
              </w:rPr>
            </w:r>
            <w:r>
              <w:rPr>
                <w:b w:val="0"/>
                <w:sz w:val="18"/>
              </w:rPr>
              <w:t>enabled/disabled where applicable</w:t>
            </w:r>
          </w:p>
        </w:tc>
      </w:tr>
      <w:tr>
        <w:tc>
          <w:tcPr>
            <w:tcW w:type="dxa" w:w="5112"/>
            <w:vAlign w:val="center"/>
          </w:tcPr>
          <w:p>
            <w:r>
              <w:rPr>
                <w:sz w:val="18"/>
              </w:rPr>
            </w:r>
            <w:r>
              <w:rPr>
                <w:b w:val="0"/>
                <w:sz w:val="18"/>
              </w:rPr>
              <w:t>Descriptions</w:t>
            </w:r>
          </w:p>
        </w:tc>
        <w:tc>
          <w:tcPr>
            <w:tcW w:type="dxa" w:w="5112"/>
            <w:vAlign w:val="center"/>
          </w:tcPr>
          <w:p>
            <w:r>
              <w:rPr>
                <w:sz w:val="18"/>
              </w:rPr>
            </w:r>
            <w:r>
              <w:rPr>
                <w:b w:val="0"/>
                <w:sz w:val="18"/>
              </w:rPr>
              <w:t>comments and intent text</w:t>
            </w:r>
          </w:p>
        </w:tc>
      </w:tr>
    </w:tbl>
    <w:p/>
    <w:p>
      <w:pPr>
        <w:pStyle w:val="Heading2"/>
      </w:pPr>
      <w:r>
        <w:t>8.3 Normalized Rule Model</w:t>
      </w:r>
    </w:p>
    <w:p>
      <w:r>
        <w:t>The development company should implement a normalized rule structure similar to the following model:</w:t>
      </w:r>
    </w:p>
    <w:p>
      <w:pPr>
        <w:pStyle w:val="CodeBlock"/>
      </w:pPr>
      <w:r>
        <w:rPr>
          <w:rFonts w:ascii="Courier New" w:hAnsi="Courier New" w:eastAsia="Courier New"/>
          <w:sz w:val="17"/>
        </w:rPr>
        <w:t>{</w:t>
      </w:r>
      <w:r>
        <w:br/>
      </w:r>
      <w:r>
        <w:rPr>
          <w:rFonts w:ascii="Courier New" w:hAnsi="Courier New" w:eastAsia="Courier New"/>
          <w:sz w:val="17"/>
        </w:rPr>
        <w:t xml:space="preserve">  "normalized_rule_id": "string",</w:t>
      </w:r>
      <w:r>
        <w:br/>
      </w:r>
      <w:r>
        <w:rPr>
          <w:rFonts w:ascii="Courier New" w:hAnsi="Courier New" w:eastAsia="Courier New"/>
          <w:sz w:val="17"/>
        </w:rPr>
        <w:t xml:space="preserve">  "internal_rule_id": 123,</w:t>
      </w:r>
      <w:r>
        <w:br/>
      </w:r>
      <w:r>
        <w:rPr>
          <w:rFonts w:ascii="Courier New" w:hAnsi="Courier New" w:eastAsia="Courier New"/>
          <w:sz w:val="17"/>
        </w:rPr>
        <w:t xml:space="preserve">  "device_id": 1,</w:t>
      </w:r>
      <w:r>
        <w:br/>
      </w:r>
      <w:r>
        <w:rPr>
          <w:rFonts w:ascii="Courier New" w:hAnsi="Courier New" w:eastAsia="Courier New"/>
          <w:sz w:val="17"/>
        </w:rPr>
        <w:t xml:space="preserve">  "vendor": "fortinet",</w:t>
      </w:r>
      <w:r>
        <w:br/>
      </w:r>
      <w:r>
        <w:rPr>
          <w:rFonts w:ascii="Courier New" w:hAnsi="Courier New" w:eastAsia="Courier New"/>
          <w:sz w:val="17"/>
        </w:rPr>
        <w:t xml:space="preserve">  "vendor_rule_id": "15",</w:t>
      </w:r>
      <w:r>
        <w:br/>
      </w:r>
      <w:r>
        <w:rPr>
          <w:rFonts w:ascii="Courier New" w:hAnsi="Courier New" w:eastAsia="Courier New"/>
          <w:sz w:val="17"/>
        </w:rPr>
        <w:t xml:space="preserve">  "vendor_uuid": "uuid-or-derived-id",</w:t>
      </w:r>
      <w:r>
        <w:br/>
      </w:r>
      <w:r>
        <w:rPr>
          <w:rFonts w:ascii="Courier New" w:hAnsi="Courier New" w:eastAsia="Courier New"/>
          <w:sz w:val="17"/>
        </w:rPr>
        <w:t xml:space="preserve">  "vdom_vsys": "root",</w:t>
      </w:r>
      <w:r>
        <w:br/>
      </w:r>
      <w:r>
        <w:rPr>
          <w:rFonts w:ascii="Courier New" w:hAnsi="Courier New" w:eastAsia="Courier New"/>
          <w:sz w:val="17"/>
        </w:rPr>
        <w:t xml:space="preserve">  "rule_name": "FGT_ALLOW_LAN_TO_DMZ_HTTPS",</w:t>
      </w:r>
      <w:r>
        <w:br/>
      </w:r>
      <w:r>
        <w:rPr>
          <w:rFonts w:ascii="Courier New" w:hAnsi="Courier New" w:eastAsia="Courier New"/>
          <w:sz w:val="17"/>
        </w:rPr>
        <w:t xml:space="preserve">  "rule_order": 10,</w:t>
      </w:r>
      <w:r>
        <w:br/>
      </w:r>
      <w:r>
        <w:rPr>
          <w:rFonts w:ascii="Courier New" w:hAnsi="Courier New" w:eastAsia="Courier New"/>
          <w:sz w:val="17"/>
        </w:rPr>
        <w:t xml:space="preserve">  "enabled": true,</w:t>
      </w:r>
      <w:r>
        <w:br/>
      </w:r>
      <w:r>
        <w:rPr>
          <w:rFonts w:ascii="Courier New" w:hAnsi="Courier New" w:eastAsia="Courier New"/>
          <w:sz w:val="17"/>
        </w:rPr>
        <w:t xml:space="preserve">  "source_zone": "LAN",</w:t>
      </w:r>
      <w:r>
        <w:br/>
      </w:r>
      <w:r>
        <w:rPr>
          <w:rFonts w:ascii="Courier New" w:hAnsi="Courier New" w:eastAsia="Courier New"/>
          <w:sz w:val="17"/>
        </w:rPr>
        <w:t xml:space="preserve">  "destination_zone": "DMZ",</w:t>
      </w:r>
      <w:r>
        <w:br/>
      </w:r>
      <w:r>
        <w:rPr>
          <w:rFonts w:ascii="Courier New" w:hAnsi="Courier New" w:eastAsia="Courier New"/>
          <w:sz w:val="17"/>
        </w:rPr>
        <w:t xml:space="preserve">  "sources": [</w:t>
      </w:r>
      <w:r>
        <w:br/>
      </w:r>
      <w:r>
        <w:rPr>
          <w:rFonts w:ascii="Courier New" w:hAnsi="Courier New" w:eastAsia="Courier New"/>
          <w:sz w:val="17"/>
        </w:rPr>
        <w:t xml:space="preserve">    {"name": "LAN_NET", "type": "cidr", "value": "10.10.10.0/24"}</w:t>
      </w:r>
      <w:r>
        <w:br/>
      </w:r>
      <w:r>
        <w:rPr>
          <w:rFonts w:ascii="Courier New" w:hAnsi="Courier New" w:eastAsia="Courier New"/>
          <w:sz w:val="17"/>
        </w:rPr>
        <w:t xml:space="preserve">  ],</w:t>
      </w:r>
      <w:r>
        <w:br/>
      </w:r>
      <w:r>
        <w:rPr>
          <w:rFonts w:ascii="Courier New" w:hAnsi="Courier New" w:eastAsia="Courier New"/>
          <w:sz w:val="17"/>
        </w:rPr>
        <w:t xml:space="preserve">  "destinations": [</w:t>
      </w:r>
      <w:r>
        <w:br/>
      </w:r>
      <w:r>
        <w:rPr>
          <w:rFonts w:ascii="Courier New" w:hAnsi="Courier New" w:eastAsia="Courier New"/>
          <w:sz w:val="17"/>
        </w:rPr>
        <w:t xml:space="preserve">    {"name": "WEB_SERVER", "type": "ip_address", "value": "10.10.20.10"}</w:t>
      </w:r>
      <w:r>
        <w:br/>
      </w:r>
      <w:r>
        <w:rPr>
          <w:rFonts w:ascii="Courier New" w:hAnsi="Courier New" w:eastAsia="Courier New"/>
          <w:sz w:val="17"/>
        </w:rPr>
        <w:t xml:space="preserve">  ],</w:t>
      </w:r>
      <w:r>
        <w:br/>
      </w:r>
      <w:r>
        <w:rPr>
          <w:rFonts w:ascii="Courier New" w:hAnsi="Courier New" w:eastAsia="Courier New"/>
          <w:sz w:val="17"/>
        </w:rPr>
        <w:t xml:space="preserve">  "services": [</w:t>
      </w:r>
      <w:r>
        <w:br/>
      </w:r>
      <w:r>
        <w:rPr>
          <w:rFonts w:ascii="Courier New" w:hAnsi="Courier New" w:eastAsia="Courier New"/>
          <w:sz w:val="17"/>
        </w:rPr>
        <w:t xml:space="preserve">    {"name": "HTTPS", "protocol": "tcp", "port": "443"}</w:t>
      </w:r>
      <w:r>
        <w:br/>
      </w:r>
      <w:r>
        <w:rPr>
          <w:rFonts w:ascii="Courier New" w:hAnsi="Courier New" w:eastAsia="Courier New"/>
          <w:sz w:val="17"/>
        </w:rPr>
        <w:t xml:space="preserve">  ],</w:t>
      </w:r>
      <w:r>
        <w:br/>
      </w:r>
      <w:r>
        <w:rPr>
          <w:rFonts w:ascii="Courier New" w:hAnsi="Courier New" w:eastAsia="Courier New"/>
          <w:sz w:val="17"/>
        </w:rPr>
        <w:t xml:space="preserve">  "action": "allow",</w:t>
      </w:r>
      <w:r>
        <w:br/>
      </w:r>
      <w:r>
        <w:rPr>
          <w:rFonts w:ascii="Courier New" w:hAnsi="Courier New" w:eastAsia="Courier New"/>
          <w:sz w:val="17"/>
        </w:rPr>
        <w:t xml:space="preserve">  "logging_enabled": true,</w:t>
      </w:r>
      <w:r>
        <w:br/>
      </w:r>
      <w:r>
        <w:rPr>
          <w:rFonts w:ascii="Courier New" w:hAnsi="Courier New" w:eastAsia="Courier New"/>
          <w:sz w:val="17"/>
        </w:rPr>
        <w:t xml:space="preserve">  "security_inspection_enabled": true,</w:t>
      </w:r>
      <w:r>
        <w:br/>
      </w:r>
      <w:r>
        <w:rPr>
          <w:rFonts w:ascii="Courier New" w:hAnsi="Courier New" w:eastAsia="Courier New"/>
          <w:sz w:val="17"/>
        </w:rPr>
        <w:t xml:space="preserve">  "security_profile_group": "default-inspection",</w:t>
      </w:r>
      <w:r>
        <w:br/>
      </w:r>
      <w:r>
        <w:rPr>
          <w:rFonts w:ascii="Courier New" w:hAnsi="Courier New" w:eastAsia="Courier New"/>
          <w:sz w:val="17"/>
        </w:rPr>
        <w:t xml:space="preserve">  "schedule": "always",</w:t>
      </w:r>
      <w:r>
        <w:br/>
      </w:r>
      <w:r>
        <w:rPr>
          <w:rFonts w:ascii="Courier New" w:hAnsi="Courier New" w:eastAsia="Courier New"/>
          <w:sz w:val="17"/>
        </w:rPr>
        <w:t xml:space="preserve">  "nat_enabled": false,</w:t>
      </w:r>
      <w:r>
        <w:br/>
      </w:r>
      <w:r>
        <w:rPr>
          <w:rFonts w:ascii="Courier New" w:hAnsi="Courier New" w:eastAsia="Courier New"/>
          <w:sz w:val="17"/>
        </w:rPr>
        <w:t xml:space="preserve">  "description": "Allow users to access web server"</w:t>
      </w:r>
      <w:r>
        <w:br/>
      </w:r>
      <w:r>
        <w:rPr>
          <w:rFonts w:ascii="Courier New" w:hAnsi="Courier New" w:eastAsia="Courier New"/>
          <w:sz w:val="17"/>
        </w:rPr>
        <w:t>}</w:t>
      </w:r>
      <w:r>
        <w:br/>
      </w:r>
    </w:p>
    <w:p>
      <w:pPr>
        <w:pStyle w:val="Heading2"/>
      </w:pPr>
      <w:r>
        <w:t>8.4 Normalization Rule</w:t>
      </w:r>
    </w:p>
    <w:p>
      <w:r>
        <w:t>Normalized values must preserve both canonical meaning and vendor traceability. The canonical value is used by the anomaly engine, while the original vendor value is retained for audit and reporting.</w:t>
      </w:r>
    </w:p>
    <w:p>
      <w:pPr>
        <w:pStyle w:val="CodeBlock"/>
      </w:pPr>
      <w:r>
        <w:rPr>
          <w:rFonts w:ascii="Courier New" w:hAnsi="Courier New" w:eastAsia="Courier New"/>
          <w:sz w:val="17"/>
        </w:rPr>
        <w:t>Canonical action: allow</w:t>
      </w:r>
      <w:r>
        <w:br/>
      </w:r>
      <w:r>
        <w:rPr>
          <w:rFonts w:ascii="Courier New" w:hAnsi="Courier New" w:eastAsia="Courier New"/>
          <w:sz w:val="17"/>
        </w:rPr>
        <w:t>Vendor action: accept / allow / permit</w:t>
      </w:r>
      <w:r>
        <w:br/>
      </w:r>
    </w:p>
    <w:p>
      <w:pPr>
        <w:pStyle w:val="Heading1"/>
      </w:pPr>
      <w:r>
        <w:t>9. Layer 4 — Repository Layer</w:t>
      </w:r>
    </w:p>
    <w:p>
      <w:pPr>
        <w:pStyle w:val="Heading2"/>
      </w:pPr>
      <w:r>
        <w:t>9.1 Responsibility</w:t>
      </w:r>
    </w:p>
    <w:p>
      <w:r>
        <w:t>The repository layer stores all normalized and operational data. The final locked decision is that PostgreSQL is the only v1 database. The existing schema defines the post-parsing storage model and supports multi-vendor, multi-device, multi-VDOM/VSYS deployments.</w:t>
      </w:r>
    </w:p>
    <w:p>
      <w:pPr>
        <w:pStyle w:val="Heading2"/>
      </w:pPr>
      <w:r>
        <w:t>9.2 Core Tables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sz w:val="18"/>
              </w:rPr>
            </w:r>
            <w:r>
              <w:rPr>
                <w:b/>
                <w:color w:val="FFFFFF"/>
                <w:sz w:val="18"/>
              </w:rPr>
              <w:t>Table</w:t>
            </w:r>
          </w:p>
        </w:tc>
        <w:tc>
          <w:tcPr>
            <w:tcW w:type="dxa" w:w="5112"/>
            <w:shd w:fill="1F4E79"/>
            <w:vAlign w:val="center"/>
          </w:tcPr>
          <w:p>
            <w:r>
              <w:rPr>
                <w:sz w:val="18"/>
              </w:rPr>
            </w:r>
            <w:r>
              <w:rPr>
                <w:b/>
                <w:color w:val="FFFFFF"/>
                <w:sz w:val="18"/>
              </w:rPr>
              <w:t>Purpose</w:t>
            </w:r>
          </w:p>
        </w:tc>
      </w:tr>
      <w:tr>
        <w:tc>
          <w:tcPr>
            <w:tcW w:type="dxa" w:w="5112"/>
            <w:vAlign w:val="center"/>
          </w:tcPr>
          <w:p>
            <w:r>
              <w:rPr>
                <w:sz w:val="18"/>
              </w:rPr>
            </w:r>
            <w:r>
              <w:rPr>
                <w:b w:val="0"/>
                <w:sz w:val="18"/>
              </w:rPr>
              <w:t>vendor</w:t>
            </w:r>
          </w:p>
        </w:tc>
        <w:tc>
          <w:tcPr>
            <w:tcW w:type="dxa" w:w="5112"/>
            <w:vAlign w:val="center"/>
          </w:tcPr>
          <w:p>
            <w:r>
              <w:rPr>
                <w:sz w:val="18"/>
              </w:rPr>
            </w:r>
            <w:r>
              <w:rPr>
                <w:b w:val="0"/>
                <w:sz w:val="18"/>
              </w:rPr>
              <w:t>Firewall vendor metadata</w:t>
            </w:r>
          </w:p>
        </w:tc>
      </w:tr>
      <w:tr>
        <w:tc>
          <w:tcPr>
            <w:tcW w:type="dxa" w:w="5112"/>
            <w:vAlign w:val="center"/>
          </w:tcPr>
          <w:p>
            <w:r>
              <w:rPr>
                <w:sz w:val="18"/>
              </w:rPr>
            </w:r>
            <w:r>
              <w:rPr>
                <w:b w:val="0"/>
                <w:sz w:val="18"/>
              </w:rPr>
              <w:t>firewall_device</w:t>
            </w:r>
          </w:p>
        </w:tc>
        <w:tc>
          <w:tcPr>
            <w:tcW w:type="dxa" w:w="5112"/>
            <w:vAlign w:val="center"/>
          </w:tcPr>
          <w:p>
            <w:r>
              <w:rPr>
                <w:sz w:val="18"/>
              </w:rPr>
            </w:r>
            <w:r>
              <w:rPr>
                <w:b w:val="0"/>
                <w:sz w:val="18"/>
              </w:rPr>
              <w:t>Managed firewall inventory</w:t>
            </w:r>
          </w:p>
        </w:tc>
      </w:tr>
      <w:tr>
        <w:tc>
          <w:tcPr>
            <w:tcW w:type="dxa" w:w="5112"/>
            <w:vAlign w:val="center"/>
          </w:tcPr>
          <w:p>
            <w:r>
              <w:rPr>
                <w:sz w:val="18"/>
              </w:rPr>
            </w:r>
            <w:r>
              <w:rPr>
                <w:b w:val="0"/>
                <w:sz w:val="18"/>
              </w:rPr>
              <w:t>policy_rule</w:t>
            </w:r>
          </w:p>
        </w:tc>
        <w:tc>
          <w:tcPr>
            <w:tcW w:type="dxa" w:w="5112"/>
            <w:vAlign w:val="center"/>
          </w:tcPr>
          <w:p>
            <w:r>
              <w:rPr>
                <w:sz w:val="18"/>
              </w:rPr>
            </w:r>
            <w:r>
              <w:rPr>
                <w:b w:val="0"/>
                <w:sz w:val="18"/>
              </w:rPr>
              <w:t>Main normalized rule table</w:t>
            </w:r>
          </w:p>
        </w:tc>
      </w:tr>
      <w:tr>
        <w:tc>
          <w:tcPr>
            <w:tcW w:type="dxa" w:w="5112"/>
            <w:vAlign w:val="center"/>
          </w:tcPr>
          <w:p>
            <w:r>
              <w:rPr>
                <w:sz w:val="18"/>
              </w:rPr>
            </w:r>
            <w:r>
              <w:rPr>
                <w:b w:val="0"/>
                <w:sz w:val="18"/>
              </w:rPr>
              <w:t>network_object</w:t>
            </w:r>
          </w:p>
        </w:tc>
        <w:tc>
          <w:tcPr>
            <w:tcW w:type="dxa" w:w="5112"/>
            <w:vAlign w:val="center"/>
          </w:tcPr>
          <w:p>
            <w:r>
              <w:rPr>
                <w:sz w:val="18"/>
              </w:rPr>
            </w:r>
            <w:r>
              <w:rPr>
                <w:b w:val="0"/>
                <w:sz w:val="18"/>
              </w:rPr>
              <w:t>Reusable objects</w:t>
            </w:r>
          </w:p>
        </w:tc>
      </w:tr>
      <w:tr>
        <w:tc>
          <w:tcPr>
            <w:tcW w:type="dxa" w:w="5112"/>
            <w:vAlign w:val="center"/>
          </w:tcPr>
          <w:p>
            <w:r>
              <w:rPr>
                <w:sz w:val="18"/>
              </w:rPr>
            </w:r>
            <w:r>
              <w:rPr>
                <w:b w:val="0"/>
                <w:sz w:val="18"/>
              </w:rPr>
              <w:t>rule_object_mapping</w:t>
            </w:r>
          </w:p>
        </w:tc>
        <w:tc>
          <w:tcPr>
            <w:tcW w:type="dxa" w:w="5112"/>
            <w:vAlign w:val="center"/>
          </w:tcPr>
          <w:p>
            <w:r>
              <w:rPr>
                <w:sz w:val="18"/>
              </w:rPr>
            </w:r>
            <w:r>
              <w:rPr>
                <w:b w:val="0"/>
                <w:sz w:val="18"/>
              </w:rPr>
              <w:t>Rule-to-object relationship</w:t>
            </w:r>
          </w:p>
        </w:tc>
      </w:tr>
      <w:tr>
        <w:tc>
          <w:tcPr>
            <w:tcW w:type="dxa" w:w="5112"/>
            <w:vAlign w:val="center"/>
          </w:tcPr>
          <w:p>
            <w:r>
              <w:rPr>
                <w:sz w:val="18"/>
              </w:rPr>
            </w:r>
            <w:r>
              <w:rPr>
                <w:b w:val="0"/>
                <w:sz w:val="18"/>
              </w:rPr>
              <w:t>rule_anomaly</w:t>
            </w:r>
          </w:p>
        </w:tc>
        <w:tc>
          <w:tcPr>
            <w:tcW w:type="dxa" w:w="5112"/>
            <w:vAlign w:val="center"/>
          </w:tcPr>
          <w:p>
            <w:r>
              <w:rPr>
                <w:sz w:val="18"/>
              </w:rPr>
            </w:r>
            <w:r>
              <w:rPr>
                <w:b w:val="0"/>
                <w:sz w:val="18"/>
              </w:rPr>
              <w:t>Detected anomalies</w:t>
            </w:r>
          </w:p>
        </w:tc>
      </w:tr>
      <w:tr>
        <w:tc>
          <w:tcPr>
            <w:tcW w:type="dxa" w:w="5112"/>
            <w:vAlign w:val="center"/>
          </w:tcPr>
          <w:p>
            <w:r>
              <w:rPr>
                <w:sz w:val="18"/>
              </w:rPr>
            </w:r>
            <w:r>
              <w:rPr>
                <w:b w:val="0"/>
                <w:sz w:val="18"/>
              </w:rPr>
              <w:t>threat_intelligence</w:t>
            </w:r>
          </w:p>
        </w:tc>
        <w:tc>
          <w:tcPr>
            <w:tcW w:type="dxa" w:w="5112"/>
            <w:vAlign w:val="center"/>
          </w:tcPr>
          <w:p>
            <w:r>
              <w:rPr>
                <w:sz w:val="18"/>
              </w:rPr>
            </w:r>
            <w:r>
              <w:rPr>
                <w:b w:val="0"/>
                <w:sz w:val="18"/>
              </w:rPr>
              <w:t>External threat records</w:t>
            </w:r>
          </w:p>
        </w:tc>
      </w:tr>
      <w:tr>
        <w:tc>
          <w:tcPr>
            <w:tcW w:type="dxa" w:w="5112"/>
            <w:vAlign w:val="center"/>
          </w:tcPr>
          <w:p>
            <w:r>
              <w:rPr>
                <w:sz w:val="18"/>
              </w:rPr>
            </w:r>
            <w:r>
              <w:rPr>
                <w:b w:val="0"/>
                <w:sz w:val="18"/>
              </w:rPr>
              <w:t>threat_correlation</w:t>
            </w:r>
          </w:p>
        </w:tc>
        <w:tc>
          <w:tcPr>
            <w:tcW w:type="dxa" w:w="5112"/>
            <w:vAlign w:val="center"/>
          </w:tcPr>
          <w:p>
            <w:r>
              <w:rPr>
                <w:sz w:val="18"/>
              </w:rPr>
            </w:r>
            <w:r>
              <w:rPr>
                <w:b w:val="0"/>
                <w:sz w:val="18"/>
              </w:rPr>
              <w:t>Threat-to-rule matches</w:t>
            </w:r>
          </w:p>
        </w:tc>
      </w:tr>
    </w:tbl>
    <w:p/>
    <w:p>
      <w:pPr>
        <w:pStyle w:val="Heading2"/>
      </w:pPr>
      <w:r>
        <w:t>9.3 Required LuminaFPM Schema Enhancements</w:t>
      </w:r>
    </w:p>
    <w:p>
      <w:r>
        <w:t>The development company must extend the current schema into Lumina Schema v4.</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sz w:val="18"/>
              </w:rPr>
            </w:r>
            <w:r>
              <w:rPr>
                <w:b/>
                <w:color w:val="FFFFFF"/>
                <w:sz w:val="18"/>
              </w:rPr>
              <w:t>New Table</w:t>
            </w:r>
          </w:p>
        </w:tc>
        <w:tc>
          <w:tcPr>
            <w:tcW w:type="dxa" w:w="5112"/>
            <w:shd w:fill="1F4E79"/>
            <w:vAlign w:val="center"/>
          </w:tcPr>
          <w:p>
            <w:r>
              <w:rPr>
                <w:sz w:val="18"/>
              </w:rPr>
            </w:r>
            <w:r>
              <w:rPr>
                <w:b/>
                <w:color w:val="FFFFFF"/>
                <w:sz w:val="18"/>
              </w:rPr>
              <w:t>Purpose</w:t>
            </w:r>
          </w:p>
        </w:tc>
      </w:tr>
      <w:tr>
        <w:tc>
          <w:tcPr>
            <w:tcW w:type="dxa" w:w="5112"/>
            <w:vAlign w:val="center"/>
          </w:tcPr>
          <w:p>
            <w:r>
              <w:rPr>
                <w:sz w:val="18"/>
              </w:rPr>
            </w:r>
            <w:r>
              <w:rPr>
                <w:b w:val="0"/>
                <w:sz w:val="18"/>
              </w:rPr>
              <w:t>normalized_object</w:t>
            </w:r>
          </w:p>
        </w:tc>
        <w:tc>
          <w:tcPr>
            <w:tcW w:type="dxa" w:w="5112"/>
            <w:vAlign w:val="center"/>
          </w:tcPr>
          <w:p>
            <w:r>
              <w:rPr>
                <w:sz w:val="18"/>
              </w:rPr>
            </w:r>
            <w:r>
              <w:rPr>
                <w:b w:val="0"/>
                <w:sz w:val="18"/>
              </w:rPr>
              <w:t>Canonical object representation</w:t>
            </w:r>
          </w:p>
        </w:tc>
      </w:tr>
      <w:tr>
        <w:tc>
          <w:tcPr>
            <w:tcW w:type="dxa" w:w="5112"/>
            <w:vAlign w:val="center"/>
          </w:tcPr>
          <w:p>
            <w:r>
              <w:rPr>
                <w:sz w:val="18"/>
              </w:rPr>
            </w:r>
            <w:r>
              <w:rPr>
                <w:b w:val="0"/>
                <w:sz w:val="18"/>
              </w:rPr>
              <w:t>object_normalization_mapping</w:t>
            </w:r>
          </w:p>
        </w:tc>
        <w:tc>
          <w:tcPr>
            <w:tcW w:type="dxa" w:w="5112"/>
            <w:vAlign w:val="center"/>
          </w:tcPr>
          <w:p>
            <w:r>
              <w:rPr>
                <w:sz w:val="18"/>
              </w:rPr>
            </w:r>
            <w:r>
              <w:rPr>
                <w:b w:val="0"/>
                <w:sz w:val="18"/>
              </w:rPr>
              <w:t>Maps vendor objects to canonical objects</w:t>
            </w:r>
          </w:p>
        </w:tc>
      </w:tr>
      <w:tr>
        <w:tc>
          <w:tcPr>
            <w:tcW w:type="dxa" w:w="5112"/>
            <w:vAlign w:val="center"/>
          </w:tcPr>
          <w:p>
            <w:r>
              <w:rPr>
                <w:sz w:val="18"/>
              </w:rPr>
            </w:r>
            <w:r>
              <w:rPr>
                <w:b w:val="0"/>
                <w:sz w:val="18"/>
              </w:rPr>
              <w:t>normalized_service</w:t>
            </w:r>
          </w:p>
        </w:tc>
        <w:tc>
          <w:tcPr>
            <w:tcW w:type="dxa" w:w="5112"/>
            <w:vAlign w:val="center"/>
          </w:tcPr>
          <w:p>
            <w:r>
              <w:rPr>
                <w:sz w:val="18"/>
              </w:rPr>
            </w:r>
            <w:r>
              <w:rPr>
                <w:b w:val="0"/>
                <w:sz w:val="18"/>
              </w:rPr>
              <w:t>Canonical service representation</w:t>
            </w:r>
          </w:p>
        </w:tc>
      </w:tr>
      <w:tr>
        <w:tc>
          <w:tcPr>
            <w:tcW w:type="dxa" w:w="5112"/>
            <w:vAlign w:val="center"/>
          </w:tcPr>
          <w:p>
            <w:r>
              <w:rPr>
                <w:sz w:val="18"/>
              </w:rPr>
            </w:r>
            <w:r>
              <w:rPr>
                <w:b w:val="0"/>
                <w:sz w:val="18"/>
              </w:rPr>
              <w:t>service_normalization_mapping</w:t>
            </w:r>
          </w:p>
        </w:tc>
        <w:tc>
          <w:tcPr>
            <w:tcW w:type="dxa" w:w="5112"/>
            <w:vAlign w:val="center"/>
          </w:tcPr>
          <w:p>
            <w:r>
              <w:rPr>
                <w:sz w:val="18"/>
              </w:rPr>
            </w:r>
            <w:r>
              <w:rPr>
                <w:b w:val="0"/>
                <w:sz w:val="18"/>
              </w:rPr>
              <w:t>Maps vendor services to canonical services</w:t>
            </w:r>
          </w:p>
        </w:tc>
      </w:tr>
      <w:tr>
        <w:tc>
          <w:tcPr>
            <w:tcW w:type="dxa" w:w="5112"/>
            <w:vAlign w:val="center"/>
          </w:tcPr>
          <w:p>
            <w:r>
              <w:rPr>
                <w:sz w:val="18"/>
              </w:rPr>
            </w:r>
            <w:r>
              <w:rPr>
                <w:b w:val="0"/>
                <w:sz w:val="18"/>
              </w:rPr>
              <w:t>risk_assessment</w:t>
            </w:r>
          </w:p>
        </w:tc>
        <w:tc>
          <w:tcPr>
            <w:tcW w:type="dxa" w:w="5112"/>
            <w:vAlign w:val="center"/>
          </w:tcPr>
          <w:p>
            <w:r>
              <w:rPr>
                <w:sz w:val="18"/>
              </w:rPr>
            </w:r>
            <w:r>
              <w:rPr>
                <w:b w:val="0"/>
                <w:sz w:val="18"/>
              </w:rPr>
              <w:t>Stores calculated rule/device risk</w:t>
            </w:r>
          </w:p>
        </w:tc>
      </w:tr>
      <w:tr>
        <w:tc>
          <w:tcPr>
            <w:tcW w:type="dxa" w:w="5112"/>
            <w:vAlign w:val="center"/>
          </w:tcPr>
          <w:p>
            <w:r>
              <w:rPr>
                <w:sz w:val="18"/>
              </w:rPr>
            </w:r>
            <w:r>
              <w:rPr>
                <w:b w:val="0"/>
                <w:sz w:val="18"/>
              </w:rPr>
              <w:t>anomaly_execution_log</w:t>
            </w:r>
          </w:p>
        </w:tc>
        <w:tc>
          <w:tcPr>
            <w:tcW w:type="dxa" w:w="5112"/>
            <w:vAlign w:val="center"/>
          </w:tcPr>
          <w:p>
            <w:r>
              <w:rPr>
                <w:sz w:val="18"/>
              </w:rPr>
            </w:r>
            <w:r>
              <w:rPr>
                <w:b w:val="0"/>
                <w:sz w:val="18"/>
              </w:rPr>
              <w:t>Tracks anomaly engine runs</w:t>
            </w:r>
          </w:p>
        </w:tc>
      </w:tr>
      <w:tr>
        <w:tc>
          <w:tcPr>
            <w:tcW w:type="dxa" w:w="5112"/>
            <w:vAlign w:val="center"/>
          </w:tcPr>
          <w:p>
            <w:r>
              <w:rPr>
                <w:sz w:val="18"/>
              </w:rPr>
            </w:r>
            <w:r>
              <w:rPr>
                <w:b w:val="0"/>
                <w:sz w:val="18"/>
              </w:rPr>
              <w:t>benchmark_case</w:t>
            </w:r>
          </w:p>
        </w:tc>
        <w:tc>
          <w:tcPr>
            <w:tcW w:type="dxa" w:w="5112"/>
            <w:vAlign w:val="center"/>
          </w:tcPr>
          <w:p>
            <w:r>
              <w:rPr>
                <w:sz w:val="18"/>
              </w:rPr>
            </w:r>
            <w:r>
              <w:rPr>
                <w:b w:val="0"/>
                <w:sz w:val="18"/>
              </w:rPr>
              <w:t>Stores ground-truth benchmark definitions</w:t>
            </w:r>
          </w:p>
        </w:tc>
      </w:tr>
      <w:tr>
        <w:tc>
          <w:tcPr>
            <w:tcW w:type="dxa" w:w="5112"/>
            <w:vAlign w:val="center"/>
          </w:tcPr>
          <w:p>
            <w:r>
              <w:rPr>
                <w:sz w:val="18"/>
              </w:rPr>
            </w:r>
            <w:r>
              <w:rPr>
                <w:b w:val="0"/>
                <w:sz w:val="18"/>
              </w:rPr>
              <w:t>benchmark_result</w:t>
            </w:r>
          </w:p>
        </w:tc>
        <w:tc>
          <w:tcPr>
            <w:tcW w:type="dxa" w:w="5112"/>
            <w:vAlign w:val="center"/>
          </w:tcPr>
          <w:p>
            <w:r>
              <w:rPr>
                <w:sz w:val="18"/>
              </w:rPr>
            </w:r>
            <w:r>
              <w:rPr>
                <w:b w:val="0"/>
                <w:sz w:val="18"/>
              </w:rPr>
              <w:t>Stores benchmark evaluation results</w:t>
            </w:r>
          </w:p>
        </w:tc>
      </w:tr>
      <w:tr>
        <w:tc>
          <w:tcPr>
            <w:tcW w:type="dxa" w:w="5112"/>
            <w:vAlign w:val="center"/>
          </w:tcPr>
          <w:p>
            <w:r>
              <w:rPr>
                <w:sz w:val="18"/>
              </w:rPr>
            </w:r>
            <w:r>
              <w:rPr>
                <w:b w:val="0"/>
                <w:sz w:val="18"/>
              </w:rPr>
              <w:t>cti_indicator</w:t>
            </w:r>
          </w:p>
        </w:tc>
        <w:tc>
          <w:tcPr>
            <w:tcW w:type="dxa" w:w="5112"/>
            <w:vAlign w:val="center"/>
          </w:tcPr>
          <w:p>
            <w:r>
              <w:rPr>
                <w:sz w:val="18"/>
              </w:rPr>
            </w:r>
            <w:r>
              <w:rPr>
                <w:b w:val="0"/>
                <w:sz w:val="18"/>
              </w:rPr>
              <w:t>Stores IP/FQDN/CVE indicators</w:t>
            </w:r>
          </w:p>
        </w:tc>
      </w:tr>
      <w:tr>
        <w:tc>
          <w:tcPr>
            <w:tcW w:type="dxa" w:w="5112"/>
            <w:vAlign w:val="center"/>
          </w:tcPr>
          <w:p>
            <w:r>
              <w:rPr>
                <w:sz w:val="18"/>
              </w:rPr>
            </w:r>
            <w:r>
              <w:rPr>
                <w:b w:val="0"/>
                <w:sz w:val="18"/>
              </w:rPr>
              <w:t>cti_observation</w:t>
            </w:r>
          </w:p>
        </w:tc>
        <w:tc>
          <w:tcPr>
            <w:tcW w:type="dxa" w:w="5112"/>
            <w:vAlign w:val="center"/>
          </w:tcPr>
          <w:p>
            <w:r>
              <w:rPr>
                <w:sz w:val="18"/>
              </w:rPr>
            </w:r>
            <w:r>
              <w:rPr>
                <w:b w:val="0"/>
                <w:sz w:val="18"/>
              </w:rPr>
              <w:t>Stores CTI provider responses</w:t>
            </w:r>
          </w:p>
        </w:tc>
      </w:tr>
      <w:tr>
        <w:tc>
          <w:tcPr>
            <w:tcW w:type="dxa" w:w="5112"/>
            <w:vAlign w:val="center"/>
          </w:tcPr>
          <w:p>
            <w:r>
              <w:rPr>
                <w:sz w:val="18"/>
              </w:rPr>
            </w:r>
            <w:r>
              <w:rPr>
                <w:b w:val="0"/>
                <w:sz w:val="18"/>
              </w:rPr>
              <w:t>llm_report</w:t>
            </w:r>
          </w:p>
        </w:tc>
        <w:tc>
          <w:tcPr>
            <w:tcW w:type="dxa" w:w="5112"/>
            <w:vAlign w:val="center"/>
          </w:tcPr>
          <w:p>
            <w:r>
              <w:rPr>
                <w:sz w:val="18"/>
              </w:rPr>
            </w:r>
            <w:r>
              <w:rPr>
                <w:b w:val="0"/>
                <w:sz w:val="18"/>
              </w:rPr>
              <w:t>Stores generated SOC reports</w:t>
            </w:r>
          </w:p>
        </w:tc>
      </w:tr>
    </w:tbl>
    <w:p/>
    <w:p>
      <w:pPr>
        <w:pStyle w:val="Heading2"/>
      </w:pPr>
      <w:r>
        <w:t>9.4 Required Modification to network_object</w:t>
      </w:r>
    </w:p>
    <w:p>
      <w:r>
        <w:t>The current network_object table stores object_id, name, type, and value. For LuminaFPM’s cross-vendor object model, it must be extended as follows:</w:t>
      </w:r>
    </w:p>
    <w:p>
      <w:pPr>
        <w:pStyle w:val="CodeBlock"/>
      </w:pPr>
      <w:r>
        <w:rPr>
          <w:rFonts w:ascii="Courier New" w:hAnsi="Courier New" w:eastAsia="Courier New"/>
          <w:sz w:val="17"/>
        </w:rPr>
        <w:t>object_id</w:t>
      </w:r>
      <w:r>
        <w:br/>
      </w:r>
      <w:r>
        <w:rPr>
          <w:rFonts w:ascii="Courier New" w:hAnsi="Courier New" w:eastAsia="Courier New"/>
          <w:sz w:val="17"/>
        </w:rPr>
        <w:t>device_id</w:t>
      </w:r>
      <w:r>
        <w:br/>
      </w:r>
      <w:r>
        <w:rPr>
          <w:rFonts w:ascii="Courier New" w:hAnsi="Courier New" w:eastAsia="Courier New"/>
          <w:sz w:val="17"/>
        </w:rPr>
        <w:t>vendor_id</w:t>
      </w:r>
      <w:r>
        <w:br/>
      </w:r>
      <w:r>
        <w:rPr>
          <w:rFonts w:ascii="Courier New" w:hAnsi="Courier New" w:eastAsia="Courier New"/>
          <w:sz w:val="17"/>
        </w:rPr>
        <w:t>vendor_object_id</w:t>
      </w:r>
      <w:r>
        <w:br/>
      </w:r>
      <w:r>
        <w:rPr>
          <w:rFonts w:ascii="Courier New" w:hAnsi="Courier New" w:eastAsia="Courier New"/>
          <w:sz w:val="17"/>
        </w:rPr>
        <w:t>vendor_uuid</w:t>
      </w:r>
      <w:r>
        <w:br/>
      </w:r>
      <w:r>
        <w:rPr>
          <w:rFonts w:ascii="Courier New" w:hAnsi="Courier New" w:eastAsia="Courier New"/>
          <w:sz w:val="17"/>
        </w:rPr>
        <w:t>name</w:t>
      </w:r>
      <w:r>
        <w:br/>
      </w:r>
      <w:r>
        <w:rPr>
          <w:rFonts w:ascii="Courier New" w:hAnsi="Courier New" w:eastAsia="Courier New"/>
          <w:sz w:val="17"/>
        </w:rPr>
        <w:t>type</w:t>
      </w:r>
      <w:r>
        <w:br/>
      </w:r>
      <w:r>
        <w:rPr>
          <w:rFonts w:ascii="Courier New" w:hAnsi="Courier New" w:eastAsia="Courier New"/>
          <w:sz w:val="17"/>
        </w:rPr>
        <w:t>value</w:t>
      </w:r>
      <w:r>
        <w:br/>
      </w:r>
      <w:r>
        <w:rPr>
          <w:rFonts w:ascii="Courier New" w:hAnsi="Courier New" w:eastAsia="Courier New"/>
          <w:sz w:val="17"/>
        </w:rPr>
        <w:t>created_at</w:t>
      </w:r>
      <w:r>
        <w:br/>
      </w:r>
      <w:r>
        <w:rPr>
          <w:rFonts w:ascii="Courier New" w:hAnsi="Courier New" w:eastAsia="Courier New"/>
          <w:sz w:val="17"/>
        </w:rPr>
        <w:t>updated_at</w:t>
      </w:r>
      <w:r>
        <w:br/>
      </w:r>
    </w:p>
    <w:p>
      <w:r>
        <w:t>A FortiGate object and a Palo Alto object may have the same name and value, but they must remain traceable to their original device and vendor.</w:t>
      </w:r>
    </w:p>
    <w:p>
      <w:pPr>
        <w:pStyle w:val="Heading2"/>
      </w:pPr>
      <w:r>
        <w:t>9.5 Object Correlation Model</w:t>
      </w:r>
    </w:p>
    <w:p>
      <w:r>
        <w:t>Final decision: use the correlation model. Vendor-owned objects remain separate, canonical normalized objects are created above them, and mapping tables connect vendor objects to canonical objects.</w:t>
      </w:r>
    </w:p>
    <w:p>
      <w:pPr>
        <w:pStyle w:val="CodeBlock"/>
      </w:pPr>
      <w:r>
        <w:rPr>
          <w:rFonts w:ascii="Courier New" w:hAnsi="Courier New" w:eastAsia="Courier New"/>
          <w:sz w:val="17"/>
        </w:rPr>
        <w:t>FortiGate WEB_SERVER 10.10.20.10</w:t>
      </w:r>
      <w:r>
        <w:br/>
      </w:r>
      <w:r>
        <w:rPr>
          <w:rFonts w:ascii="Courier New" w:hAnsi="Courier New" w:eastAsia="Courier New"/>
          <w:sz w:val="17"/>
        </w:rPr>
        <w:t xml:space="preserve">        ↓</w:t>
      </w:r>
      <w:r>
        <w:br/>
      </w:r>
      <w:r>
        <w:rPr>
          <w:rFonts w:ascii="Courier New" w:hAnsi="Courier New" w:eastAsia="Courier New"/>
          <w:sz w:val="17"/>
        </w:rPr>
        <w:t>Normalized Object: WEB_SERVER 10.10.20.10</w:t>
      </w:r>
      <w:r>
        <w:br/>
      </w:r>
      <w:r>
        <w:rPr>
          <w:rFonts w:ascii="Courier New" w:hAnsi="Courier New" w:eastAsia="Courier New"/>
          <w:sz w:val="17"/>
        </w:rPr>
        <w:t xml:space="preserve">        ↑</w:t>
      </w:r>
      <w:r>
        <w:br/>
      </w:r>
      <w:r>
        <w:rPr>
          <w:rFonts w:ascii="Courier New" w:hAnsi="Courier New" w:eastAsia="Courier New"/>
          <w:sz w:val="17"/>
        </w:rPr>
        <w:t>Palo Alto WEB_SERVER 10.10.20.10</w:t>
      </w:r>
      <w:r>
        <w:br/>
      </w:r>
    </w:p>
    <w:p>
      <w:r>
        <w:t>This supports cross-vendor comparison, object mismatch detection, duplicate object detection, object drift detection, cleaner graph visualization, and better anomaly detection.</w:t>
      </w:r>
    </w:p>
    <w:p>
      <w:pPr>
        <w:pStyle w:val="Heading1"/>
      </w:pPr>
      <w:r>
        <w:t>10. Layer 5 — Analysis Layer</w:t>
      </w:r>
    </w:p>
    <w:p>
      <w:pPr>
        <w:pStyle w:val="Heading2"/>
      </w:pPr>
      <w:r>
        <w:t>10.1 Responsibility</w:t>
      </w:r>
    </w:p>
    <w:p>
      <w:r>
        <w:t>The analysis layer detects firewall policy anomalies. It must be deterministic, explainable, repeatable, and benchmarkable. The anomaly framework defines 46 anomaly categories, including shadowing, redundancy, conflict, over-permissive rules, missing logging, weak profiles, cross-device inconsistency, compliance violation, and asymmetric rules.</w:t>
      </w:r>
    </w:p>
    <w:p>
      <w:pPr>
        <w:pStyle w:val="Heading2"/>
      </w:pPr>
      <w:r>
        <w:t>10.2 Analysis Input</w:t>
      </w:r>
    </w:p>
    <w:p>
      <w:r>
        <w:t>The anomaly engine reads from:</w:t>
      </w:r>
    </w:p>
    <w:p>
      <w:pPr>
        <w:pStyle w:val="CodeBlock"/>
      </w:pPr>
      <w:r>
        <w:rPr>
          <w:rFonts w:ascii="Courier New" w:hAnsi="Courier New" w:eastAsia="Courier New"/>
          <w:sz w:val="17"/>
        </w:rPr>
        <w:t>policy_rule</w:t>
      </w:r>
      <w:r>
        <w:br/>
      </w:r>
      <w:r>
        <w:rPr>
          <w:rFonts w:ascii="Courier New" w:hAnsi="Courier New" w:eastAsia="Courier New"/>
          <w:sz w:val="17"/>
        </w:rPr>
        <w:t>rule_object_mapping</w:t>
      </w:r>
      <w:r>
        <w:br/>
      </w:r>
      <w:r>
        <w:rPr>
          <w:rFonts w:ascii="Courier New" w:hAnsi="Courier New" w:eastAsia="Courier New"/>
          <w:sz w:val="17"/>
        </w:rPr>
        <w:t>network_object</w:t>
      </w:r>
      <w:r>
        <w:br/>
      </w:r>
      <w:r>
        <w:rPr>
          <w:rFonts w:ascii="Courier New" w:hAnsi="Courier New" w:eastAsia="Courier New"/>
          <w:sz w:val="17"/>
        </w:rPr>
        <w:t>normalized_object</w:t>
      </w:r>
      <w:r>
        <w:br/>
      </w:r>
      <w:r>
        <w:rPr>
          <w:rFonts w:ascii="Courier New" w:hAnsi="Courier New" w:eastAsia="Courier New"/>
          <w:sz w:val="17"/>
        </w:rPr>
        <w:t>object_normalization_mapping</w:t>
      </w:r>
      <w:r>
        <w:br/>
      </w:r>
      <w:r>
        <w:rPr>
          <w:rFonts w:ascii="Courier New" w:hAnsi="Courier New" w:eastAsia="Courier New"/>
          <w:sz w:val="17"/>
        </w:rPr>
        <w:t>normalized_service</w:t>
      </w:r>
      <w:r>
        <w:br/>
      </w:r>
      <w:r>
        <w:rPr>
          <w:rFonts w:ascii="Courier New" w:hAnsi="Courier New" w:eastAsia="Courier New"/>
          <w:sz w:val="17"/>
        </w:rPr>
        <w:t>service_normalization_mapping</w:t>
      </w:r>
      <w:r>
        <w:br/>
      </w:r>
    </w:p>
    <w:p>
      <w:r>
        <w:t>It may also read from benchmark_case, historical snapshots, and log metadata for conditional and simulated anomalies.</w:t>
      </w:r>
    </w:p>
    <w:p>
      <w:pPr>
        <w:pStyle w:val="Heading2"/>
      </w:pPr>
      <w:r>
        <w:t>10.3 Analysis Output</w:t>
      </w:r>
    </w:p>
    <w:p>
      <w:r>
        <w:t>The anomaly engine writes to:</w:t>
      </w:r>
    </w:p>
    <w:p>
      <w:pPr>
        <w:pStyle w:val="CodeBlock"/>
      </w:pPr>
      <w:r>
        <w:rPr>
          <w:rFonts w:ascii="Courier New" w:hAnsi="Courier New" w:eastAsia="Courier New"/>
          <w:sz w:val="17"/>
        </w:rPr>
        <w:t>rule_anomaly</w:t>
      </w:r>
      <w:r>
        <w:br/>
      </w:r>
      <w:r>
        <w:rPr>
          <w:rFonts w:ascii="Courier New" w:hAnsi="Courier New" w:eastAsia="Courier New"/>
          <w:sz w:val="17"/>
        </w:rPr>
        <w:t>anomaly_execution_log</w:t>
      </w:r>
      <w:r>
        <w:br/>
      </w:r>
      <w:r>
        <w:rPr>
          <w:rFonts w:ascii="Courier New" w:hAnsi="Courier New" w:eastAsia="Courier New"/>
          <w:sz w:val="17"/>
        </w:rPr>
        <w:t>benchmark_result</w:t>
      </w:r>
      <w:r>
        <w:br/>
      </w:r>
      <w:r>
        <w:rPr>
          <w:rFonts w:ascii="Courier New" w:hAnsi="Courier New" w:eastAsia="Courier New"/>
          <w:sz w:val="17"/>
        </w:rPr>
        <w:t>risk_assessment</w:t>
      </w:r>
      <w:r>
        <w:br/>
      </w:r>
    </w:p>
    <w:p>
      <w:r>
        <w:t>Every detected policy problem must be linked to the exact affected rule.</w:t>
      </w:r>
    </w:p>
    <w:p>
      <w:pPr>
        <w:pStyle w:val="Heading2"/>
      </w:pPr>
      <w:r>
        <w:t>10.4 Core Engine Rule</w:t>
      </w:r>
    </w:p>
    <w:p>
      <w:r>
        <w:t>The anomaly engine must never write vague findings. Every anomaly must include:</w:t>
      </w:r>
    </w:p>
    <w:p>
      <w:pPr>
        <w:pStyle w:val="CodeBlock"/>
      </w:pPr>
      <w:r>
        <w:rPr>
          <w:rFonts w:ascii="Courier New" w:hAnsi="Courier New" w:eastAsia="Courier New"/>
          <w:sz w:val="17"/>
        </w:rPr>
        <w:t>anomaly_type</w:t>
      </w:r>
      <w:r>
        <w:br/>
      </w:r>
      <w:r>
        <w:rPr>
          <w:rFonts w:ascii="Courier New" w:hAnsi="Courier New" w:eastAsia="Courier New"/>
          <w:sz w:val="17"/>
        </w:rPr>
        <w:t>affected_rule_id</w:t>
      </w:r>
      <w:r>
        <w:br/>
      </w:r>
      <w:r>
        <w:rPr>
          <w:rFonts w:ascii="Courier New" w:hAnsi="Courier New" w:eastAsia="Courier New"/>
          <w:sz w:val="17"/>
        </w:rPr>
        <w:t>related_rule_id when applicable</w:t>
      </w:r>
      <w:r>
        <w:br/>
      </w:r>
      <w:r>
        <w:rPr>
          <w:rFonts w:ascii="Courier New" w:hAnsi="Courier New" w:eastAsia="Courier New"/>
          <w:sz w:val="17"/>
        </w:rPr>
        <w:t>severity</w:t>
      </w:r>
      <w:r>
        <w:br/>
      </w:r>
      <w:r>
        <w:rPr>
          <w:rFonts w:ascii="Courier New" w:hAnsi="Courier New" w:eastAsia="Courier New"/>
          <w:sz w:val="17"/>
        </w:rPr>
        <w:t>confidence</w:t>
      </w:r>
      <w:r>
        <w:br/>
      </w:r>
      <w:r>
        <w:rPr>
          <w:rFonts w:ascii="Courier New" w:hAnsi="Courier New" w:eastAsia="Courier New"/>
          <w:sz w:val="17"/>
        </w:rPr>
        <w:t>technical_reason</w:t>
      </w:r>
      <w:r>
        <w:br/>
      </w:r>
      <w:r>
        <w:rPr>
          <w:rFonts w:ascii="Courier New" w:hAnsi="Courier New" w:eastAsia="Courier New"/>
          <w:sz w:val="17"/>
        </w:rPr>
        <w:t>recommended_action</w:t>
      </w:r>
      <w:r>
        <w:br/>
      </w:r>
      <w:r>
        <w:rPr>
          <w:rFonts w:ascii="Courier New" w:hAnsi="Courier New" w:eastAsia="Courier New"/>
          <w:sz w:val="17"/>
        </w:rPr>
        <w:t>detected_at</w:t>
      </w:r>
      <w:r>
        <w:br/>
      </w:r>
      <w:r>
        <w:rPr>
          <w:rFonts w:ascii="Courier New" w:hAnsi="Courier New" w:eastAsia="Courier New"/>
          <w:sz w:val="17"/>
        </w:rPr>
        <w:t>analysis_run_id</w:t>
      </w:r>
      <w:r>
        <w:br/>
      </w:r>
    </w:p>
    <w:p>
      <w:pPr>
        <w:pStyle w:val="Heading1"/>
      </w:pPr>
      <w:r>
        <w:t>11. Layer 6 — Risk and CTI Layer</w:t>
      </w:r>
    </w:p>
    <w:p>
      <w:pPr>
        <w:pStyle w:val="Heading2"/>
      </w:pPr>
      <w:r>
        <w:t>11.1 Risk Engine Responsibility</w:t>
      </w:r>
    </w:p>
    <w:p>
      <w:r>
        <w:t>The risk engine calculates final priority. It does not replace anomaly detection. It combines anomaly severity, rule exposure, security inspection status, logging status, asset sensitivity, cross-device inconsistency, CTI correlation, and runtime or simulated metadata.</w:t>
      </w:r>
    </w:p>
    <w:p>
      <w:pPr>
        <w:pStyle w:val="Heading2"/>
      </w:pPr>
      <w:r>
        <w:t>11.2 Risk Score Range</w:t>
      </w:r>
    </w:p>
    <w:p>
      <w:r>
        <w:t>Risk score should use a 0–100 scale.</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sz w:val="18"/>
              </w:rPr>
            </w:r>
            <w:r>
              <w:rPr>
                <w:b/>
                <w:color w:val="FFFFFF"/>
                <w:sz w:val="18"/>
              </w:rPr>
              <w:t>Score</w:t>
            </w:r>
          </w:p>
        </w:tc>
        <w:tc>
          <w:tcPr>
            <w:tcW w:type="dxa" w:w="5112"/>
            <w:shd w:fill="1F4E79"/>
            <w:vAlign w:val="center"/>
          </w:tcPr>
          <w:p>
            <w:r>
              <w:rPr>
                <w:sz w:val="18"/>
              </w:rPr>
            </w:r>
            <w:r>
              <w:rPr>
                <w:b/>
                <w:color w:val="FFFFFF"/>
                <w:sz w:val="18"/>
              </w:rPr>
              <w:t>Tier</w:t>
            </w:r>
          </w:p>
        </w:tc>
      </w:tr>
      <w:tr>
        <w:tc>
          <w:tcPr>
            <w:tcW w:type="dxa" w:w="5112"/>
            <w:vAlign w:val="center"/>
          </w:tcPr>
          <w:p>
            <w:r>
              <w:rPr>
                <w:sz w:val="18"/>
              </w:rPr>
            </w:r>
            <w:r>
              <w:rPr>
                <w:b w:val="0"/>
                <w:sz w:val="18"/>
              </w:rPr>
              <w:t>90–100</w:t>
            </w:r>
          </w:p>
        </w:tc>
        <w:tc>
          <w:tcPr>
            <w:tcW w:type="dxa" w:w="5112"/>
            <w:vAlign w:val="center"/>
          </w:tcPr>
          <w:p>
            <w:r>
              <w:rPr>
                <w:sz w:val="18"/>
              </w:rPr>
            </w:r>
            <w:r>
              <w:rPr>
                <w:b w:val="0"/>
                <w:sz w:val="18"/>
              </w:rPr>
              <w:t>Critical</w:t>
            </w:r>
          </w:p>
        </w:tc>
      </w:tr>
      <w:tr>
        <w:tc>
          <w:tcPr>
            <w:tcW w:type="dxa" w:w="5112"/>
            <w:vAlign w:val="center"/>
          </w:tcPr>
          <w:p>
            <w:r>
              <w:rPr>
                <w:sz w:val="18"/>
              </w:rPr>
            </w:r>
            <w:r>
              <w:rPr>
                <w:b w:val="0"/>
                <w:sz w:val="18"/>
              </w:rPr>
              <w:t>70–89</w:t>
            </w:r>
          </w:p>
        </w:tc>
        <w:tc>
          <w:tcPr>
            <w:tcW w:type="dxa" w:w="5112"/>
            <w:vAlign w:val="center"/>
          </w:tcPr>
          <w:p>
            <w:r>
              <w:rPr>
                <w:sz w:val="18"/>
              </w:rPr>
            </w:r>
            <w:r>
              <w:rPr>
                <w:b w:val="0"/>
                <w:sz w:val="18"/>
              </w:rPr>
              <w:t>High</w:t>
            </w:r>
          </w:p>
        </w:tc>
      </w:tr>
      <w:tr>
        <w:tc>
          <w:tcPr>
            <w:tcW w:type="dxa" w:w="5112"/>
            <w:vAlign w:val="center"/>
          </w:tcPr>
          <w:p>
            <w:r>
              <w:rPr>
                <w:sz w:val="18"/>
              </w:rPr>
            </w:r>
            <w:r>
              <w:rPr>
                <w:b w:val="0"/>
                <w:sz w:val="18"/>
              </w:rPr>
              <w:t>40–69</w:t>
            </w:r>
          </w:p>
        </w:tc>
        <w:tc>
          <w:tcPr>
            <w:tcW w:type="dxa" w:w="5112"/>
            <w:vAlign w:val="center"/>
          </w:tcPr>
          <w:p>
            <w:r>
              <w:rPr>
                <w:sz w:val="18"/>
              </w:rPr>
            </w:r>
            <w:r>
              <w:rPr>
                <w:b w:val="0"/>
                <w:sz w:val="18"/>
              </w:rPr>
              <w:t>Medium</w:t>
            </w:r>
          </w:p>
        </w:tc>
      </w:tr>
      <w:tr>
        <w:tc>
          <w:tcPr>
            <w:tcW w:type="dxa" w:w="5112"/>
            <w:vAlign w:val="center"/>
          </w:tcPr>
          <w:p>
            <w:r>
              <w:rPr>
                <w:sz w:val="18"/>
              </w:rPr>
            </w:r>
            <w:r>
              <w:rPr>
                <w:b w:val="0"/>
                <w:sz w:val="18"/>
              </w:rPr>
              <w:t>1–39</w:t>
            </w:r>
          </w:p>
        </w:tc>
        <w:tc>
          <w:tcPr>
            <w:tcW w:type="dxa" w:w="5112"/>
            <w:vAlign w:val="center"/>
          </w:tcPr>
          <w:p>
            <w:r>
              <w:rPr>
                <w:sz w:val="18"/>
              </w:rPr>
            </w:r>
            <w:r>
              <w:rPr>
                <w:b w:val="0"/>
                <w:sz w:val="18"/>
              </w:rPr>
              <w:t>Low</w:t>
            </w:r>
          </w:p>
        </w:tc>
      </w:tr>
      <w:tr>
        <w:tc>
          <w:tcPr>
            <w:tcW w:type="dxa" w:w="5112"/>
            <w:vAlign w:val="center"/>
          </w:tcPr>
          <w:p>
            <w:r>
              <w:rPr>
                <w:sz w:val="18"/>
              </w:rPr>
            </w:r>
            <w:r>
              <w:rPr>
                <w:b w:val="0"/>
                <w:sz w:val="18"/>
              </w:rPr>
              <w:t>0</w:t>
            </w:r>
          </w:p>
        </w:tc>
        <w:tc>
          <w:tcPr>
            <w:tcW w:type="dxa" w:w="5112"/>
            <w:vAlign w:val="center"/>
          </w:tcPr>
          <w:p>
            <w:r>
              <w:rPr>
                <w:sz w:val="18"/>
              </w:rPr>
            </w:r>
            <w:r>
              <w:rPr>
                <w:b w:val="0"/>
                <w:sz w:val="18"/>
              </w:rPr>
              <w:t>Informational / no risk</w:t>
            </w:r>
          </w:p>
        </w:tc>
      </w:tr>
    </w:tbl>
    <w:p/>
    <w:p>
      <w:pPr>
        <w:pStyle w:val="Heading2"/>
      </w:pPr>
      <w:r>
        <w:t>11.3 CTI Engine Responsibility</w:t>
      </w:r>
    </w:p>
    <w:p>
      <w:r>
        <w:t>The CTI engine is separate from the anomaly engine. It extracts indicators, generates CTI queries using LLMs, calls CTI APIs, normalizes CTI responses, correlates indicators to rules, generates threat observations, updates risk scores, and sends results to the LLM report generator.</w:t>
      </w:r>
    </w:p>
    <w:p>
      <w:pPr>
        <w:pStyle w:val="CodeBlock"/>
      </w:pPr>
      <w:r>
        <w:rPr>
          <w:rFonts w:ascii="Courier New" w:hAnsi="Courier New" w:eastAsia="Courier New"/>
          <w:sz w:val="17"/>
        </w:rPr>
        <w:t>Extract indicators</w:t>
      </w:r>
      <w:r>
        <w:br/>
      </w:r>
      <w:r>
        <w:rPr>
          <w:rFonts w:ascii="Courier New" w:hAnsi="Courier New" w:eastAsia="Courier New"/>
          <w:sz w:val="17"/>
        </w:rPr>
        <w:t xml:space="preserve">      ↓</w:t>
      </w:r>
      <w:r>
        <w:br/>
      </w:r>
      <w:r>
        <w:rPr>
          <w:rFonts w:ascii="Courier New" w:hAnsi="Courier New" w:eastAsia="Courier New"/>
          <w:sz w:val="17"/>
        </w:rPr>
        <w:t>Generate CTI queries using LLM</w:t>
      </w:r>
      <w:r>
        <w:br/>
      </w:r>
      <w:r>
        <w:rPr>
          <w:rFonts w:ascii="Courier New" w:hAnsi="Courier New" w:eastAsia="Courier New"/>
          <w:sz w:val="17"/>
        </w:rPr>
        <w:t xml:space="preserve">      ↓</w:t>
      </w:r>
      <w:r>
        <w:br/>
      </w:r>
      <w:r>
        <w:rPr>
          <w:rFonts w:ascii="Courier New" w:hAnsi="Courier New" w:eastAsia="Courier New"/>
          <w:sz w:val="17"/>
        </w:rPr>
        <w:t>Call CTI APIs</w:t>
      </w:r>
      <w:r>
        <w:br/>
      </w:r>
      <w:r>
        <w:rPr>
          <w:rFonts w:ascii="Courier New" w:hAnsi="Courier New" w:eastAsia="Courier New"/>
          <w:sz w:val="17"/>
        </w:rPr>
        <w:t xml:space="preserve">      ↓</w:t>
      </w:r>
      <w:r>
        <w:br/>
      </w:r>
      <w:r>
        <w:rPr>
          <w:rFonts w:ascii="Courier New" w:hAnsi="Courier New" w:eastAsia="Courier New"/>
          <w:sz w:val="17"/>
        </w:rPr>
        <w:t>Normalize CTI responses</w:t>
      </w:r>
      <w:r>
        <w:br/>
      </w:r>
      <w:r>
        <w:rPr>
          <w:rFonts w:ascii="Courier New" w:hAnsi="Courier New" w:eastAsia="Courier New"/>
          <w:sz w:val="17"/>
        </w:rPr>
        <w:t xml:space="preserve">      ↓</w:t>
      </w:r>
      <w:r>
        <w:br/>
      </w:r>
      <w:r>
        <w:rPr>
          <w:rFonts w:ascii="Courier New" w:hAnsi="Courier New" w:eastAsia="Courier New"/>
          <w:sz w:val="17"/>
        </w:rPr>
        <w:t>Correlate indicators to rules</w:t>
      </w:r>
      <w:r>
        <w:br/>
      </w:r>
      <w:r>
        <w:rPr>
          <w:rFonts w:ascii="Courier New" w:hAnsi="Courier New" w:eastAsia="Courier New"/>
          <w:sz w:val="17"/>
        </w:rPr>
        <w:t xml:space="preserve">      ↓</w:t>
      </w:r>
      <w:r>
        <w:br/>
      </w:r>
      <w:r>
        <w:rPr>
          <w:rFonts w:ascii="Courier New" w:hAnsi="Courier New" w:eastAsia="Courier New"/>
          <w:sz w:val="17"/>
        </w:rPr>
        <w:t>Generate threat observations</w:t>
      </w:r>
      <w:r>
        <w:br/>
      </w:r>
      <w:r>
        <w:rPr>
          <w:rFonts w:ascii="Courier New" w:hAnsi="Courier New" w:eastAsia="Courier New"/>
          <w:sz w:val="17"/>
        </w:rPr>
        <w:t xml:space="preserve">      ↓</w:t>
      </w:r>
      <w:r>
        <w:br/>
      </w:r>
      <w:r>
        <w:rPr>
          <w:rFonts w:ascii="Courier New" w:hAnsi="Courier New" w:eastAsia="Courier New"/>
          <w:sz w:val="17"/>
        </w:rPr>
        <w:t>Update risk score</w:t>
      </w:r>
      <w:r>
        <w:br/>
      </w:r>
      <w:r>
        <w:rPr>
          <w:rFonts w:ascii="Courier New" w:hAnsi="Courier New" w:eastAsia="Courier New"/>
          <w:sz w:val="17"/>
        </w:rPr>
        <w:t xml:space="preserve">      ↓</w:t>
      </w:r>
      <w:r>
        <w:br/>
      </w:r>
      <w:r>
        <w:rPr>
          <w:rFonts w:ascii="Courier New" w:hAnsi="Courier New" w:eastAsia="Courier New"/>
          <w:sz w:val="17"/>
        </w:rPr>
        <w:t>Send results to LLM report generator</w:t>
      </w:r>
      <w:r>
        <w:br/>
      </w:r>
    </w:p>
    <w:p>
      <w:pPr>
        <w:pStyle w:val="Heading1"/>
      </w:pPr>
      <w:r>
        <w:t>12. Layer 7 — AI / LLM Reporting Layer</w:t>
      </w:r>
    </w:p>
    <w:p>
      <w:pPr>
        <w:pStyle w:val="Heading2"/>
      </w:pPr>
      <w:r>
        <w:t>12.1 AI Role</w:t>
      </w:r>
    </w:p>
    <w:p>
      <w:r>
        <w:t>AI is not responsible for detecting core firewall anomalies. AI is responsible for generating CTI queries, reviewing CTI outputs, creating technical SOC reports, explaining risks, summarizing device posture, and generating executive summaries.</w:t>
      </w:r>
    </w:p>
    <w:p>
      <w:pPr>
        <w:pStyle w:val="Heading2"/>
      </w:pPr>
      <w:r>
        <w:t>12.2 LLM Provider Abstraction</w:t>
      </w:r>
    </w:p>
    <w:p>
      <w:r>
        <w:t>The implementation must support provider abstraction.</w:t>
      </w:r>
    </w:p>
    <w:p>
      <w:pPr>
        <w:pStyle w:val="CodeBlock"/>
      </w:pPr>
      <w:r>
        <w:rPr>
          <w:rFonts w:ascii="Courier New" w:hAnsi="Courier New" w:eastAsia="Courier New"/>
          <w:sz w:val="17"/>
        </w:rPr>
        <w:t>LLMProvider</w:t>
      </w:r>
      <w:r>
        <w:br/>
      </w:r>
      <w:r>
        <w:rPr>
          <w:rFonts w:ascii="Courier New" w:hAnsi="Courier New" w:eastAsia="Courier New"/>
          <w:sz w:val="17"/>
        </w:rPr>
        <w:t xml:space="preserve">    ├── GeminiProvider</w:t>
      </w:r>
      <w:r>
        <w:br/>
      </w:r>
      <w:r>
        <w:rPr>
          <w:rFonts w:ascii="Courier New" w:hAnsi="Courier New" w:eastAsia="Courier New"/>
          <w:sz w:val="17"/>
        </w:rPr>
        <w:t xml:space="preserve">    ├── OpenAIProvider</w:t>
      </w:r>
      <w:r>
        <w:br/>
      </w:r>
      <w:r>
        <w:rPr>
          <w:rFonts w:ascii="Courier New" w:hAnsi="Courier New" w:eastAsia="Courier New"/>
          <w:sz w:val="17"/>
        </w:rPr>
        <w:t xml:space="preserve">    └── OllamaProvider</w:t>
      </w:r>
      <w:r>
        <w:br/>
      </w:r>
    </w:p>
    <w:p>
      <w:r>
        <w:t>The backend should expose one internal interface:</w:t>
      </w:r>
    </w:p>
    <w:p>
      <w:pPr>
        <w:pStyle w:val="CodeBlock"/>
      </w:pPr>
      <w:r>
        <w:rPr>
          <w:rFonts w:ascii="Courier New" w:hAnsi="Courier New" w:eastAsia="Courier New"/>
          <w:sz w:val="17"/>
        </w:rPr>
        <w:t>generate_cti_queries(context)</w:t>
      </w:r>
      <w:r>
        <w:br/>
      </w:r>
      <w:r>
        <w:rPr>
          <w:rFonts w:ascii="Courier New" w:hAnsi="Courier New" w:eastAsia="Courier New"/>
          <w:sz w:val="17"/>
        </w:rPr>
        <w:t>summarize_cti_findings(findings)</w:t>
      </w:r>
      <w:r>
        <w:br/>
      </w:r>
      <w:r>
        <w:rPr>
          <w:rFonts w:ascii="Courier New" w:hAnsi="Courier New" w:eastAsia="Courier New"/>
          <w:sz w:val="17"/>
        </w:rPr>
        <w:t>generate_soc_report(rule, anomalies, cti, risk)</w:t>
      </w:r>
      <w:r>
        <w:br/>
      </w:r>
    </w:p>
    <w:p>
      <w:r>
        <w:t>This prevents the application from being locked into one provider.</w:t>
      </w:r>
    </w:p>
    <w:p>
      <w:pPr>
        <w:pStyle w:val="Heading2"/>
      </w:pPr>
      <w:r>
        <w:t>12.3 LLM Safety Requirement</w:t>
      </w:r>
    </w:p>
    <w:p>
      <w:r>
        <w:t>LLM outputs must be reviewed as generated intelligence, not treated as authoritative facts unless backed by CTI source data. Each AI-generated report must include source indicators, CTI provider names, confidence level, timestamp, related firewall rules, and a clear distinction between evidence and generated explanation.</w:t>
      </w:r>
    </w:p>
    <w:p>
      <w:pPr>
        <w:pStyle w:val="Heading1"/>
      </w:pPr>
      <w:r>
        <w:t>13. Layer 8 — Presentation Layer</w:t>
      </w:r>
    </w:p>
    <w:p>
      <w:pPr>
        <w:pStyle w:val="Heading2"/>
      </w:pPr>
      <w:r>
        <w:t>13.1 Frontend Architecture</w:t>
      </w:r>
    </w:p>
    <w:p>
      <w:r>
        <w:t>Approved frontend: React + TypeScript.</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sz w:val="18"/>
              </w:rPr>
            </w:r>
            <w:r>
              <w:rPr>
                <w:b/>
                <w:color w:val="FFFFFF"/>
                <w:sz w:val="18"/>
              </w:rPr>
              <w:t>Module</w:t>
            </w:r>
          </w:p>
        </w:tc>
        <w:tc>
          <w:tcPr>
            <w:tcW w:type="dxa" w:w="5112"/>
            <w:shd w:fill="1F4E79"/>
            <w:vAlign w:val="center"/>
          </w:tcPr>
          <w:p>
            <w:r>
              <w:rPr>
                <w:sz w:val="18"/>
              </w:rPr>
            </w:r>
            <w:r>
              <w:rPr>
                <w:b/>
                <w:color w:val="FFFFFF"/>
                <w:sz w:val="18"/>
              </w:rPr>
              <w:t>Purpose</w:t>
            </w:r>
          </w:p>
        </w:tc>
      </w:tr>
      <w:tr>
        <w:tc>
          <w:tcPr>
            <w:tcW w:type="dxa" w:w="5112"/>
            <w:vAlign w:val="center"/>
          </w:tcPr>
          <w:p>
            <w:r>
              <w:rPr>
                <w:sz w:val="18"/>
              </w:rPr>
            </w:r>
            <w:r>
              <w:rPr>
                <w:b w:val="0"/>
                <w:sz w:val="18"/>
              </w:rPr>
              <w:t>Dashboard</w:t>
            </w:r>
          </w:p>
        </w:tc>
        <w:tc>
          <w:tcPr>
            <w:tcW w:type="dxa" w:w="5112"/>
            <w:vAlign w:val="center"/>
          </w:tcPr>
          <w:p>
            <w:r>
              <w:rPr>
                <w:sz w:val="18"/>
              </w:rPr>
            </w:r>
            <w:r>
              <w:rPr>
                <w:b w:val="0"/>
                <w:sz w:val="18"/>
              </w:rPr>
              <w:t>Executive summary</w:t>
            </w:r>
          </w:p>
        </w:tc>
      </w:tr>
      <w:tr>
        <w:tc>
          <w:tcPr>
            <w:tcW w:type="dxa" w:w="5112"/>
            <w:vAlign w:val="center"/>
          </w:tcPr>
          <w:p>
            <w:r>
              <w:rPr>
                <w:sz w:val="18"/>
              </w:rPr>
            </w:r>
            <w:r>
              <w:rPr>
                <w:b w:val="0"/>
                <w:sz w:val="18"/>
              </w:rPr>
              <w:t>Device Inventory</w:t>
            </w:r>
          </w:p>
        </w:tc>
        <w:tc>
          <w:tcPr>
            <w:tcW w:type="dxa" w:w="5112"/>
            <w:vAlign w:val="center"/>
          </w:tcPr>
          <w:p>
            <w:r>
              <w:rPr>
                <w:sz w:val="18"/>
              </w:rPr>
            </w:r>
            <w:r>
              <w:rPr>
                <w:b w:val="0"/>
                <w:sz w:val="18"/>
              </w:rPr>
              <w:t>Managed firewall list</w:t>
            </w:r>
          </w:p>
        </w:tc>
      </w:tr>
      <w:tr>
        <w:tc>
          <w:tcPr>
            <w:tcW w:type="dxa" w:w="5112"/>
            <w:vAlign w:val="center"/>
          </w:tcPr>
          <w:p>
            <w:r>
              <w:rPr>
                <w:sz w:val="18"/>
              </w:rPr>
            </w:r>
            <w:r>
              <w:rPr>
                <w:b w:val="0"/>
                <w:sz w:val="18"/>
              </w:rPr>
              <w:t>Policy Explorer</w:t>
            </w:r>
          </w:p>
        </w:tc>
        <w:tc>
          <w:tcPr>
            <w:tcW w:type="dxa" w:w="5112"/>
            <w:vAlign w:val="center"/>
          </w:tcPr>
          <w:p>
            <w:r>
              <w:rPr>
                <w:sz w:val="18"/>
              </w:rPr>
            </w:r>
            <w:r>
              <w:rPr>
                <w:b w:val="0"/>
                <w:sz w:val="18"/>
              </w:rPr>
              <w:t>Searchable normalized rules</w:t>
            </w:r>
          </w:p>
        </w:tc>
      </w:tr>
      <w:tr>
        <w:tc>
          <w:tcPr>
            <w:tcW w:type="dxa" w:w="5112"/>
            <w:vAlign w:val="center"/>
          </w:tcPr>
          <w:p>
            <w:r>
              <w:rPr>
                <w:sz w:val="18"/>
              </w:rPr>
            </w:r>
            <w:r>
              <w:rPr>
                <w:b w:val="0"/>
                <w:sz w:val="18"/>
              </w:rPr>
              <w:t>Anomaly Center</w:t>
            </w:r>
          </w:p>
        </w:tc>
        <w:tc>
          <w:tcPr>
            <w:tcW w:type="dxa" w:w="5112"/>
            <w:vAlign w:val="center"/>
          </w:tcPr>
          <w:p>
            <w:r>
              <w:rPr>
                <w:sz w:val="18"/>
              </w:rPr>
            </w:r>
            <w:r>
              <w:rPr>
                <w:b w:val="0"/>
                <w:sz w:val="18"/>
              </w:rPr>
              <w:t>Findings grouped by type</w:t>
            </w:r>
          </w:p>
        </w:tc>
      </w:tr>
      <w:tr>
        <w:tc>
          <w:tcPr>
            <w:tcW w:type="dxa" w:w="5112"/>
            <w:vAlign w:val="center"/>
          </w:tcPr>
          <w:p>
            <w:r>
              <w:rPr>
                <w:sz w:val="18"/>
              </w:rPr>
            </w:r>
            <w:r>
              <w:rPr>
                <w:b w:val="0"/>
                <w:sz w:val="18"/>
              </w:rPr>
              <w:t>Risk Center</w:t>
            </w:r>
          </w:p>
        </w:tc>
        <w:tc>
          <w:tcPr>
            <w:tcW w:type="dxa" w:w="5112"/>
            <w:vAlign w:val="center"/>
          </w:tcPr>
          <w:p>
            <w:r>
              <w:rPr>
                <w:sz w:val="18"/>
              </w:rPr>
            </w:r>
            <w:r>
              <w:rPr>
                <w:b w:val="0"/>
                <w:sz w:val="18"/>
              </w:rPr>
              <w:t>Risk-ranked policies</w:t>
            </w:r>
          </w:p>
        </w:tc>
      </w:tr>
      <w:tr>
        <w:tc>
          <w:tcPr>
            <w:tcW w:type="dxa" w:w="5112"/>
            <w:vAlign w:val="center"/>
          </w:tcPr>
          <w:p>
            <w:r>
              <w:rPr>
                <w:sz w:val="18"/>
              </w:rPr>
            </w:r>
            <w:r>
              <w:rPr>
                <w:b w:val="0"/>
                <w:sz w:val="18"/>
              </w:rPr>
              <w:t>CTI Threat Center</w:t>
            </w:r>
          </w:p>
        </w:tc>
        <w:tc>
          <w:tcPr>
            <w:tcW w:type="dxa" w:w="5112"/>
            <w:vAlign w:val="center"/>
          </w:tcPr>
          <w:p>
            <w:r>
              <w:rPr>
                <w:sz w:val="18"/>
              </w:rPr>
            </w:r>
            <w:r>
              <w:rPr>
                <w:b w:val="0"/>
                <w:sz w:val="18"/>
              </w:rPr>
              <w:t>CTI observations and reports</w:t>
            </w:r>
          </w:p>
        </w:tc>
      </w:tr>
      <w:tr>
        <w:tc>
          <w:tcPr>
            <w:tcW w:type="dxa" w:w="5112"/>
            <w:vAlign w:val="center"/>
          </w:tcPr>
          <w:p>
            <w:r>
              <w:rPr>
                <w:sz w:val="18"/>
              </w:rPr>
            </w:r>
            <w:r>
              <w:rPr>
                <w:b w:val="0"/>
                <w:sz w:val="18"/>
              </w:rPr>
              <w:t>Benchmark Center</w:t>
            </w:r>
          </w:p>
        </w:tc>
        <w:tc>
          <w:tcPr>
            <w:tcW w:type="dxa" w:w="5112"/>
            <w:vAlign w:val="center"/>
          </w:tcPr>
          <w:p>
            <w:r>
              <w:rPr>
                <w:sz w:val="18"/>
              </w:rPr>
            </w:r>
            <w:r>
              <w:rPr>
                <w:b w:val="0"/>
                <w:sz w:val="18"/>
              </w:rPr>
              <w:t>Ground-truth validation results</w:t>
            </w:r>
          </w:p>
        </w:tc>
      </w:tr>
      <w:tr>
        <w:tc>
          <w:tcPr>
            <w:tcW w:type="dxa" w:w="5112"/>
            <w:vAlign w:val="center"/>
          </w:tcPr>
          <w:p>
            <w:r>
              <w:rPr>
                <w:sz w:val="18"/>
              </w:rPr>
            </w:r>
            <w:r>
              <w:rPr>
                <w:b w:val="0"/>
                <w:sz w:val="18"/>
              </w:rPr>
              <w:t>Graph View</w:t>
            </w:r>
          </w:p>
        </w:tc>
        <w:tc>
          <w:tcPr>
            <w:tcW w:type="dxa" w:w="5112"/>
            <w:vAlign w:val="center"/>
          </w:tcPr>
          <w:p>
            <w:r>
              <w:rPr>
                <w:sz w:val="18"/>
              </w:rPr>
            </w:r>
            <w:r>
              <w:rPr>
                <w:b w:val="0"/>
                <w:sz w:val="18"/>
              </w:rPr>
              <w:t>Logical policy visualization</w:t>
            </w:r>
          </w:p>
        </w:tc>
      </w:tr>
      <w:tr>
        <w:tc>
          <w:tcPr>
            <w:tcW w:type="dxa" w:w="5112"/>
            <w:vAlign w:val="center"/>
          </w:tcPr>
          <w:p>
            <w:r>
              <w:rPr>
                <w:sz w:val="18"/>
              </w:rPr>
            </w:r>
            <w:r>
              <w:rPr>
                <w:b w:val="0"/>
                <w:sz w:val="18"/>
              </w:rPr>
              <w:t>Reports</w:t>
            </w:r>
          </w:p>
        </w:tc>
        <w:tc>
          <w:tcPr>
            <w:tcW w:type="dxa" w:w="5112"/>
            <w:vAlign w:val="center"/>
          </w:tcPr>
          <w:p>
            <w:r>
              <w:rPr>
                <w:sz w:val="18"/>
              </w:rPr>
            </w:r>
            <w:r>
              <w:rPr>
                <w:b w:val="0"/>
                <w:sz w:val="18"/>
              </w:rPr>
              <w:t>SOC and exportable reports</w:t>
            </w:r>
          </w:p>
        </w:tc>
      </w:tr>
      <w:tr>
        <w:tc>
          <w:tcPr>
            <w:tcW w:type="dxa" w:w="5112"/>
            <w:vAlign w:val="center"/>
          </w:tcPr>
          <w:p>
            <w:r>
              <w:rPr>
                <w:sz w:val="18"/>
              </w:rPr>
            </w:r>
            <w:r>
              <w:rPr>
                <w:b w:val="0"/>
                <w:sz w:val="18"/>
              </w:rPr>
              <w:t>Admin Settings</w:t>
            </w:r>
          </w:p>
        </w:tc>
        <w:tc>
          <w:tcPr>
            <w:tcW w:type="dxa" w:w="5112"/>
            <w:vAlign w:val="center"/>
          </w:tcPr>
          <w:p>
            <w:r>
              <w:rPr>
                <w:sz w:val="18"/>
              </w:rPr>
            </w:r>
            <w:r>
              <w:rPr>
                <w:b w:val="0"/>
                <w:sz w:val="18"/>
              </w:rPr>
              <w:t>Credentials, providers, polling schedules</w:t>
            </w:r>
          </w:p>
        </w:tc>
      </w:tr>
    </w:tbl>
    <w:p/>
    <w:p>
      <w:pPr>
        <w:pStyle w:val="Heading2"/>
      </w:pPr>
      <w:r>
        <w:t>13.2 Graph Visualization</w:t>
      </w:r>
    </w:p>
    <w:p>
      <w:r>
        <w:t>Approved graph library: Cytoscape.js. The graph represents logical policy relationships only. It must not be presented as runtime traffic, NetFlow, packet forwarding, live sessions, or DPI.</w:t>
      </w:r>
    </w:p>
    <w:p>
      <w:pPr>
        <w:pStyle w:val="Heading2"/>
      </w:pPr>
      <w:r>
        <w:t>13.3 Graph Nodes</w:t>
      </w:r>
    </w:p>
    <w:p>
      <w:r>
        <w:t>Graph nodes may represent:</w:t>
      </w:r>
    </w:p>
    <w:p>
      <w:pPr>
        <w:pStyle w:val="CodeBlock"/>
      </w:pPr>
      <w:r>
        <w:rPr>
          <w:rFonts w:ascii="Courier New" w:hAnsi="Courier New" w:eastAsia="Courier New"/>
          <w:sz w:val="17"/>
        </w:rPr>
        <w:t>Vendor</w:t>
      </w:r>
      <w:r>
        <w:br/>
      </w:r>
      <w:r>
        <w:rPr>
          <w:rFonts w:ascii="Courier New" w:hAnsi="Courier New" w:eastAsia="Courier New"/>
          <w:sz w:val="17"/>
        </w:rPr>
        <w:t>Firewall</w:t>
      </w:r>
      <w:r>
        <w:br/>
      </w:r>
      <w:r>
        <w:rPr>
          <w:rFonts w:ascii="Courier New" w:hAnsi="Courier New" w:eastAsia="Courier New"/>
          <w:sz w:val="17"/>
        </w:rPr>
        <w:t>VDOM/VSYS</w:t>
      </w:r>
      <w:r>
        <w:br/>
      </w:r>
      <w:r>
        <w:rPr>
          <w:rFonts w:ascii="Courier New" w:hAnsi="Courier New" w:eastAsia="Courier New"/>
          <w:sz w:val="17"/>
        </w:rPr>
        <w:t>Zone</w:t>
      </w:r>
      <w:r>
        <w:br/>
      </w:r>
      <w:r>
        <w:rPr>
          <w:rFonts w:ascii="Courier New" w:hAnsi="Courier New" w:eastAsia="Courier New"/>
          <w:sz w:val="17"/>
        </w:rPr>
        <w:t>Interface</w:t>
      </w:r>
      <w:r>
        <w:br/>
      </w:r>
      <w:r>
        <w:rPr>
          <w:rFonts w:ascii="Courier New" w:hAnsi="Courier New" w:eastAsia="Courier New"/>
          <w:sz w:val="17"/>
        </w:rPr>
        <w:t>Network Object</w:t>
      </w:r>
      <w:r>
        <w:br/>
      </w:r>
      <w:r>
        <w:rPr>
          <w:rFonts w:ascii="Courier New" w:hAnsi="Courier New" w:eastAsia="Courier New"/>
          <w:sz w:val="17"/>
        </w:rPr>
        <w:t>Service</w:t>
      </w:r>
      <w:r>
        <w:br/>
      </w:r>
      <w:r>
        <w:rPr>
          <w:rFonts w:ascii="Courier New" w:hAnsi="Courier New" w:eastAsia="Courier New"/>
          <w:sz w:val="17"/>
        </w:rPr>
        <w:t>Policy Rule</w:t>
      </w:r>
      <w:r>
        <w:br/>
      </w:r>
      <w:r>
        <w:rPr>
          <w:rFonts w:ascii="Courier New" w:hAnsi="Courier New" w:eastAsia="Courier New"/>
          <w:sz w:val="17"/>
        </w:rPr>
        <w:t>Threat Indicator</w:t>
      </w:r>
      <w:r>
        <w:br/>
      </w:r>
      <w:r>
        <w:rPr>
          <w:rFonts w:ascii="Courier New" w:hAnsi="Courier New" w:eastAsia="Courier New"/>
          <w:sz w:val="17"/>
        </w:rPr>
        <w:t>Sensitive Asset</w:t>
      </w:r>
      <w:r>
        <w:br/>
      </w:r>
    </w:p>
    <w:p>
      <w:pPr>
        <w:pStyle w:val="Heading2"/>
      </w:pPr>
      <w:r>
        <w:t>13.4 Graph Edges</w:t>
      </w:r>
    </w:p>
    <w:p>
      <w:r>
        <w:t>Graph edges may represent:</w:t>
      </w:r>
    </w:p>
    <w:p>
      <w:pPr>
        <w:pStyle w:val="CodeBlock"/>
      </w:pPr>
      <w:r>
        <w:rPr>
          <w:rFonts w:ascii="Courier New" w:hAnsi="Courier New" w:eastAsia="Courier New"/>
          <w:sz w:val="17"/>
        </w:rPr>
        <w:t>allows</w:t>
      </w:r>
      <w:r>
        <w:br/>
      </w:r>
      <w:r>
        <w:rPr>
          <w:rFonts w:ascii="Courier New" w:hAnsi="Courier New" w:eastAsia="Courier New"/>
          <w:sz w:val="17"/>
        </w:rPr>
        <w:t>denies</w:t>
      </w:r>
      <w:r>
        <w:br/>
      </w:r>
      <w:r>
        <w:rPr>
          <w:rFonts w:ascii="Courier New" w:hAnsi="Courier New" w:eastAsia="Courier New"/>
          <w:sz w:val="17"/>
        </w:rPr>
        <w:t>uses object</w:t>
      </w:r>
      <w:r>
        <w:br/>
      </w:r>
      <w:r>
        <w:rPr>
          <w:rFonts w:ascii="Courier New" w:hAnsi="Courier New" w:eastAsia="Courier New"/>
          <w:sz w:val="17"/>
        </w:rPr>
        <w:t>uses service</w:t>
      </w:r>
      <w:r>
        <w:br/>
      </w:r>
      <w:r>
        <w:rPr>
          <w:rFonts w:ascii="Courier New" w:hAnsi="Courier New" w:eastAsia="Courier New"/>
          <w:sz w:val="17"/>
        </w:rPr>
        <w:t>shadows</w:t>
      </w:r>
      <w:r>
        <w:br/>
      </w:r>
      <w:r>
        <w:rPr>
          <w:rFonts w:ascii="Courier New" w:hAnsi="Courier New" w:eastAsia="Courier New"/>
          <w:sz w:val="17"/>
        </w:rPr>
        <w:t>conflicts</w:t>
      </w:r>
      <w:r>
        <w:br/>
      </w:r>
      <w:r>
        <w:rPr>
          <w:rFonts w:ascii="Courier New" w:hAnsi="Courier New" w:eastAsia="Courier New"/>
          <w:sz w:val="17"/>
        </w:rPr>
        <w:t>duplicates</w:t>
      </w:r>
      <w:r>
        <w:br/>
      </w:r>
      <w:r>
        <w:rPr>
          <w:rFonts w:ascii="Courier New" w:hAnsi="Courier New" w:eastAsia="Courier New"/>
          <w:sz w:val="17"/>
        </w:rPr>
        <w:t>correlates with threat</w:t>
      </w:r>
      <w:r>
        <w:br/>
      </w:r>
      <w:r>
        <w:rPr>
          <w:rFonts w:ascii="Courier New" w:hAnsi="Courier New" w:eastAsia="Courier New"/>
          <w:sz w:val="17"/>
        </w:rPr>
        <w:t>has risk</w:t>
      </w:r>
      <w:r>
        <w:br/>
      </w:r>
      <w:r>
        <w:rPr>
          <w:rFonts w:ascii="Courier New" w:hAnsi="Courier New" w:eastAsia="Courier New"/>
          <w:sz w:val="17"/>
        </w:rPr>
        <w:t>inconsistent with</w:t>
      </w:r>
      <w:r>
        <w:br/>
      </w:r>
    </w:p>
    <w:p>
      <w:pPr>
        <w:pStyle w:val="Heading1"/>
      </w:pPr>
      <w:r>
        <w:t>14. Backend Service Architecture</w:t>
      </w:r>
    </w:p>
    <w:p>
      <w:pPr>
        <w:pStyle w:val="Heading2"/>
      </w:pPr>
      <w:r>
        <w:t>14.1 FastAPI Services</w:t>
      </w:r>
    </w:p>
    <w:p>
      <w:r>
        <w:t>Recommended backend structure:</w:t>
      </w:r>
    </w:p>
    <w:p>
      <w:pPr>
        <w:pStyle w:val="CodeBlock"/>
      </w:pPr>
      <w:r>
        <w:rPr>
          <w:rFonts w:ascii="Courier New" w:hAnsi="Courier New" w:eastAsia="Courier New"/>
          <w:sz w:val="17"/>
        </w:rPr>
        <w:t>backend/</w:t>
      </w:r>
      <w:r>
        <w:br/>
      </w:r>
      <w:r>
        <w:rPr>
          <w:rFonts w:ascii="Courier New" w:hAnsi="Courier New" w:eastAsia="Courier New"/>
          <w:sz w:val="17"/>
        </w:rPr>
        <w:t xml:space="preserve">  app/</w:t>
      </w:r>
      <w:r>
        <w:br/>
      </w:r>
      <w:r>
        <w:rPr>
          <w:rFonts w:ascii="Courier New" w:hAnsi="Courier New" w:eastAsia="Courier New"/>
          <w:sz w:val="17"/>
        </w:rPr>
        <w:t xml:space="preserve">    main.py</w:t>
      </w:r>
      <w:r>
        <w:br/>
      </w:r>
      <w:r>
        <w:rPr>
          <w:rFonts w:ascii="Courier New" w:hAnsi="Courier New" w:eastAsia="Courier New"/>
          <w:sz w:val="17"/>
        </w:rPr>
        <w:t xml:space="preserve">    api/</w:t>
      </w:r>
      <w:r>
        <w:br/>
      </w:r>
      <w:r>
        <w:rPr>
          <w:rFonts w:ascii="Courier New" w:hAnsi="Courier New" w:eastAsia="Courier New"/>
          <w:sz w:val="17"/>
        </w:rPr>
        <w:t xml:space="preserve">      devices.py</w:t>
      </w:r>
      <w:r>
        <w:br/>
      </w:r>
      <w:r>
        <w:rPr>
          <w:rFonts w:ascii="Courier New" w:hAnsi="Courier New" w:eastAsia="Courier New"/>
          <w:sz w:val="17"/>
        </w:rPr>
        <w:t xml:space="preserve">      policies.py</w:t>
      </w:r>
      <w:r>
        <w:br/>
      </w:r>
      <w:r>
        <w:rPr>
          <w:rFonts w:ascii="Courier New" w:hAnsi="Courier New" w:eastAsia="Courier New"/>
          <w:sz w:val="17"/>
        </w:rPr>
        <w:t xml:space="preserve">      objects.py</w:t>
      </w:r>
      <w:r>
        <w:br/>
      </w:r>
      <w:r>
        <w:rPr>
          <w:rFonts w:ascii="Courier New" w:hAnsi="Courier New" w:eastAsia="Courier New"/>
          <w:sz w:val="17"/>
        </w:rPr>
        <w:t xml:space="preserve">      anomalies.py</w:t>
      </w:r>
      <w:r>
        <w:br/>
      </w:r>
      <w:r>
        <w:rPr>
          <w:rFonts w:ascii="Courier New" w:hAnsi="Courier New" w:eastAsia="Courier New"/>
          <w:sz w:val="17"/>
        </w:rPr>
        <w:t xml:space="preserve">      risks.py</w:t>
      </w:r>
      <w:r>
        <w:br/>
      </w:r>
      <w:r>
        <w:rPr>
          <w:rFonts w:ascii="Courier New" w:hAnsi="Courier New" w:eastAsia="Courier New"/>
          <w:sz w:val="17"/>
        </w:rPr>
        <w:t xml:space="preserve">      cti.py</w:t>
      </w:r>
      <w:r>
        <w:br/>
      </w:r>
      <w:r>
        <w:rPr>
          <w:rFonts w:ascii="Courier New" w:hAnsi="Courier New" w:eastAsia="Courier New"/>
          <w:sz w:val="17"/>
        </w:rPr>
        <w:t xml:space="preserve">      reports.py</w:t>
      </w:r>
      <w:r>
        <w:br/>
      </w:r>
      <w:r>
        <w:rPr>
          <w:rFonts w:ascii="Courier New" w:hAnsi="Courier New" w:eastAsia="Courier New"/>
          <w:sz w:val="17"/>
        </w:rPr>
        <w:t xml:space="preserve">      benchmarks.py</w:t>
      </w:r>
      <w:r>
        <w:br/>
      </w:r>
      <w:r>
        <w:rPr>
          <w:rFonts w:ascii="Courier New" w:hAnsi="Courier New" w:eastAsia="Courier New"/>
          <w:sz w:val="17"/>
        </w:rPr>
        <w:t xml:space="preserve">      graph.py</w:t>
      </w:r>
      <w:r>
        <w:br/>
      </w:r>
      <w:r>
        <w:rPr>
          <w:rFonts w:ascii="Courier New" w:hAnsi="Courier New" w:eastAsia="Courier New"/>
          <w:sz w:val="17"/>
        </w:rPr>
        <w:t xml:space="preserve">    core/</w:t>
      </w:r>
      <w:r>
        <w:br/>
      </w:r>
      <w:r>
        <w:rPr>
          <w:rFonts w:ascii="Courier New" w:hAnsi="Courier New" w:eastAsia="Courier New"/>
          <w:sz w:val="17"/>
        </w:rPr>
        <w:t xml:space="preserve">      config.py</w:t>
      </w:r>
      <w:r>
        <w:br/>
      </w:r>
      <w:r>
        <w:rPr>
          <w:rFonts w:ascii="Courier New" w:hAnsi="Courier New" w:eastAsia="Courier New"/>
          <w:sz w:val="17"/>
        </w:rPr>
        <w:t xml:space="preserve">      security.py</w:t>
      </w:r>
      <w:r>
        <w:br/>
      </w:r>
      <w:r>
        <w:rPr>
          <w:rFonts w:ascii="Courier New" w:hAnsi="Courier New" w:eastAsia="Courier New"/>
          <w:sz w:val="17"/>
        </w:rPr>
        <w:t xml:space="preserve">      logging.py</w:t>
      </w:r>
      <w:r>
        <w:br/>
      </w:r>
      <w:r>
        <w:rPr>
          <w:rFonts w:ascii="Courier New" w:hAnsi="Courier New" w:eastAsia="Courier New"/>
          <w:sz w:val="17"/>
        </w:rPr>
        <w:t xml:space="preserve">    db/</w:t>
      </w:r>
      <w:r>
        <w:br/>
      </w:r>
      <w:r>
        <w:rPr>
          <w:rFonts w:ascii="Courier New" w:hAnsi="Courier New" w:eastAsia="Courier New"/>
          <w:sz w:val="17"/>
        </w:rPr>
        <w:t xml:space="preserve">      models.py</w:t>
      </w:r>
      <w:r>
        <w:br/>
      </w:r>
      <w:r>
        <w:rPr>
          <w:rFonts w:ascii="Courier New" w:hAnsi="Courier New" w:eastAsia="Courier New"/>
          <w:sz w:val="17"/>
        </w:rPr>
        <w:t xml:space="preserve">      session.py</w:t>
      </w:r>
      <w:r>
        <w:br/>
      </w:r>
      <w:r>
        <w:rPr>
          <w:rFonts w:ascii="Courier New" w:hAnsi="Courier New" w:eastAsia="Courier New"/>
          <w:sz w:val="17"/>
        </w:rPr>
        <w:t xml:space="preserve">      migrations/</w:t>
      </w:r>
      <w:r>
        <w:br/>
      </w:r>
      <w:r>
        <w:rPr>
          <w:rFonts w:ascii="Courier New" w:hAnsi="Courier New" w:eastAsia="Courier New"/>
          <w:sz w:val="17"/>
        </w:rPr>
        <w:t xml:space="preserve">    services/</w:t>
      </w:r>
      <w:r>
        <w:br/>
      </w:r>
      <w:r>
        <w:rPr>
          <w:rFonts w:ascii="Courier New" w:hAnsi="Courier New" w:eastAsia="Courier New"/>
          <w:sz w:val="17"/>
        </w:rPr>
        <w:t xml:space="preserve">      acquisition/</w:t>
      </w:r>
      <w:r>
        <w:br/>
      </w:r>
      <w:r>
        <w:rPr>
          <w:rFonts w:ascii="Courier New" w:hAnsi="Courier New" w:eastAsia="Courier New"/>
          <w:sz w:val="17"/>
        </w:rPr>
        <w:t xml:space="preserve">      parsing/</w:t>
      </w:r>
      <w:r>
        <w:br/>
      </w:r>
      <w:r>
        <w:rPr>
          <w:rFonts w:ascii="Courier New" w:hAnsi="Courier New" w:eastAsia="Courier New"/>
          <w:sz w:val="17"/>
        </w:rPr>
        <w:t xml:space="preserve">      normalization/</w:t>
      </w:r>
      <w:r>
        <w:br/>
      </w:r>
      <w:r>
        <w:rPr>
          <w:rFonts w:ascii="Courier New" w:hAnsi="Courier New" w:eastAsia="Courier New"/>
          <w:sz w:val="17"/>
        </w:rPr>
        <w:t xml:space="preserve">      anomaly/</w:t>
      </w:r>
      <w:r>
        <w:br/>
      </w:r>
      <w:r>
        <w:rPr>
          <w:rFonts w:ascii="Courier New" w:hAnsi="Courier New" w:eastAsia="Courier New"/>
          <w:sz w:val="17"/>
        </w:rPr>
        <w:t xml:space="preserve">      risk/</w:t>
      </w:r>
      <w:r>
        <w:br/>
      </w:r>
      <w:r>
        <w:rPr>
          <w:rFonts w:ascii="Courier New" w:hAnsi="Courier New" w:eastAsia="Courier New"/>
          <w:sz w:val="17"/>
        </w:rPr>
        <w:t xml:space="preserve">      cti/</w:t>
      </w:r>
      <w:r>
        <w:br/>
      </w:r>
      <w:r>
        <w:rPr>
          <w:rFonts w:ascii="Courier New" w:hAnsi="Courier New" w:eastAsia="Courier New"/>
          <w:sz w:val="17"/>
        </w:rPr>
        <w:t xml:space="preserve">      llm/</w:t>
      </w:r>
      <w:r>
        <w:br/>
      </w:r>
      <w:r>
        <w:rPr>
          <w:rFonts w:ascii="Courier New" w:hAnsi="Courier New" w:eastAsia="Courier New"/>
          <w:sz w:val="17"/>
        </w:rPr>
        <w:t xml:space="preserve">      reporting/</w:t>
      </w:r>
      <w:r>
        <w:br/>
      </w:r>
      <w:r>
        <w:rPr>
          <w:rFonts w:ascii="Courier New" w:hAnsi="Courier New" w:eastAsia="Courier New"/>
          <w:sz w:val="17"/>
        </w:rPr>
        <w:t xml:space="preserve">      graph/</w:t>
      </w:r>
      <w:r>
        <w:br/>
      </w:r>
      <w:r>
        <w:rPr>
          <w:rFonts w:ascii="Courier New" w:hAnsi="Courier New" w:eastAsia="Courier New"/>
          <w:sz w:val="17"/>
        </w:rPr>
        <w:t xml:space="preserve">    workers/</w:t>
      </w:r>
      <w:r>
        <w:br/>
      </w:r>
      <w:r>
        <w:rPr>
          <w:rFonts w:ascii="Courier New" w:hAnsi="Courier New" w:eastAsia="Courier New"/>
          <w:sz w:val="17"/>
        </w:rPr>
        <w:t xml:space="preserve">      celery_app.py</w:t>
      </w:r>
      <w:r>
        <w:br/>
      </w:r>
      <w:r>
        <w:rPr>
          <w:rFonts w:ascii="Courier New" w:hAnsi="Courier New" w:eastAsia="Courier New"/>
          <w:sz w:val="17"/>
        </w:rPr>
        <w:t xml:space="preserve">      tasks.py</w:t>
      </w:r>
      <w:r>
        <w:br/>
      </w:r>
    </w:p>
    <w:p>
      <w:pPr>
        <w:pStyle w:val="Heading2"/>
      </w:pPr>
      <w:r>
        <w:t>14.2 Backend API Groups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sz w:val="18"/>
              </w:rPr>
            </w:r>
            <w:r>
              <w:rPr>
                <w:b/>
                <w:color w:val="FFFFFF"/>
                <w:sz w:val="18"/>
              </w:rPr>
              <w:t>API Group</w:t>
            </w:r>
          </w:p>
        </w:tc>
        <w:tc>
          <w:tcPr>
            <w:tcW w:type="dxa" w:w="5112"/>
            <w:shd w:fill="1F4E79"/>
            <w:vAlign w:val="center"/>
          </w:tcPr>
          <w:p>
            <w:r>
              <w:rPr>
                <w:sz w:val="18"/>
              </w:rPr>
            </w:r>
            <w:r>
              <w:rPr>
                <w:b/>
                <w:color w:val="FFFFFF"/>
                <w:sz w:val="18"/>
              </w:rPr>
              <w:t>Example Endpoint</w:t>
            </w:r>
          </w:p>
        </w:tc>
      </w:tr>
      <w:tr>
        <w:tc>
          <w:tcPr>
            <w:tcW w:type="dxa" w:w="5112"/>
            <w:vAlign w:val="center"/>
          </w:tcPr>
          <w:p>
            <w:r>
              <w:rPr>
                <w:sz w:val="18"/>
              </w:rPr>
            </w:r>
            <w:r>
              <w:rPr>
                <w:b w:val="0"/>
                <w:sz w:val="18"/>
              </w:rPr>
              <w:t>Devices</w:t>
            </w:r>
          </w:p>
        </w:tc>
        <w:tc>
          <w:tcPr>
            <w:tcW w:type="dxa" w:w="5112"/>
            <w:vAlign w:val="center"/>
          </w:tcPr>
          <w:p>
            <w:r>
              <w:rPr>
                <w:sz w:val="18"/>
              </w:rPr>
            </w:r>
            <w:r>
              <w:rPr>
                <w:b w:val="0"/>
                <w:sz w:val="18"/>
              </w:rPr>
              <w:t>/api/devices</w:t>
            </w:r>
          </w:p>
        </w:tc>
      </w:tr>
      <w:tr>
        <w:tc>
          <w:tcPr>
            <w:tcW w:type="dxa" w:w="5112"/>
            <w:vAlign w:val="center"/>
          </w:tcPr>
          <w:p>
            <w:r>
              <w:rPr>
                <w:sz w:val="18"/>
              </w:rPr>
            </w:r>
            <w:r>
              <w:rPr>
                <w:b w:val="0"/>
                <w:sz w:val="18"/>
              </w:rPr>
              <w:t>Polling Jobs</w:t>
            </w:r>
          </w:p>
        </w:tc>
        <w:tc>
          <w:tcPr>
            <w:tcW w:type="dxa" w:w="5112"/>
            <w:vAlign w:val="center"/>
          </w:tcPr>
          <w:p>
            <w:r>
              <w:rPr>
                <w:sz w:val="18"/>
              </w:rPr>
            </w:r>
            <w:r>
              <w:rPr>
                <w:b w:val="0"/>
                <w:sz w:val="18"/>
              </w:rPr>
              <w:t>/api/jobs</w:t>
            </w:r>
          </w:p>
        </w:tc>
      </w:tr>
      <w:tr>
        <w:tc>
          <w:tcPr>
            <w:tcW w:type="dxa" w:w="5112"/>
            <w:vAlign w:val="center"/>
          </w:tcPr>
          <w:p>
            <w:r>
              <w:rPr>
                <w:sz w:val="18"/>
              </w:rPr>
            </w:r>
            <w:r>
              <w:rPr>
                <w:b w:val="0"/>
                <w:sz w:val="18"/>
              </w:rPr>
              <w:t>Policies</w:t>
            </w:r>
          </w:p>
        </w:tc>
        <w:tc>
          <w:tcPr>
            <w:tcW w:type="dxa" w:w="5112"/>
            <w:vAlign w:val="center"/>
          </w:tcPr>
          <w:p>
            <w:r>
              <w:rPr>
                <w:sz w:val="18"/>
              </w:rPr>
            </w:r>
            <w:r>
              <w:rPr>
                <w:b w:val="0"/>
                <w:sz w:val="18"/>
              </w:rPr>
              <w:t>/api/policies</w:t>
            </w:r>
          </w:p>
        </w:tc>
      </w:tr>
      <w:tr>
        <w:tc>
          <w:tcPr>
            <w:tcW w:type="dxa" w:w="5112"/>
            <w:vAlign w:val="center"/>
          </w:tcPr>
          <w:p>
            <w:r>
              <w:rPr>
                <w:sz w:val="18"/>
              </w:rPr>
            </w:r>
            <w:r>
              <w:rPr>
                <w:b w:val="0"/>
                <w:sz w:val="18"/>
              </w:rPr>
              <w:t>Objects</w:t>
            </w:r>
          </w:p>
        </w:tc>
        <w:tc>
          <w:tcPr>
            <w:tcW w:type="dxa" w:w="5112"/>
            <w:vAlign w:val="center"/>
          </w:tcPr>
          <w:p>
            <w:r>
              <w:rPr>
                <w:sz w:val="18"/>
              </w:rPr>
            </w:r>
            <w:r>
              <w:rPr>
                <w:b w:val="0"/>
                <w:sz w:val="18"/>
              </w:rPr>
              <w:t>/api/objects</w:t>
            </w:r>
          </w:p>
        </w:tc>
      </w:tr>
      <w:tr>
        <w:tc>
          <w:tcPr>
            <w:tcW w:type="dxa" w:w="5112"/>
            <w:vAlign w:val="center"/>
          </w:tcPr>
          <w:p>
            <w:r>
              <w:rPr>
                <w:sz w:val="18"/>
              </w:rPr>
            </w:r>
            <w:r>
              <w:rPr>
                <w:b w:val="0"/>
                <w:sz w:val="18"/>
              </w:rPr>
              <w:t>Anomalies</w:t>
            </w:r>
          </w:p>
        </w:tc>
        <w:tc>
          <w:tcPr>
            <w:tcW w:type="dxa" w:w="5112"/>
            <w:vAlign w:val="center"/>
          </w:tcPr>
          <w:p>
            <w:r>
              <w:rPr>
                <w:sz w:val="18"/>
              </w:rPr>
            </w:r>
            <w:r>
              <w:rPr>
                <w:b w:val="0"/>
                <w:sz w:val="18"/>
              </w:rPr>
              <w:t>/api/anomalies</w:t>
            </w:r>
          </w:p>
        </w:tc>
      </w:tr>
      <w:tr>
        <w:tc>
          <w:tcPr>
            <w:tcW w:type="dxa" w:w="5112"/>
            <w:vAlign w:val="center"/>
          </w:tcPr>
          <w:p>
            <w:r>
              <w:rPr>
                <w:sz w:val="18"/>
              </w:rPr>
            </w:r>
            <w:r>
              <w:rPr>
                <w:b w:val="0"/>
                <w:sz w:val="18"/>
              </w:rPr>
              <w:t>Risks</w:t>
            </w:r>
          </w:p>
        </w:tc>
        <w:tc>
          <w:tcPr>
            <w:tcW w:type="dxa" w:w="5112"/>
            <w:vAlign w:val="center"/>
          </w:tcPr>
          <w:p>
            <w:r>
              <w:rPr>
                <w:sz w:val="18"/>
              </w:rPr>
            </w:r>
            <w:r>
              <w:rPr>
                <w:b w:val="0"/>
                <w:sz w:val="18"/>
              </w:rPr>
              <w:t>/api/risks</w:t>
            </w:r>
          </w:p>
        </w:tc>
      </w:tr>
      <w:tr>
        <w:tc>
          <w:tcPr>
            <w:tcW w:type="dxa" w:w="5112"/>
            <w:vAlign w:val="center"/>
          </w:tcPr>
          <w:p>
            <w:r>
              <w:rPr>
                <w:sz w:val="18"/>
              </w:rPr>
            </w:r>
            <w:r>
              <w:rPr>
                <w:b w:val="0"/>
                <w:sz w:val="18"/>
              </w:rPr>
              <w:t>CTI</w:t>
            </w:r>
          </w:p>
        </w:tc>
        <w:tc>
          <w:tcPr>
            <w:tcW w:type="dxa" w:w="5112"/>
            <w:vAlign w:val="center"/>
          </w:tcPr>
          <w:p>
            <w:r>
              <w:rPr>
                <w:sz w:val="18"/>
              </w:rPr>
            </w:r>
            <w:r>
              <w:rPr>
                <w:b w:val="0"/>
                <w:sz w:val="18"/>
              </w:rPr>
              <w:t>/api/cti</w:t>
            </w:r>
          </w:p>
        </w:tc>
      </w:tr>
      <w:tr>
        <w:tc>
          <w:tcPr>
            <w:tcW w:type="dxa" w:w="5112"/>
            <w:vAlign w:val="center"/>
          </w:tcPr>
          <w:p>
            <w:r>
              <w:rPr>
                <w:sz w:val="18"/>
              </w:rPr>
            </w:r>
            <w:r>
              <w:rPr>
                <w:b w:val="0"/>
                <w:sz w:val="18"/>
              </w:rPr>
              <w:t>Reports</w:t>
            </w:r>
          </w:p>
        </w:tc>
        <w:tc>
          <w:tcPr>
            <w:tcW w:type="dxa" w:w="5112"/>
            <w:vAlign w:val="center"/>
          </w:tcPr>
          <w:p>
            <w:r>
              <w:rPr>
                <w:sz w:val="18"/>
              </w:rPr>
            </w:r>
            <w:r>
              <w:rPr>
                <w:b w:val="0"/>
                <w:sz w:val="18"/>
              </w:rPr>
              <w:t>/api/reports</w:t>
            </w:r>
          </w:p>
        </w:tc>
      </w:tr>
      <w:tr>
        <w:tc>
          <w:tcPr>
            <w:tcW w:type="dxa" w:w="5112"/>
            <w:vAlign w:val="center"/>
          </w:tcPr>
          <w:p>
            <w:r>
              <w:rPr>
                <w:sz w:val="18"/>
              </w:rPr>
            </w:r>
            <w:r>
              <w:rPr>
                <w:b w:val="0"/>
                <w:sz w:val="18"/>
              </w:rPr>
              <w:t>Benchmarks</w:t>
            </w:r>
          </w:p>
        </w:tc>
        <w:tc>
          <w:tcPr>
            <w:tcW w:type="dxa" w:w="5112"/>
            <w:vAlign w:val="center"/>
          </w:tcPr>
          <w:p>
            <w:r>
              <w:rPr>
                <w:sz w:val="18"/>
              </w:rPr>
            </w:r>
            <w:r>
              <w:rPr>
                <w:b w:val="0"/>
                <w:sz w:val="18"/>
              </w:rPr>
              <w:t>/api/benchmarks</w:t>
            </w:r>
          </w:p>
        </w:tc>
      </w:tr>
      <w:tr>
        <w:tc>
          <w:tcPr>
            <w:tcW w:type="dxa" w:w="5112"/>
            <w:vAlign w:val="center"/>
          </w:tcPr>
          <w:p>
            <w:r>
              <w:rPr>
                <w:sz w:val="18"/>
              </w:rPr>
            </w:r>
            <w:r>
              <w:rPr>
                <w:b w:val="0"/>
                <w:sz w:val="18"/>
              </w:rPr>
              <w:t>Graph</w:t>
            </w:r>
          </w:p>
        </w:tc>
        <w:tc>
          <w:tcPr>
            <w:tcW w:type="dxa" w:w="5112"/>
            <w:vAlign w:val="center"/>
          </w:tcPr>
          <w:p>
            <w:r>
              <w:rPr>
                <w:sz w:val="18"/>
              </w:rPr>
            </w:r>
            <w:r>
              <w:rPr>
                <w:b w:val="0"/>
                <w:sz w:val="18"/>
              </w:rPr>
              <w:t>/api/graph</w:t>
            </w:r>
          </w:p>
        </w:tc>
      </w:tr>
      <w:tr>
        <w:tc>
          <w:tcPr>
            <w:tcW w:type="dxa" w:w="5112"/>
            <w:vAlign w:val="center"/>
          </w:tcPr>
          <w:p>
            <w:r>
              <w:rPr>
                <w:sz w:val="18"/>
              </w:rPr>
            </w:r>
            <w:r>
              <w:rPr>
                <w:b w:val="0"/>
                <w:sz w:val="18"/>
              </w:rPr>
              <w:t>Settings</w:t>
            </w:r>
          </w:p>
        </w:tc>
        <w:tc>
          <w:tcPr>
            <w:tcW w:type="dxa" w:w="5112"/>
            <w:vAlign w:val="center"/>
          </w:tcPr>
          <w:p>
            <w:r>
              <w:rPr>
                <w:sz w:val="18"/>
              </w:rPr>
            </w:r>
            <w:r>
              <w:rPr>
                <w:b w:val="0"/>
                <w:sz w:val="18"/>
              </w:rPr>
              <w:t>/api/settings</w:t>
            </w:r>
          </w:p>
        </w:tc>
      </w:tr>
    </w:tbl>
    <w:p/>
    <w:p>
      <w:pPr>
        <w:pStyle w:val="Heading2"/>
      </w:pPr>
      <w:r>
        <w:t>14.3 Worker Architecture</w:t>
      </w:r>
    </w:p>
    <w:p>
      <w:r>
        <w:t>Celery workers should be split by job type to allow scaling each workload independently.</w:t>
      </w:r>
    </w:p>
    <w:p>
      <w:pPr>
        <w:pStyle w:val="CodeBlock"/>
      </w:pPr>
      <w:r>
        <w:rPr>
          <w:rFonts w:ascii="Courier New" w:hAnsi="Courier New" w:eastAsia="Courier New"/>
          <w:sz w:val="17"/>
        </w:rPr>
        <w:t>worker-acquisition</w:t>
      </w:r>
      <w:r>
        <w:br/>
      </w:r>
      <w:r>
        <w:rPr>
          <w:rFonts w:ascii="Courier New" w:hAnsi="Courier New" w:eastAsia="Courier New"/>
          <w:sz w:val="17"/>
        </w:rPr>
        <w:t>worker-normalization</w:t>
      </w:r>
      <w:r>
        <w:br/>
      </w:r>
      <w:r>
        <w:rPr>
          <w:rFonts w:ascii="Courier New" w:hAnsi="Courier New" w:eastAsia="Courier New"/>
          <w:sz w:val="17"/>
        </w:rPr>
        <w:t>worker-analysis</w:t>
      </w:r>
      <w:r>
        <w:br/>
      </w:r>
      <w:r>
        <w:rPr>
          <w:rFonts w:ascii="Courier New" w:hAnsi="Courier New" w:eastAsia="Courier New"/>
          <w:sz w:val="17"/>
        </w:rPr>
        <w:t>worker-cti</w:t>
      </w:r>
      <w:r>
        <w:br/>
      </w:r>
      <w:r>
        <w:rPr>
          <w:rFonts w:ascii="Courier New" w:hAnsi="Courier New" w:eastAsia="Courier New"/>
          <w:sz w:val="17"/>
        </w:rPr>
        <w:t>worker-reporting</w:t>
      </w:r>
      <w:r>
        <w:br/>
      </w:r>
    </w:p>
    <w:p>
      <w:pPr>
        <w:pStyle w:val="Heading1"/>
      </w:pPr>
      <w:r>
        <w:t>15. Main Data Flows</w:t>
      </w:r>
    </w:p>
    <w:p>
      <w:pPr>
        <w:pStyle w:val="Heading2"/>
      </w:pPr>
      <w:r>
        <w:t>15.1 Firewall Extraction Flow</w:t>
      </w:r>
    </w:p>
    <w:p>
      <w:pPr>
        <w:pStyle w:val="CodeBlock"/>
      </w:pPr>
      <w:r>
        <w:rPr>
          <w:rFonts w:ascii="Courier New" w:hAnsi="Courier New" w:eastAsia="Courier New"/>
          <w:sz w:val="17"/>
        </w:rPr>
        <w:t>User or scheduler triggers poll</w:t>
      </w:r>
      <w:r>
        <w:br/>
      </w:r>
      <w:r>
        <w:rPr>
          <w:rFonts w:ascii="Courier New" w:hAnsi="Courier New" w:eastAsia="Courier New"/>
          <w:sz w:val="17"/>
        </w:rPr>
        <w:t xml:space="preserve">        ↓</w:t>
      </w:r>
      <w:r>
        <w:br/>
      </w:r>
      <w:r>
        <w:rPr>
          <w:rFonts w:ascii="Courier New" w:hAnsi="Courier New" w:eastAsia="Courier New"/>
          <w:sz w:val="17"/>
        </w:rPr>
        <w:t>FastAPI creates extraction job</w:t>
      </w:r>
      <w:r>
        <w:br/>
      </w:r>
      <w:r>
        <w:rPr>
          <w:rFonts w:ascii="Courier New" w:hAnsi="Courier New" w:eastAsia="Courier New"/>
          <w:sz w:val="17"/>
        </w:rPr>
        <w:t xml:space="preserve">        ↓</w:t>
      </w:r>
      <w:r>
        <w:br/>
      </w:r>
      <w:r>
        <w:rPr>
          <w:rFonts w:ascii="Courier New" w:hAnsi="Courier New" w:eastAsia="Courier New"/>
          <w:sz w:val="17"/>
        </w:rPr>
        <w:t>Redis queues job</w:t>
      </w:r>
      <w:r>
        <w:br/>
      </w:r>
      <w:r>
        <w:rPr>
          <w:rFonts w:ascii="Courier New" w:hAnsi="Courier New" w:eastAsia="Courier New"/>
          <w:sz w:val="17"/>
        </w:rPr>
        <w:t xml:space="preserve">        ↓</w:t>
      </w:r>
      <w:r>
        <w:br/>
      </w:r>
      <w:r>
        <w:rPr>
          <w:rFonts w:ascii="Courier New" w:hAnsi="Courier New" w:eastAsia="Courier New"/>
          <w:sz w:val="17"/>
        </w:rPr>
        <w:t>Celery acquisition worker runs connector</w:t>
      </w:r>
      <w:r>
        <w:br/>
      </w:r>
      <w:r>
        <w:rPr>
          <w:rFonts w:ascii="Courier New" w:hAnsi="Courier New" w:eastAsia="Courier New"/>
          <w:sz w:val="17"/>
        </w:rPr>
        <w:t xml:space="preserve">        ↓</w:t>
      </w:r>
      <w:r>
        <w:br/>
      </w:r>
      <w:r>
        <w:rPr>
          <w:rFonts w:ascii="Courier New" w:hAnsi="Courier New" w:eastAsia="Courier New"/>
          <w:sz w:val="17"/>
        </w:rPr>
        <w:t>Raw firewall data retrieved</w:t>
      </w:r>
      <w:r>
        <w:br/>
      </w:r>
      <w:r>
        <w:rPr>
          <w:rFonts w:ascii="Courier New" w:hAnsi="Courier New" w:eastAsia="Courier New"/>
          <w:sz w:val="17"/>
        </w:rPr>
        <w:t xml:space="preserve">        ↓</w:t>
      </w:r>
      <w:r>
        <w:br/>
      </w:r>
      <w:r>
        <w:rPr>
          <w:rFonts w:ascii="Courier New" w:hAnsi="Courier New" w:eastAsia="Courier New"/>
          <w:sz w:val="17"/>
        </w:rPr>
        <w:t>Raw output stored</w:t>
      </w:r>
      <w:r>
        <w:br/>
      </w:r>
      <w:r>
        <w:rPr>
          <w:rFonts w:ascii="Courier New" w:hAnsi="Courier New" w:eastAsia="Courier New"/>
          <w:sz w:val="17"/>
        </w:rPr>
        <w:t xml:space="preserve">        ↓</w:t>
      </w:r>
      <w:r>
        <w:br/>
      </w:r>
      <w:r>
        <w:rPr>
          <w:rFonts w:ascii="Courier New" w:hAnsi="Courier New" w:eastAsia="Courier New"/>
          <w:sz w:val="17"/>
        </w:rPr>
        <w:t>Parser job triggered</w:t>
      </w:r>
      <w:r>
        <w:br/>
      </w:r>
    </w:p>
    <w:p>
      <w:pPr>
        <w:pStyle w:val="Heading2"/>
      </w:pPr>
      <w:r>
        <w:t>15.2 Parsing and Normalization Flow</w:t>
      </w:r>
    </w:p>
    <w:p>
      <w:pPr>
        <w:pStyle w:val="CodeBlock"/>
      </w:pPr>
      <w:r>
        <w:rPr>
          <w:rFonts w:ascii="Courier New" w:hAnsi="Courier New" w:eastAsia="Courier New"/>
          <w:sz w:val="17"/>
        </w:rPr>
        <w:t>Raw FortiGate JSON / Palo Alto XML</w:t>
      </w:r>
      <w:r>
        <w:br/>
      </w:r>
      <w:r>
        <w:rPr>
          <w:rFonts w:ascii="Courier New" w:hAnsi="Courier New" w:eastAsia="Courier New"/>
          <w:sz w:val="17"/>
        </w:rPr>
        <w:t xml:space="preserve">        ↓</w:t>
      </w:r>
      <w:r>
        <w:br/>
      </w:r>
      <w:r>
        <w:rPr>
          <w:rFonts w:ascii="Courier New" w:hAnsi="Courier New" w:eastAsia="Courier New"/>
          <w:sz w:val="17"/>
        </w:rPr>
        <w:t>Vendor parser</w:t>
      </w:r>
      <w:r>
        <w:br/>
      </w:r>
      <w:r>
        <w:rPr>
          <w:rFonts w:ascii="Courier New" w:hAnsi="Courier New" w:eastAsia="Courier New"/>
          <w:sz w:val="17"/>
        </w:rPr>
        <w:t xml:space="preserve">        ↓</w:t>
      </w:r>
      <w:r>
        <w:br/>
      </w:r>
      <w:r>
        <w:rPr>
          <w:rFonts w:ascii="Courier New" w:hAnsi="Courier New" w:eastAsia="Courier New"/>
          <w:sz w:val="17"/>
        </w:rPr>
        <w:t>Structured parser model</w:t>
      </w:r>
      <w:r>
        <w:br/>
      </w:r>
      <w:r>
        <w:rPr>
          <w:rFonts w:ascii="Courier New" w:hAnsi="Courier New" w:eastAsia="Courier New"/>
          <w:sz w:val="17"/>
        </w:rPr>
        <w:t xml:space="preserve">        ↓</w:t>
      </w:r>
      <w:r>
        <w:br/>
      </w:r>
      <w:r>
        <w:rPr>
          <w:rFonts w:ascii="Courier New" w:hAnsi="Courier New" w:eastAsia="Courier New"/>
          <w:sz w:val="17"/>
        </w:rPr>
        <w:t>Normalization engine</w:t>
      </w:r>
      <w:r>
        <w:br/>
      </w:r>
      <w:r>
        <w:rPr>
          <w:rFonts w:ascii="Courier New" w:hAnsi="Courier New" w:eastAsia="Courier New"/>
          <w:sz w:val="17"/>
        </w:rPr>
        <w:t xml:space="preserve">        ↓</w:t>
      </w:r>
      <w:r>
        <w:br/>
      </w:r>
      <w:r>
        <w:rPr>
          <w:rFonts w:ascii="Courier New" w:hAnsi="Courier New" w:eastAsia="Courier New"/>
          <w:sz w:val="17"/>
        </w:rPr>
        <w:t>Normalized policy repository</w:t>
      </w:r>
      <w:r>
        <w:br/>
      </w:r>
      <w:r>
        <w:rPr>
          <w:rFonts w:ascii="Courier New" w:hAnsi="Courier New" w:eastAsia="Courier New"/>
          <w:sz w:val="17"/>
        </w:rPr>
        <w:t xml:space="preserve">        ↓</w:t>
      </w:r>
      <w:r>
        <w:br/>
      </w:r>
      <w:r>
        <w:rPr>
          <w:rFonts w:ascii="Courier New" w:hAnsi="Courier New" w:eastAsia="Courier New"/>
          <w:sz w:val="17"/>
        </w:rPr>
        <w:t>Database upsert</w:t>
      </w:r>
      <w:r>
        <w:br/>
      </w:r>
    </w:p>
    <w:p>
      <w:pPr>
        <w:pStyle w:val="Heading2"/>
      </w:pPr>
      <w:r>
        <w:t>15.3 Anomaly Detection Flow</w:t>
      </w:r>
    </w:p>
    <w:p>
      <w:pPr>
        <w:pStyle w:val="CodeBlock"/>
      </w:pPr>
      <w:r>
        <w:rPr>
          <w:rFonts w:ascii="Courier New" w:hAnsi="Courier New" w:eastAsia="Courier New"/>
          <w:sz w:val="17"/>
        </w:rPr>
        <w:t>Normalized policies loaded from PostgreSQL</w:t>
      </w:r>
      <w:r>
        <w:br/>
      </w:r>
      <w:r>
        <w:rPr>
          <w:rFonts w:ascii="Courier New" w:hAnsi="Courier New" w:eastAsia="Courier New"/>
          <w:sz w:val="17"/>
        </w:rPr>
        <w:t xml:space="preserve">        ↓</w:t>
      </w:r>
      <w:r>
        <w:br/>
      </w:r>
      <w:r>
        <w:rPr>
          <w:rFonts w:ascii="Courier New" w:hAnsi="Courier New" w:eastAsia="Courier New"/>
          <w:sz w:val="17"/>
        </w:rPr>
        <w:t>Rule order and object expansion</w:t>
      </w:r>
      <w:r>
        <w:br/>
      </w:r>
      <w:r>
        <w:rPr>
          <w:rFonts w:ascii="Courier New" w:hAnsi="Courier New" w:eastAsia="Courier New"/>
          <w:sz w:val="17"/>
        </w:rPr>
        <w:t xml:space="preserve">        ↓</w:t>
      </w:r>
      <w:r>
        <w:br/>
      </w:r>
      <w:r>
        <w:rPr>
          <w:rFonts w:ascii="Courier New" w:hAnsi="Courier New" w:eastAsia="Courier New"/>
          <w:sz w:val="17"/>
        </w:rPr>
        <w:t>Anomaly checks executed</w:t>
      </w:r>
      <w:r>
        <w:br/>
      </w:r>
      <w:r>
        <w:rPr>
          <w:rFonts w:ascii="Courier New" w:hAnsi="Courier New" w:eastAsia="Courier New"/>
          <w:sz w:val="17"/>
        </w:rPr>
        <w:t xml:space="preserve">        ↓</w:t>
      </w:r>
      <w:r>
        <w:br/>
      </w:r>
      <w:r>
        <w:rPr>
          <w:rFonts w:ascii="Courier New" w:hAnsi="Courier New" w:eastAsia="Courier New"/>
          <w:sz w:val="17"/>
        </w:rPr>
        <w:t>Findings written to rule_anomaly</w:t>
      </w:r>
      <w:r>
        <w:br/>
      </w:r>
      <w:r>
        <w:rPr>
          <w:rFonts w:ascii="Courier New" w:hAnsi="Courier New" w:eastAsia="Courier New"/>
          <w:sz w:val="17"/>
        </w:rPr>
        <w:t xml:space="preserve">        ↓</w:t>
      </w:r>
      <w:r>
        <w:br/>
      </w:r>
      <w:r>
        <w:rPr>
          <w:rFonts w:ascii="Courier New" w:hAnsi="Courier New" w:eastAsia="Courier New"/>
          <w:sz w:val="17"/>
        </w:rPr>
        <w:t>Risk engine triggered</w:t>
      </w:r>
      <w:r>
        <w:br/>
      </w:r>
      <w:r>
        <w:rPr>
          <w:rFonts w:ascii="Courier New" w:hAnsi="Courier New" w:eastAsia="Courier New"/>
          <w:sz w:val="17"/>
        </w:rPr>
        <w:t xml:space="preserve">        ↓</w:t>
      </w:r>
      <w:r>
        <w:br/>
      </w:r>
      <w:r>
        <w:rPr>
          <w:rFonts w:ascii="Courier New" w:hAnsi="Courier New" w:eastAsia="Courier New"/>
          <w:sz w:val="17"/>
        </w:rPr>
        <w:t>Dashboard updated</w:t>
      </w:r>
      <w:r>
        <w:br/>
      </w:r>
    </w:p>
    <w:p>
      <w:pPr>
        <w:pStyle w:val="Heading2"/>
      </w:pPr>
      <w:r>
        <w:t>15.4 CTI Flow</w:t>
      </w:r>
    </w:p>
    <w:p>
      <w:pPr>
        <w:pStyle w:val="CodeBlock"/>
      </w:pPr>
      <w:r>
        <w:rPr>
          <w:rFonts w:ascii="Courier New" w:hAnsi="Courier New" w:eastAsia="Courier New"/>
          <w:sz w:val="17"/>
        </w:rPr>
        <w:t>Normalized objects extracted</w:t>
      </w:r>
      <w:r>
        <w:br/>
      </w:r>
      <w:r>
        <w:rPr>
          <w:rFonts w:ascii="Courier New" w:hAnsi="Courier New" w:eastAsia="Courier New"/>
          <w:sz w:val="17"/>
        </w:rPr>
        <w:t xml:space="preserve">        ↓</w:t>
      </w:r>
      <w:r>
        <w:br/>
      </w:r>
      <w:r>
        <w:rPr>
          <w:rFonts w:ascii="Courier New" w:hAnsi="Courier New" w:eastAsia="Courier New"/>
          <w:sz w:val="17"/>
        </w:rPr>
        <w:t>Public IPs / FQDNs / firmware versions identified</w:t>
      </w:r>
      <w:r>
        <w:br/>
      </w:r>
      <w:r>
        <w:rPr>
          <w:rFonts w:ascii="Courier New" w:hAnsi="Courier New" w:eastAsia="Courier New"/>
          <w:sz w:val="17"/>
        </w:rPr>
        <w:t xml:space="preserve">        ↓</w:t>
      </w:r>
      <w:r>
        <w:br/>
      </w:r>
      <w:r>
        <w:rPr>
          <w:rFonts w:ascii="Courier New" w:hAnsi="Courier New" w:eastAsia="Courier New"/>
          <w:sz w:val="17"/>
        </w:rPr>
        <w:t>LLM generates search queries</w:t>
      </w:r>
      <w:r>
        <w:br/>
      </w:r>
      <w:r>
        <w:rPr>
          <w:rFonts w:ascii="Courier New" w:hAnsi="Courier New" w:eastAsia="Courier New"/>
          <w:sz w:val="17"/>
        </w:rPr>
        <w:t xml:space="preserve">        ↓</w:t>
      </w:r>
      <w:r>
        <w:br/>
      </w:r>
      <w:r>
        <w:rPr>
          <w:rFonts w:ascii="Courier New" w:hAnsi="Courier New" w:eastAsia="Courier New"/>
          <w:sz w:val="17"/>
        </w:rPr>
        <w:t>CTI APIs queried</w:t>
      </w:r>
      <w:r>
        <w:br/>
      </w:r>
      <w:r>
        <w:rPr>
          <w:rFonts w:ascii="Courier New" w:hAnsi="Courier New" w:eastAsia="Courier New"/>
          <w:sz w:val="17"/>
        </w:rPr>
        <w:t xml:space="preserve">        ↓</w:t>
      </w:r>
      <w:r>
        <w:br/>
      </w:r>
      <w:r>
        <w:rPr>
          <w:rFonts w:ascii="Courier New" w:hAnsi="Courier New" w:eastAsia="Courier New"/>
          <w:sz w:val="17"/>
        </w:rPr>
        <w:t>Results normalized</w:t>
      </w:r>
      <w:r>
        <w:br/>
      </w:r>
      <w:r>
        <w:rPr>
          <w:rFonts w:ascii="Courier New" w:hAnsi="Courier New" w:eastAsia="Courier New"/>
          <w:sz w:val="17"/>
        </w:rPr>
        <w:t xml:space="preserve">        ↓</w:t>
      </w:r>
      <w:r>
        <w:br/>
      </w:r>
      <w:r>
        <w:rPr>
          <w:rFonts w:ascii="Courier New" w:hAnsi="Courier New" w:eastAsia="Courier New"/>
          <w:sz w:val="17"/>
        </w:rPr>
        <w:t>Threats correlated to devices/rules</w:t>
      </w:r>
      <w:r>
        <w:br/>
      </w:r>
      <w:r>
        <w:rPr>
          <w:rFonts w:ascii="Courier New" w:hAnsi="Courier New" w:eastAsia="Courier New"/>
          <w:sz w:val="17"/>
        </w:rPr>
        <w:t xml:space="preserve">        ↓</w:t>
      </w:r>
      <w:r>
        <w:br/>
      </w:r>
      <w:r>
        <w:rPr>
          <w:rFonts w:ascii="Courier New" w:hAnsi="Courier New" w:eastAsia="Courier New"/>
          <w:sz w:val="17"/>
        </w:rPr>
        <w:t>Risk score updated</w:t>
      </w:r>
      <w:r>
        <w:br/>
      </w:r>
      <w:r>
        <w:rPr>
          <w:rFonts w:ascii="Courier New" w:hAnsi="Courier New" w:eastAsia="Courier New"/>
          <w:sz w:val="17"/>
        </w:rPr>
        <w:t xml:space="preserve">        ↓</w:t>
      </w:r>
      <w:r>
        <w:br/>
      </w:r>
      <w:r>
        <w:rPr>
          <w:rFonts w:ascii="Courier New" w:hAnsi="Courier New" w:eastAsia="Courier New"/>
          <w:sz w:val="17"/>
        </w:rPr>
        <w:t>LLM generates SOC report</w:t>
      </w:r>
      <w:r>
        <w:br/>
      </w:r>
    </w:p>
    <w:p>
      <w:pPr>
        <w:pStyle w:val="Heading2"/>
      </w:pPr>
      <w:r>
        <w:t>15.5 Benchmark Flow</w:t>
      </w:r>
    </w:p>
    <w:p>
      <w:pPr>
        <w:pStyle w:val="CodeBlock"/>
      </w:pPr>
      <w:r>
        <w:rPr>
          <w:rFonts w:ascii="Courier New" w:hAnsi="Courier New" w:eastAsia="Courier New"/>
          <w:sz w:val="17"/>
        </w:rPr>
        <w:t>Benchmark case defined</w:t>
      </w:r>
      <w:r>
        <w:br/>
      </w:r>
      <w:r>
        <w:rPr>
          <w:rFonts w:ascii="Courier New" w:hAnsi="Courier New" w:eastAsia="Courier New"/>
          <w:sz w:val="17"/>
        </w:rPr>
        <w:t xml:space="preserve">        ↓</w:t>
      </w:r>
      <w:r>
        <w:br/>
      </w:r>
      <w:r>
        <w:rPr>
          <w:rFonts w:ascii="Courier New" w:hAnsi="Courier New" w:eastAsia="Courier New"/>
          <w:sz w:val="17"/>
        </w:rPr>
        <w:t>Rules generated or imported</w:t>
      </w:r>
      <w:r>
        <w:br/>
      </w:r>
      <w:r>
        <w:rPr>
          <w:rFonts w:ascii="Courier New" w:hAnsi="Courier New" w:eastAsia="Courier New"/>
          <w:sz w:val="17"/>
        </w:rPr>
        <w:t xml:space="preserve">        ↓</w:t>
      </w:r>
      <w:r>
        <w:br/>
      </w:r>
      <w:r>
        <w:rPr>
          <w:rFonts w:ascii="Courier New" w:hAnsi="Courier New" w:eastAsia="Courier New"/>
          <w:sz w:val="17"/>
        </w:rPr>
        <w:t>Extraction and normalization executed</w:t>
      </w:r>
      <w:r>
        <w:br/>
      </w:r>
      <w:r>
        <w:rPr>
          <w:rFonts w:ascii="Courier New" w:hAnsi="Courier New" w:eastAsia="Courier New"/>
          <w:sz w:val="17"/>
        </w:rPr>
        <w:t xml:space="preserve">        ↓</w:t>
      </w:r>
      <w:r>
        <w:br/>
      </w:r>
      <w:r>
        <w:rPr>
          <w:rFonts w:ascii="Courier New" w:hAnsi="Courier New" w:eastAsia="Courier New"/>
          <w:sz w:val="17"/>
        </w:rPr>
        <w:t>Anomaly engine runs</w:t>
      </w:r>
      <w:r>
        <w:br/>
      </w:r>
      <w:r>
        <w:rPr>
          <w:rFonts w:ascii="Courier New" w:hAnsi="Courier New" w:eastAsia="Courier New"/>
          <w:sz w:val="17"/>
        </w:rPr>
        <w:t xml:space="preserve">        ↓</w:t>
      </w:r>
      <w:r>
        <w:br/>
      </w:r>
      <w:r>
        <w:rPr>
          <w:rFonts w:ascii="Courier New" w:hAnsi="Courier New" w:eastAsia="Courier New"/>
          <w:sz w:val="17"/>
        </w:rPr>
        <w:t>Detected anomalies compared to expected anomalies</w:t>
      </w:r>
      <w:r>
        <w:br/>
      </w:r>
      <w:r>
        <w:rPr>
          <w:rFonts w:ascii="Courier New" w:hAnsi="Courier New" w:eastAsia="Courier New"/>
          <w:sz w:val="17"/>
        </w:rPr>
        <w:t xml:space="preserve">        ↓</w:t>
      </w:r>
      <w:r>
        <w:br/>
      </w:r>
      <w:r>
        <w:rPr>
          <w:rFonts w:ascii="Courier New" w:hAnsi="Courier New" w:eastAsia="Courier New"/>
          <w:sz w:val="17"/>
        </w:rPr>
        <w:t>Benchmark result stored</w:t>
      </w:r>
      <w:r>
        <w:br/>
      </w:r>
      <w:r>
        <w:rPr>
          <w:rFonts w:ascii="Courier New" w:hAnsi="Courier New" w:eastAsia="Courier New"/>
          <w:sz w:val="17"/>
        </w:rPr>
        <w:t xml:space="preserve">        ↓</w:t>
      </w:r>
      <w:r>
        <w:br/>
      </w:r>
      <w:r>
        <w:rPr>
          <w:rFonts w:ascii="Courier New" w:hAnsi="Courier New" w:eastAsia="Courier New"/>
          <w:sz w:val="17"/>
        </w:rPr>
        <w:t>Precision / recall calculated</w:t>
      </w:r>
      <w:r>
        <w:br/>
      </w:r>
    </w:p>
    <w:p>
      <w:pPr>
        <w:pStyle w:val="Heading1"/>
      </w:pPr>
      <w:r>
        <w:t>16. Lab Infrastructure Architecture</w:t>
      </w:r>
    </w:p>
    <w:p>
      <w:pPr>
        <w:pStyle w:val="Heading2"/>
      </w:pPr>
      <w:r>
        <w:t>16.1 VMware Networks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Pr>
                <w:sz w:val="18"/>
              </w:rPr>
            </w:r>
            <w:r>
              <w:rPr>
                <w:b/>
                <w:color w:val="FFFFFF"/>
                <w:sz w:val="18"/>
              </w:rPr>
              <w:t>Network</w:t>
            </w:r>
          </w:p>
        </w:tc>
        <w:tc>
          <w:tcPr>
            <w:tcW w:type="dxa" w:w="3408"/>
            <w:shd w:fill="1F4E79"/>
            <w:vAlign w:val="center"/>
          </w:tcPr>
          <w:p>
            <w:r>
              <w:rPr>
                <w:sz w:val="18"/>
              </w:rPr>
            </w:r>
            <w:r>
              <w:rPr>
                <w:b/>
                <w:color w:val="FFFFFF"/>
                <w:sz w:val="18"/>
              </w:rPr>
              <w:t>Subnet</w:t>
            </w:r>
          </w:p>
        </w:tc>
        <w:tc>
          <w:tcPr>
            <w:tcW w:type="dxa" w:w="3408"/>
            <w:shd w:fill="1F4E79"/>
            <w:vAlign w:val="center"/>
          </w:tcPr>
          <w:p>
            <w:r>
              <w:rPr>
                <w:sz w:val="18"/>
              </w:rPr>
            </w:r>
            <w:r>
              <w:rPr>
                <w:b/>
                <w:color w:val="FFFFFF"/>
                <w:sz w:val="18"/>
              </w:rPr>
              <w:t>Purpose</w:t>
            </w:r>
          </w:p>
        </w:tc>
      </w:tr>
      <w:tr>
        <w:tc>
          <w:tcPr>
            <w:tcW w:type="dxa" w:w="3408"/>
            <w:vAlign w:val="center"/>
          </w:tcPr>
          <w:p>
            <w:r>
              <w:rPr>
                <w:sz w:val="18"/>
              </w:rPr>
            </w:r>
            <w:r>
              <w:rPr>
                <w:b w:val="0"/>
                <w:sz w:val="18"/>
              </w:rPr>
              <w:t>VMnet2</w:t>
            </w:r>
          </w:p>
        </w:tc>
        <w:tc>
          <w:tcPr>
            <w:tcW w:type="dxa" w:w="3408"/>
            <w:vAlign w:val="center"/>
          </w:tcPr>
          <w:p>
            <w:r>
              <w:rPr>
                <w:sz w:val="18"/>
              </w:rPr>
            </w:r>
            <w:r>
              <w:rPr>
                <w:b w:val="0"/>
                <w:sz w:val="18"/>
              </w:rPr>
              <w:t>10.10.10.0/24</w:t>
            </w:r>
          </w:p>
        </w:tc>
        <w:tc>
          <w:tcPr>
            <w:tcW w:type="dxa" w:w="3408"/>
            <w:vAlign w:val="center"/>
          </w:tcPr>
          <w:p>
            <w:r>
              <w:rPr>
                <w:sz w:val="18"/>
              </w:rPr>
            </w:r>
            <w:r>
              <w:rPr>
                <w:b w:val="0"/>
                <w:sz w:val="18"/>
              </w:rPr>
              <w:t>LAN</w:t>
            </w:r>
          </w:p>
        </w:tc>
      </w:tr>
      <w:tr>
        <w:tc>
          <w:tcPr>
            <w:tcW w:type="dxa" w:w="3408"/>
            <w:vAlign w:val="center"/>
          </w:tcPr>
          <w:p>
            <w:r>
              <w:rPr>
                <w:sz w:val="18"/>
              </w:rPr>
            </w:r>
            <w:r>
              <w:rPr>
                <w:b w:val="0"/>
                <w:sz w:val="18"/>
              </w:rPr>
              <w:t>VMnet3</w:t>
            </w:r>
          </w:p>
        </w:tc>
        <w:tc>
          <w:tcPr>
            <w:tcW w:type="dxa" w:w="3408"/>
            <w:vAlign w:val="center"/>
          </w:tcPr>
          <w:p>
            <w:r>
              <w:rPr>
                <w:sz w:val="18"/>
              </w:rPr>
            </w:r>
            <w:r>
              <w:rPr>
                <w:b w:val="0"/>
                <w:sz w:val="18"/>
              </w:rPr>
              <w:t>10.10.20.0/24</w:t>
            </w:r>
          </w:p>
        </w:tc>
        <w:tc>
          <w:tcPr>
            <w:tcW w:type="dxa" w:w="3408"/>
            <w:vAlign w:val="center"/>
          </w:tcPr>
          <w:p>
            <w:r>
              <w:rPr>
                <w:sz w:val="18"/>
              </w:rPr>
            </w:r>
            <w:r>
              <w:rPr>
                <w:b w:val="0"/>
                <w:sz w:val="18"/>
              </w:rPr>
              <w:t>DMZ</w:t>
            </w:r>
          </w:p>
        </w:tc>
      </w:tr>
      <w:tr>
        <w:tc>
          <w:tcPr>
            <w:tcW w:type="dxa" w:w="3408"/>
            <w:vAlign w:val="center"/>
          </w:tcPr>
          <w:p>
            <w:r>
              <w:rPr>
                <w:sz w:val="18"/>
              </w:rPr>
            </w:r>
            <w:r>
              <w:rPr>
                <w:b w:val="0"/>
                <w:sz w:val="18"/>
              </w:rPr>
              <w:t>VMnet4</w:t>
            </w:r>
          </w:p>
        </w:tc>
        <w:tc>
          <w:tcPr>
            <w:tcW w:type="dxa" w:w="3408"/>
            <w:vAlign w:val="center"/>
          </w:tcPr>
          <w:p>
            <w:r>
              <w:rPr>
                <w:sz w:val="18"/>
              </w:rPr>
            </w:r>
            <w:r>
              <w:rPr>
                <w:b w:val="0"/>
                <w:sz w:val="18"/>
              </w:rPr>
              <w:t>10.10.30.0/24</w:t>
            </w:r>
          </w:p>
        </w:tc>
        <w:tc>
          <w:tcPr>
            <w:tcW w:type="dxa" w:w="3408"/>
            <w:vAlign w:val="center"/>
          </w:tcPr>
          <w:p>
            <w:r>
              <w:rPr>
                <w:sz w:val="18"/>
              </w:rPr>
            </w:r>
            <w:r>
              <w:rPr>
                <w:b w:val="0"/>
                <w:sz w:val="18"/>
              </w:rPr>
              <w:t>DB</w:t>
            </w:r>
          </w:p>
        </w:tc>
      </w:tr>
      <w:tr>
        <w:tc>
          <w:tcPr>
            <w:tcW w:type="dxa" w:w="3408"/>
            <w:vAlign w:val="center"/>
          </w:tcPr>
          <w:p>
            <w:r>
              <w:rPr>
                <w:sz w:val="18"/>
              </w:rPr>
            </w:r>
            <w:r>
              <w:rPr>
                <w:b w:val="0"/>
                <w:sz w:val="18"/>
              </w:rPr>
              <w:t>VMnet5</w:t>
            </w:r>
          </w:p>
        </w:tc>
        <w:tc>
          <w:tcPr>
            <w:tcW w:type="dxa" w:w="3408"/>
            <w:vAlign w:val="center"/>
          </w:tcPr>
          <w:p>
            <w:r>
              <w:rPr>
                <w:sz w:val="18"/>
              </w:rPr>
            </w:r>
            <w:r>
              <w:rPr>
                <w:b w:val="0"/>
                <w:sz w:val="18"/>
              </w:rPr>
              <w:t>192.168.55.0/24</w:t>
            </w:r>
          </w:p>
        </w:tc>
        <w:tc>
          <w:tcPr>
            <w:tcW w:type="dxa" w:w="3408"/>
            <w:vAlign w:val="center"/>
          </w:tcPr>
          <w:p>
            <w:r>
              <w:rPr>
                <w:sz w:val="18"/>
              </w:rPr>
            </w:r>
            <w:r>
              <w:rPr>
                <w:b w:val="0"/>
                <w:sz w:val="18"/>
              </w:rPr>
              <w:t>ADMIN/API</w:t>
            </w:r>
          </w:p>
        </w:tc>
      </w:tr>
    </w:tbl>
    <w:p/>
    <w:p>
      <w:pPr>
        <w:pStyle w:val="Heading2"/>
      </w:pPr>
      <w:r>
        <w:t>16.2 FortiGate VM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Pr>
                <w:sz w:val="18"/>
              </w:rPr>
            </w:r>
            <w:r>
              <w:rPr>
                <w:b/>
                <w:color w:val="FFFFFF"/>
                <w:sz w:val="18"/>
              </w:rPr>
              <w:t>Interface</w:t>
            </w:r>
          </w:p>
        </w:tc>
        <w:tc>
          <w:tcPr>
            <w:tcW w:type="dxa" w:w="3408"/>
            <w:shd w:fill="1F4E79"/>
            <w:vAlign w:val="center"/>
          </w:tcPr>
          <w:p>
            <w:r>
              <w:rPr>
                <w:sz w:val="18"/>
              </w:rPr>
            </w:r>
            <w:r>
              <w:rPr>
                <w:b/>
                <w:color w:val="FFFFFF"/>
                <w:sz w:val="18"/>
              </w:rPr>
              <w:t>Network</w:t>
            </w:r>
          </w:p>
        </w:tc>
        <w:tc>
          <w:tcPr>
            <w:tcW w:type="dxa" w:w="3408"/>
            <w:shd w:fill="1F4E79"/>
            <w:vAlign w:val="center"/>
          </w:tcPr>
          <w:p>
            <w:r>
              <w:rPr>
                <w:sz w:val="18"/>
              </w:rPr>
            </w:r>
            <w:r>
              <w:rPr>
                <w:b/>
                <w:color w:val="FFFFFF"/>
                <w:sz w:val="18"/>
              </w:rPr>
              <w:t>IP</w:t>
            </w:r>
          </w:p>
        </w:tc>
      </w:tr>
      <w:tr>
        <w:tc>
          <w:tcPr>
            <w:tcW w:type="dxa" w:w="3408"/>
            <w:vAlign w:val="center"/>
          </w:tcPr>
          <w:p>
            <w:r>
              <w:rPr>
                <w:sz w:val="18"/>
              </w:rPr>
            </w:r>
            <w:r>
              <w:rPr>
                <w:b w:val="0"/>
                <w:sz w:val="18"/>
              </w:rPr>
              <w:t>port1</w:t>
            </w:r>
          </w:p>
        </w:tc>
        <w:tc>
          <w:tcPr>
            <w:tcW w:type="dxa" w:w="3408"/>
            <w:vAlign w:val="center"/>
          </w:tcPr>
          <w:p>
            <w:r>
              <w:rPr>
                <w:sz w:val="18"/>
              </w:rPr>
            </w:r>
            <w:r>
              <w:rPr>
                <w:b w:val="0"/>
                <w:sz w:val="18"/>
              </w:rPr>
              <w:t>LAN</w:t>
            </w:r>
          </w:p>
        </w:tc>
        <w:tc>
          <w:tcPr>
            <w:tcW w:type="dxa" w:w="3408"/>
            <w:vAlign w:val="center"/>
          </w:tcPr>
          <w:p>
            <w:r>
              <w:rPr>
                <w:sz w:val="18"/>
              </w:rPr>
            </w:r>
            <w:r>
              <w:rPr>
                <w:b w:val="0"/>
                <w:sz w:val="18"/>
              </w:rPr>
              <w:t>10.10.10.1/24</w:t>
            </w:r>
          </w:p>
        </w:tc>
      </w:tr>
      <w:tr>
        <w:tc>
          <w:tcPr>
            <w:tcW w:type="dxa" w:w="3408"/>
            <w:vAlign w:val="center"/>
          </w:tcPr>
          <w:p>
            <w:r>
              <w:rPr>
                <w:sz w:val="18"/>
              </w:rPr>
            </w:r>
            <w:r>
              <w:rPr>
                <w:b w:val="0"/>
                <w:sz w:val="18"/>
              </w:rPr>
              <w:t>port2</w:t>
            </w:r>
          </w:p>
        </w:tc>
        <w:tc>
          <w:tcPr>
            <w:tcW w:type="dxa" w:w="3408"/>
            <w:vAlign w:val="center"/>
          </w:tcPr>
          <w:p>
            <w:r>
              <w:rPr>
                <w:sz w:val="18"/>
              </w:rPr>
            </w:r>
            <w:r>
              <w:rPr>
                <w:b w:val="0"/>
                <w:sz w:val="18"/>
              </w:rPr>
              <w:t>DMZ</w:t>
            </w:r>
          </w:p>
        </w:tc>
        <w:tc>
          <w:tcPr>
            <w:tcW w:type="dxa" w:w="3408"/>
            <w:vAlign w:val="center"/>
          </w:tcPr>
          <w:p>
            <w:r>
              <w:rPr>
                <w:sz w:val="18"/>
              </w:rPr>
            </w:r>
            <w:r>
              <w:rPr>
                <w:b w:val="0"/>
                <w:sz w:val="18"/>
              </w:rPr>
              <w:t>10.10.20.1/24</w:t>
            </w:r>
          </w:p>
        </w:tc>
      </w:tr>
      <w:tr>
        <w:tc>
          <w:tcPr>
            <w:tcW w:type="dxa" w:w="3408"/>
            <w:vAlign w:val="center"/>
          </w:tcPr>
          <w:p>
            <w:r>
              <w:rPr>
                <w:sz w:val="18"/>
              </w:rPr>
            </w:r>
            <w:r>
              <w:rPr>
                <w:b w:val="0"/>
                <w:sz w:val="18"/>
              </w:rPr>
              <w:t>port3</w:t>
            </w:r>
          </w:p>
        </w:tc>
        <w:tc>
          <w:tcPr>
            <w:tcW w:type="dxa" w:w="3408"/>
            <w:vAlign w:val="center"/>
          </w:tcPr>
          <w:p>
            <w:r>
              <w:rPr>
                <w:sz w:val="18"/>
              </w:rPr>
            </w:r>
            <w:r>
              <w:rPr>
                <w:b w:val="0"/>
                <w:sz w:val="18"/>
              </w:rPr>
              <w:t>DB</w:t>
            </w:r>
          </w:p>
        </w:tc>
        <w:tc>
          <w:tcPr>
            <w:tcW w:type="dxa" w:w="3408"/>
            <w:vAlign w:val="center"/>
          </w:tcPr>
          <w:p>
            <w:r>
              <w:rPr>
                <w:sz w:val="18"/>
              </w:rPr>
            </w:r>
            <w:r>
              <w:rPr>
                <w:b w:val="0"/>
                <w:sz w:val="18"/>
              </w:rPr>
              <w:t>10.10.30.1/24</w:t>
            </w:r>
          </w:p>
        </w:tc>
      </w:tr>
      <w:tr>
        <w:tc>
          <w:tcPr>
            <w:tcW w:type="dxa" w:w="3408"/>
            <w:vAlign w:val="center"/>
          </w:tcPr>
          <w:p>
            <w:r>
              <w:rPr>
                <w:sz w:val="18"/>
              </w:rPr>
            </w:r>
            <w:r>
              <w:rPr>
                <w:b w:val="0"/>
                <w:sz w:val="18"/>
              </w:rPr>
              <w:t>port4</w:t>
            </w:r>
          </w:p>
        </w:tc>
        <w:tc>
          <w:tcPr>
            <w:tcW w:type="dxa" w:w="3408"/>
            <w:vAlign w:val="center"/>
          </w:tcPr>
          <w:p>
            <w:r>
              <w:rPr>
                <w:sz w:val="18"/>
              </w:rPr>
            </w:r>
            <w:r>
              <w:rPr>
                <w:b w:val="0"/>
                <w:sz w:val="18"/>
              </w:rPr>
              <w:t>ADMIN/API</w:t>
            </w:r>
          </w:p>
        </w:tc>
        <w:tc>
          <w:tcPr>
            <w:tcW w:type="dxa" w:w="3408"/>
            <w:vAlign w:val="center"/>
          </w:tcPr>
          <w:p>
            <w:r>
              <w:rPr>
                <w:sz w:val="18"/>
              </w:rPr>
            </w:r>
            <w:r>
              <w:rPr>
                <w:b w:val="0"/>
                <w:sz w:val="18"/>
              </w:rPr>
              <w:t>192.168.55.10/24</w:t>
            </w:r>
          </w:p>
        </w:tc>
      </w:tr>
    </w:tbl>
    <w:p/>
    <w:p>
      <w:pPr>
        <w:pStyle w:val="Heading2"/>
      </w:pPr>
      <w:r>
        <w:t>16.3 Palo Alto VM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Pr>
                <w:sz w:val="18"/>
              </w:rPr>
            </w:r>
            <w:r>
              <w:rPr>
                <w:b/>
                <w:color w:val="FFFFFF"/>
                <w:sz w:val="18"/>
              </w:rPr>
              <w:t>Interface</w:t>
            </w:r>
          </w:p>
        </w:tc>
        <w:tc>
          <w:tcPr>
            <w:tcW w:type="dxa" w:w="3408"/>
            <w:shd w:fill="1F4E79"/>
            <w:vAlign w:val="center"/>
          </w:tcPr>
          <w:p>
            <w:r>
              <w:rPr>
                <w:sz w:val="18"/>
              </w:rPr>
            </w:r>
            <w:r>
              <w:rPr>
                <w:b/>
                <w:color w:val="FFFFFF"/>
                <w:sz w:val="18"/>
              </w:rPr>
              <w:t>Network</w:t>
            </w:r>
          </w:p>
        </w:tc>
        <w:tc>
          <w:tcPr>
            <w:tcW w:type="dxa" w:w="3408"/>
            <w:shd w:fill="1F4E79"/>
            <w:vAlign w:val="center"/>
          </w:tcPr>
          <w:p>
            <w:r>
              <w:rPr>
                <w:sz w:val="18"/>
              </w:rPr>
            </w:r>
            <w:r>
              <w:rPr>
                <w:b/>
                <w:color w:val="FFFFFF"/>
                <w:sz w:val="18"/>
              </w:rPr>
              <w:t>IP</w:t>
            </w:r>
          </w:p>
        </w:tc>
      </w:tr>
      <w:tr>
        <w:tc>
          <w:tcPr>
            <w:tcW w:type="dxa" w:w="3408"/>
            <w:vAlign w:val="center"/>
          </w:tcPr>
          <w:p>
            <w:r>
              <w:rPr>
                <w:sz w:val="18"/>
              </w:rPr>
            </w:r>
            <w:r>
              <w:rPr>
                <w:b w:val="0"/>
                <w:sz w:val="18"/>
              </w:rPr>
              <w:t>management</w:t>
            </w:r>
          </w:p>
        </w:tc>
        <w:tc>
          <w:tcPr>
            <w:tcW w:type="dxa" w:w="3408"/>
            <w:vAlign w:val="center"/>
          </w:tcPr>
          <w:p>
            <w:r>
              <w:rPr>
                <w:sz w:val="18"/>
              </w:rPr>
            </w:r>
            <w:r>
              <w:rPr>
                <w:b w:val="0"/>
                <w:sz w:val="18"/>
              </w:rPr>
              <w:t>ADMIN/API</w:t>
            </w:r>
          </w:p>
        </w:tc>
        <w:tc>
          <w:tcPr>
            <w:tcW w:type="dxa" w:w="3408"/>
            <w:vAlign w:val="center"/>
          </w:tcPr>
          <w:p>
            <w:r>
              <w:rPr>
                <w:sz w:val="18"/>
              </w:rPr>
            </w:r>
            <w:r>
              <w:rPr>
                <w:b w:val="0"/>
                <w:sz w:val="18"/>
              </w:rPr>
              <w:t>192.168.55.20/24</w:t>
            </w:r>
          </w:p>
        </w:tc>
      </w:tr>
      <w:tr>
        <w:tc>
          <w:tcPr>
            <w:tcW w:type="dxa" w:w="3408"/>
            <w:vAlign w:val="center"/>
          </w:tcPr>
          <w:p>
            <w:r>
              <w:rPr>
                <w:sz w:val="18"/>
              </w:rPr>
            </w:r>
            <w:r>
              <w:rPr>
                <w:b w:val="0"/>
                <w:sz w:val="18"/>
              </w:rPr>
              <w:t>ethernet1/1</w:t>
            </w:r>
          </w:p>
        </w:tc>
        <w:tc>
          <w:tcPr>
            <w:tcW w:type="dxa" w:w="3408"/>
            <w:vAlign w:val="center"/>
          </w:tcPr>
          <w:p>
            <w:r>
              <w:rPr>
                <w:sz w:val="18"/>
              </w:rPr>
            </w:r>
            <w:r>
              <w:rPr>
                <w:b w:val="0"/>
                <w:sz w:val="18"/>
              </w:rPr>
              <w:t>LAN</w:t>
            </w:r>
          </w:p>
        </w:tc>
        <w:tc>
          <w:tcPr>
            <w:tcW w:type="dxa" w:w="3408"/>
            <w:vAlign w:val="center"/>
          </w:tcPr>
          <w:p>
            <w:r>
              <w:rPr>
                <w:sz w:val="18"/>
              </w:rPr>
            </w:r>
            <w:r>
              <w:rPr>
                <w:b w:val="0"/>
                <w:sz w:val="18"/>
              </w:rPr>
              <w:t>10.10.10.2/24</w:t>
            </w:r>
          </w:p>
        </w:tc>
      </w:tr>
      <w:tr>
        <w:tc>
          <w:tcPr>
            <w:tcW w:type="dxa" w:w="3408"/>
            <w:vAlign w:val="center"/>
          </w:tcPr>
          <w:p>
            <w:r>
              <w:rPr>
                <w:sz w:val="18"/>
              </w:rPr>
            </w:r>
            <w:r>
              <w:rPr>
                <w:b w:val="0"/>
                <w:sz w:val="18"/>
              </w:rPr>
              <w:t>ethernet1/2</w:t>
            </w:r>
          </w:p>
        </w:tc>
        <w:tc>
          <w:tcPr>
            <w:tcW w:type="dxa" w:w="3408"/>
            <w:vAlign w:val="center"/>
          </w:tcPr>
          <w:p>
            <w:r>
              <w:rPr>
                <w:sz w:val="18"/>
              </w:rPr>
            </w:r>
            <w:r>
              <w:rPr>
                <w:b w:val="0"/>
                <w:sz w:val="18"/>
              </w:rPr>
              <w:t>DMZ</w:t>
            </w:r>
          </w:p>
        </w:tc>
        <w:tc>
          <w:tcPr>
            <w:tcW w:type="dxa" w:w="3408"/>
            <w:vAlign w:val="center"/>
          </w:tcPr>
          <w:p>
            <w:r>
              <w:rPr>
                <w:sz w:val="18"/>
              </w:rPr>
            </w:r>
            <w:r>
              <w:rPr>
                <w:b w:val="0"/>
                <w:sz w:val="18"/>
              </w:rPr>
              <w:t>10.10.20.2/24</w:t>
            </w:r>
          </w:p>
        </w:tc>
      </w:tr>
      <w:tr>
        <w:tc>
          <w:tcPr>
            <w:tcW w:type="dxa" w:w="3408"/>
            <w:vAlign w:val="center"/>
          </w:tcPr>
          <w:p>
            <w:r>
              <w:rPr>
                <w:sz w:val="18"/>
              </w:rPr>
            </w:r>
            <w:r>
              <w:rPr>
                <w:b w:val="0"/>
                <w:sz w:val="18"/>
              </w:rPr>
              <w:t>ethernet1/3</w:t>
            </w:r>
          </w:p>
        </w:tc>
        <w:tc>
          <w:tcPr>
            <w:tcW w:type="dxa" w:w="3408"/>
            <w:vAlign w:val="center"/>
          </w:tcPr>
          <w:p>
            <w:r>
              <w:rPr>
                <w:sz w:val="18"/>
              </w:rPr>
            </w:r>
            <w:r>
              <w:rPr>
                <w:b w:val="0"/>
                <w:sz w:val="18"/>
              </w:rPr>
              <w:t>DB</w:t>
            </w:r>
          </w:p>
        </w:tc>
        <w:tc>
          <w:tcPr>
            <w:tcW w:type="dxa" w:w="3408"/>
            <w:vAlign w:val="center"/>
          </w:tcPr>
          <w:p>
            <w:r>
              <w:rPr>
                <w:sz w:val="18"/>
              </w:rPr>
            </w:r>
            <w:r>
              <w:rPr>
                <w:b w:val="0"/>
                <w:sz w:val="18"/>
              </w:rPr>
              <w:t>10.10.30.2/24</w:t>
            </w:r>
          </w:p>
        </w:tc>
      </w:tr>
    </w:tbl>
    <w:p/>
    <w:p>
      <w:pPr>
        <w:pStyle w:val="Heading2"/>
      </w:pPr>
      <w:r>
        <w:t>16.4 Kali Management Host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Pr>
                <w:sz w:val="18"/>
              </w:rPr>
            </w:r>
            <w:r>
              <w:rPr>
                <w:b/>
                <w:color w:val="FFFFFF"/>
                <w:sz w:val="18"/>
              </w:rPr>
              <w:t>Interface</w:t>
            </w:r>
          </w:p>
        </w:tc>
        <w:tc>
          <w:tcPr>
            <w:tcW w:type="dxa" w:w="3408"/>
            <w:shd w:fill="1F4E79"/>
            <w:vAlign w:val="center"/>
          </w:tcPr>
          <w:p>
            <w:r>
              <w:rPr>
                <w:sz w:val="18"/>
              </w:rPr>
            </w:r>
            <w:r>
              <w:rPr>
                <w:b/>
                <w:color w:val="FFFFFF"/>
                <w:sz w:val="18"/>
              </w:rPr>
              <w:t>Network</w:t>
            </w:r>
          </w:p>
        </w:tc>
        <w:tc>
          <w:tcPr>
            <w:tcW w:type="dxa" w:w="3408"/>
            <w:shd w:fill="1F4E79"/>
            <w:vAlign w:val="center"/>
          </w:tcPr>
          <w:p>
            <w:r>
              <w:rPr>
                <w:sz w:val="18"/>
              </w:rPr>
            </w:r>
            <w:r>
              <w:rPr>
                <w:b/>
                <w:color w:val="FFFFFF"/>
                <w:sz w:val="18"/>
              </w:rPr>
              <w:t>IP</w:t>
            </w:r>
          </w:p>
        </w:tc>
      </w:tr>
      <w:tr>
        <w:tc>
          <w:tcPr>
            <w:tcW w:type="dxa" w:w="3408"/>
            <w:vAlign w:val="center"/>
          </w:tcPr>
          <w:p>
            <w:r>
              <w:rPr>
                <w:sz w:val="18"/>
              </w:rPr>
            </w:r>
            <w:r>
              <w:rPr>
                <w:b w:val="0"/>
                <w:sz w:val="18"/>
              </w:rPr>
              <w:t>eth0</w:t>
            </w:r>
          </w:p>
        </w:tc>
        <w:tc>
          <w:tcPr>
            <w:tcW w:type="dxa" w:w="3408"/>
            <w:vAlign w:val="center"/>
          </w:tcPr>
          <w:p>
            <w:r>
              <w:rPr>
                <w:sz w:val="18"/>
              </w:rPr>
            </w:r>
            <w:r>
              <w:rPr>
                <w:b w:val="0"/>
                <w:sz w:val="18"/>
              </w:rPr>
              <w:t>ADMIN/API</w:t>
            </w:r>
          </w:p>
        </w:tc>
        <w:tc>
          <w:tcPr>
            <w:tcW w:type="dxa" w:w="3408"/>
            <w:vAlign w:val="center"/>
          </w:tcPr>
          <w:p>
            <w:r>
              <w:rPr>
                <w:sz w:val="18"/>
              </w:rPr>
            </w:r>
            <w:r>
              <w:rPr>
                <w:b w:val="0"/>
                <w:sz w:val="18"/>
              </w:rPr>
              <w:t>192.168.55.100/24</w:t>
            </w:r>
          </w:p>
        </w:tc>
      </w:tr>
    </w:tbl>
    <w:p/>
    <w:p>
      <w:r>
        <w:t>Kali is used for API testing, curl validation, script execution, connectivity checks, and extraction testing.</w:t>
      </w:r>
    </w:p>
    <w:p>
      <w:pPr>
        <w:pStyle w:val="Heading1"/>
      </w:pPr>
      <w:r>
        <w:t>17. Deployment Architecture</w:t>
      </w:r>
    </w:p>
    <w:p>
      <w:pPr>
        <w:pStyle w:val="Heading2"/>
      </w:pPr>
      <w:r>
        <w:t>17.1 v1 Deployment Model</w:t>
      </w:r>
    </w:p>
    <w:p>
      <w:r>
        <w:t>Approved deployment model: Docker Compose.</w:t>
      </w:r>
    </w:p>
    <w:p>
      <w:r>
        <w:t>Recommended containers:</w:t>
      </w:r>
    </w:p>
    <w:p>
      <w:pPr>
        <w:pStyle w:val="CodeBlock"/>
      </w:pPr>
      <w:r>
        <w:rPr>
          <w:rFonts w:ascii="Courier New" w:hAnsi="Courier New" w:eastAsia="Courier New"/>
          <w:sz w:val="17"/>
        </w:rPr>
        <w:t>lumina-frontend</w:t>
      </w:r>
      <w:r>
        <w:br/>
      </w:r>
      <w:r>
        <w:rPr>
          <w:rFonts w:ascii="Courier New" w:hAnsi="Courier New" w:eastAsia="Courier New"/>
          <w:sz w:val="17"/>
        </w:rPr>
        <w:t>lumina-api</w:t>
      </w:r>
      <w:r>
        <w:br/>
      </w:r>
      <w:r>
        <w:rPr>
          <w:rFonts w:ascii="Courier New" w:hAnsi="Courier New" w:eastAsia="Courier New"/>
          <w:sz w:val="17"/>
        </w:rPr>
        <w:t>lumina-worker-acquisition</w:t>
      </w:r>
      <w:r>
        <w:br/>
      </w:r>
      <w:r>
        <w:rPr>
          <w:rFonts w:ascii="Courier New" w:hAnsi="Courier New" w:eastAsia="Courier New"/>
          <w:sz w:val="17"/>
        </w:rPr>
        <w:t>lumina-worker-analysis</w:t>
      </w:r>
      <w:r>
        <w:br/>
      </w:r>
      <w:r>
        <w:rPr>
          <w:rFonts w:ascii="Courier New" w:hAnsi="Courier New" w:eastAsia="Courier New"/>
          <w:sz w:val="17"/>
        </w:rPr>
        <w:t>lumina-worker-cti</w:t>
      </w:r>
      <w:r>
        <w:br/>
      </w:r>
      <w:r>
        <w:rPr>
          <w:rFonts w:ascii="Courier New" w:hAnsi="Courier New" w:eastAsia="Courier New"/>
          <w:sz w:val="17"/>
        </w:rPr>
        <w:t>lumina-worker-reporting</w:t>
      </w:r>
      <w:r>
        <w:br/>
      </w:r>
      <w:r>
        <w:rPr>
          <w:rFonts w:ascii="Courier New" w:hAnsi="Courier New" w:eastAsia="Courier New"/>
          <w:sz w:val="17"/>
        </w:rPr>
        <w:t>lumina-postgres</w:t>
      </w:r>
      <w:r>
        <w:br/>
      </w:r>
      <w:r>
        <w:rPr>
          <w:rFonts w:ascii="Courier New" w:hAnsi="Courier New" w:eastAsia="Courier New"/>
          <w:sz w:val="17"/>
        </w:rPr>
        <w:t>lumina-redis</w:t>
      </w:r>
      <w:r>
        <w:br/>
      </w:r>
    </w:p>
    <w:p>
      <w:pPr>
        <w:pStyle w:val="Heading2"/>
      </w:pPr>
      <w:r>
        <w:t>17.2 Deployment Diagram</w:t>
      </w:r>
    </w:p>
    <w:p>
      <w:pPr>
        <w:pStyle w:val="CodeBlock"/>
      </w:pPr>
      <w:r>
        <w:rPr>
          <w:rFonts w:ascii="Courier New" w:hAnsi="Courier New" w:eastAsia="Courier New"/>
          <w:sz w:val="17"/>
        </w:rPr>
        <w:t>┌──────────────────────────────────────────────────────┐</w:t>
      </w:r>
      <w:r>
        <w:br/>
      </w:r>
      <w:r>
        <w:rPr>
          <w:rFonts w:ascii="Courier New" w:hAnsi="Courier New" w:eastAsia="Courier New"/>
          <w:sz w:val="17"/>
        </w:rPr>
        <w:t>│                  Docker Compose Host                 │</w:t>
      </w:r>
      <w:r>
        <w:br/>
      </w:r>
      <w:r>
        <w:rPr>
          <w:rFonts w:ascii="Courier New" w:hAnsi="Courier New" w:eastAsia="Courier New"/>
          <w:sz w:val="17"/>
        </w:rPr>
        <w:t>│                                                      │</w:t>
      </w:r>
      <w:r>
        <w:br/>
      </w:r>
      <w:r>
        <w:rPr>
          <w:rFonts w:ascii="Courier New" w:hAnsi="Courier New" w:eastAsia="Courier New"/>
          <w:sz w:val="17"/>
        </w:rPr>
        <w:t>│  ┌───────────────┐        ┌───────────────────────┐  │</w:t>
      </w:r>
      <w:r>
        <w:br/>
      </w:r>
      <w:r>
        <w:rPr>
          <w:rFonts w:ascii="Courier New" w:hAnsi="Courier New" w:eastAsia="Courier New"/>
          <w:sz w:val="17"/>
        </w:rPr>
        <w:t>│  │ React Frontend│───────▶│ FastAPI Backend API   │  │</w:t>
      </w:r>
      <w:r>
        <w:br/>
      </w:r>
      <w:r>
        <w:rPr>
          <w:rFonts w:ascii="Courier New" w:hAnsi="Courier New" w:eastAsia="Courier New"/>
          <w:sz w:val="17"/>
        </w:rPr>
        <w:t>│  └───────────────┘        └───────────┬───────────┘  │</w:t>
      </w:r>
      <w:r>
        <w:br/>
      </w:r>
      <w:r>
        <w:rPr>
          <w:rFonts w:ascii="Courier New" w:hAnsi="Courier New" w:eastAsia="Courier New"/>
          <w:sz w:val="17"/>
        </w:rPr>
        <w:t>│                                       │              │</w:t>
      </w:r>
      <w:r>
        <w:br/>
      </w:r>
      <w:r>
        <w:rPr>
          <w:rFonts w:ascii="Courier New" w:hAnsi="Courier New" w:eastAsia="Courier New"/>
          <w:sz w:val="17"/>
        </w:rPr>
        <w:t>│                          ┌────────────▼────────────┐ │</w:t>
      </w:r>
      <w:r>
        <w:br/>
      </w:r>
      <w:r>
        <w:rPr>
          <w:rFonts w:ascii="Courier New" w:hAnsi="Courier New" w:eastAsia="Courier New"/>
          <w:sz w:val="17"/>
        </w:rPr>
        <w:t>│                          │ PostgreSQL              │ │</w:t>
      </w:r>
      <w:r>
        <w:br/>
      </w:r>
      <w:r>
        <w:rPr>
          <w:rFonts w:ascii="Courier New" w:hAnsi="Courier New" w:eastAsia="Courier New"/>
          <w:sz w:val="17"/>
        </w:rPr>
        <w:t>│                          └─────────────────────────┘ │</w:t>
      </w:r>
      <w:r>
        <w:br/>
      </w:r>
      <w:r>
        <w:rPr>
          <w:rFonts w:ascii="Courier New" w:hAnsi="Courier New" w:eastAsia="Courier New"/>
          <w:sz w:val="17"/>
        </w:rPr>
        <w:t>│                                       │              │</w:t>
      </w:r>
      <w:r>
        <w:br/>
      </w:r>
      <w:r>
        <w:rPr>
          <w:rFonts w:ascii="Courier New" w:hAnsi="Courier New" w:eastAsia="Courier New"/>
          <w:sz w:val="17"/>
        </w:rPr>
        <w:t>│                          ┌────────────▼────────────┐ │</w:t>
      </w:r>
      <w:r>
        <w:br/>
      </w:r>
      <w:r>
        <w:rPr>
          <w:rFonts w:ascii="Courier New" w:hAnsi="Courier New" w:eastAsia="Courier New"/>
          <w:sz w:val="17"/>
        </w:rPr>
        <w:t>│                          │ Redis                   │ │</w:t>
      </w:r>
      <w:r>
        <w:br/>
      </w:r>
      <w:r>
        <w:rPr>
          <w:rFonts w:ascii="Courier New" w:hAnsi="Courier New" w:eastAsia="Courier New"/>
          <w:sz w:val="17"/>
        </w:rPr>
        <w:t>│                          └────────────┬────────────┘ │</w:t>
      </w:r>
      <w:r>
        <w:br/>
      </w:r>
      <w:r>
        <w:rPr>
          <w:rFonts w:ascii="Courier New" w:hAnsi="Courier New" w:eastAsia="Courier New"/>
          <w:sz w:val="17"/>
        </w:rPr>
        <w:t>│                                       │              │</w:t>
      </w:r>
      <w:r>
        <w:br/>
      </w:r>
      <w:r>
        <w:rPr>
          <w:rFonts w:ascii="Courier New" w:hAnsi="Courier New" w:eastAsia="Courier New"/>
          <w:sz w:val="17"/>
        </w:rPr>
        <w:t>│      ┌────────────────────────────────▼────────────┐ │</w:t>
      </w:r>
      <w:r>
        <w:br/>
      </w:r>
      <w:r>
        <w:rPr>
          <w:rFonts w:ascii="Courier New" w:hAnsi="Courier New" w:eastAsia="Courier New"/>
          <w:sz w:val="17"/>
        </w:rPr>
        <w:t>│      │ Celery Workers                              │ │</w:t>
      </w:r>
      <w:r>
        <w:br/>
      </w:r>
      <w:r>
        <w:rPr>
          <w:rFonts w:ascii="Courier New" w:hAnsi="Courier New" w:eastAsia="Courier New"/>
          <w:sz w:val="17"/>
        </w:rPr>
        <w:t>│      │ acquisition / parsing / analysis / CTI / LLM │ │</w:t>
      </w:r>
      <w:r>
        <w:br/>
      </w:r>
      <w:r>
        <w:rPr>
          <w:rFonts w:ascii="Courier New" w:hAnsi="Courier New" w:eastAsia="Courier New"/>
          <w:sz w:val="17"/>
        </w:rPr>
        <w:t>│      └─────────────────────────────────────────────┘ │</w:t>
      </w:r>
      <w:r>
        <w:br/>
      </w:r>
      <w:r>
        <w:rPr>
          <w:rFonts w:ascii="Courier New" w:hAnsi="Courier New" w:eastAsia="Courier New"/>
          <w:sz w:val="17"/>
        </w:rPr>
        <w:t>│                                                      │</w:t>
      </w:r>
      <w:r>
        <w:br/>
      </w:r>
      <w:r>
        <w:rPr>
          <w:rFonts w:ascii="Courier New" w:hAnsi="Courier New" w:eastAsia="Courier New"/>
          <w:sz w:val="17"/>
        </w:rPr>
        <w:t>└──────────────────────────────────────────────────────┘</w:t>
      </w:r>
      <w:r>
        <w:br/>
      </w:r>
    </w:p>
    <w:p>
      <w:pPr>
        <w:pStyle w:val="Heading1"/>
      </w:pPr>
      <w:r>
        <w:t>18. Security Architecture Summary</w:t>
      </w:r>
    </w:p>
    <w:p>
      <w:pPr>
        <w:pStyle w:val="Heading2"/>
      </w:pPr>
      <w:r>
        <w:t>18.1 Read-Only Enforcement</w:t>
      </w:r>
    </w:p>
    <w:p>
      <w:r>
        <w:t>LuminaFPM must never modify firewall configuration. The following actions are forbidden:</w:t>
      </w:r>
    </w:p>
    <w:p>
      <w:pPr>
        <w:pStyle w:val="CodeBlock"/>
      </w:pPr>
      <w:r>
        <w:rPr>
          <w:rFonts w:ascii="Courier New" w:hAnsi="Courier New" w:eastAsia="Courier New"/>
          <w:sz w:val="17"/>
        </w:rPr>
        <w:t>push policy</w:t>
      </w:r>
      <w:r>
        <w:br/>
      </w:r>
      <w:r>
        <w:rPr>
          <w:rFonts w:ascii="Courier New" w:hAnsi="Courier New" w:eastAsia="Courier New"/>
          <w:sz w:val="17"/>
        </w:rPr>
        <w:t>delete policy</w:t>
      </w:r>
      <w:r>
        <w:br/>
      </w:r>
      <w:r>
        <w:rPr>
          <w:rFonts w:ascii="Courier New" w:hAnsi="Courier New" w:eastAsia="Courier New"/>
          <w:sz w:val="17"/>
        </w:rPr>
        <w:t>reorder policy</w:t>
      </w:r>
      <w:r>
        <w:br/>
      </w:r>
      <w:r>
        <w:rPr>
          <w:rFonts w:ascii="Courier New" w:hAnsi="Courier New" w:eastAsia="Courier New"/>
          <w:sz w:val="17"/>
        </w:rPr>
        <w:t>commit configuration</w:t>
      </w:r>
      <w:r>
        <w:br/>
      </w:r>
      <w:r>
        <w:rPr>
          <w:rFonts w:ascii="Courier New" w:hAnsi="Courier New" w:eastAsia="Courier New"/>
          <w:sz w:val="17"/>
        </w:rPr>
        <w:t>enable rule</w:t>
      </w:r>
      <w:r>
        <w:br/>
      </w:r>
      <w:r>
        <w:rPr>
          <w:rFonts w:ascii="Courier New" w:hAnsi="Courier New" w:eastAsia="Courier New"/>
          <w:sz w:val="17"/>
        </w:rPr>
        <w:t>disable rule</w:t>
      </w:r>
      <w:r>
        <w:br/>
      </w:r>
      <w:r>
        <w:rPr>
          <w:rFonts w:ascii="Courier New" w:hAnsi="Courier New" w:eastAsia="Courier New"/>
          <w:sz w:val="17"/>
        </w:rPr>
        <w:t>modify object</w:t>
      </w:r>
      <w:r>
        <w:br/>
      </w:r>
      <w:r>
        <w:rPr>
          <w:rFonts w:ascii="Courier New" w:hAnsi="Courier New" w:eastAsia="Courier New"/>
          <w:sz w:val="17"/>
        </w:rPr>
        <w:t>modify service</w:t>
      </w:r>
      <w:r>
        <w:br/>
      </w:r>
    </w:p>
    <w:p>
      <w:pPr>
        <w:pStyle w:val="Heading2"/>
      </w:pPr>
      <w:r>
        <w:t>18.2 API Credentials</w:t>
      </w:r>
    </w:p>
    <w:p>
      <w:r>
        <w:t>Credential requirements:</w:t>
      </w:r>
    </w:p>
    <w:p>
      <w:pPr>
        <w:pStyle w:val="ListBullet"/>
      </w:pPr>
      <w:r>
        <w:t>Store encrypted</w:t>
      </w:r>
    </w:p>
    <w:p>
      <w:pPr>
        <w:pStyle w:val="ListBullet"/>
      </w:pPr>
      <w:r>
        <w:t>Never hardcode in scripts</w:t>
      </w:r>
    </w:p>
    <w:p>
      <w:pPr>
        <w:pStyle w:val="ListBullet"/>
      </w:pPr>
      <w:r>
        <w:t>Never expose to frontend</w:t>
      </w:r>
    </w:p>
    <w:p>
      <w:pPr>
        <w:pStyle w:val="ListBullet"/>
      </w:pPr>
      <w:r>
        <w:t>Support token rotation</w:t>
      </w:r>
    </w:p>
    <w:p>
      <w:pPr>
        <w:pStyle w:val="ListBullet"/>
      </w:pPr>
      <w:r>
        <w:t>Use least privilege</w:t>
      </w:r>
    </w:p>
    <w:p>
      <w:pPr>
        <w:pStyle w:val="ListBullet"/>
      </w:pPr>
      <w:r>
        <w:t>Log credential usage events</w:t>
      </w:r>
    </w:p>
    <w:p>
      <w:pPr>
        <w:pStyle w:val="ListBullet"/>
      </w:pPr>
      <w:r>
        <w:t>Separate lab credentials from production credentials</w:t>
      </w:r>
    </w:p>
    <w:p>
      <w:pPr>
        <w:pStyle w:val="Heading2"/>
      </w:pPr>
      <w:r>
        <w:t>18.3 Role-Based Access Control</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Pr>
                <w:sz w:val="18"/>
              </w:rPr>
            </w:r>
            <w:r>
              <w:rPr>
                <w:b/>
                <w:color w:val="FFFFFF"/>
                <w:sz w:val="18"/>
              </w:rPr>
              <w:t>Role</w:t>
            </w:r>
          </w:p>
        </w:tc>
        <w:tc>
          <w:tcPr>
            <w:tcW w:type="dxa" w:w="5112"/>
            <w:shd w:fill="1F4E79"/>
            <w:vAlign w:val="center"/>
          </w:tcPr>
          <w:p>
            <w:r>
              <w:rPr>
                <w:sz w:val="18"/>
              </w:rPr>
            </w:r>
            <w:r>
              <w:rPr>
                <w:b/>
                <w:color w:val="FFFFFF"/>
                <w:sz w:val="18"/>
              </w:rPr>
              <w:t>Permissions</w:t>
            </w:r>
          </w:p>
        </w:tc>
      </w:tr>
      <w:tr>
        <w:tc>
          <w:tcPr>
            <w:tcW w:type="dxa" w:w="5112"/>
            <w:vAlign w:val="center"/>
          </w:tcPr>
          <w:p>
            <w:r>
              <w:rPr>
                <w:sz w:val="18"/>
              </w:rPr>
            </w:r>
            <w:r>
              <w:rPr>
                <w:b w:val="0"/>
                <w:sz w:val="18"/>
              </w:rPr>
              <w:t>Admin</w:t>
            </w:r>
          </w:p>
        </w:tc>
        <w:tc>
          <w:tcPr>
            <w:tcW w:type="dxa" w:w="5112"/>
            <w:vAlign w:val="center"/>
          </w:tcPr>
          <w:p>
            <w:r>
              <w:rPr>
                <w:sz w:val="18"/>
              </w:rPr>
            </w:r>
            <w:r>
              <w:rPr>
                <w:b w:val="0"/>
                <w:sz w:val="18"/>
              </w:rPr>
              <w:t>Full platform administration</w:t>
            </w:r>
          </w:p>
        </w:tc>
      </w:tr>
      <w:tr>
        <w:tc>
          <w:tcPr>
            <w:tcW w:type="dxa" w:w="5112"/>
            <w:vAlign w:val="center"/>
          </w:tcPr>
          <w:p>
            <w:r>
              <w:rPr>
                <w:sz w:val="18"/>
              </w:rPr>
            </w:r>
            <w:r>
              <w:rPr>
                <w:b w:val="0"/>
                <w:sz w:val="18"/>
              </w:rPr>
              <w:t>Firewall Engineer</w:t>
            </w:r>
          </w:p>
        </w:tc>
        <w:tc>
          <w:tcPr>
            <w:tcW w:type="dxa" w:w="5112"/>
            <w:vAlign w:val="center"/>
          </w:tcPr>
          <w:p>
            <w:r>
              <w:rPr>
                <w:sz w:val="18"/>
              </w:rPr>
            </w:r>
            <w:r>
              <w:rPr>
                <w:b w:val="0"/>
                <w:sz w:val="18"/>
              </w:rPr>
              <w:t>View devices, policies, anomalies, and reports</w:t>
            </w:r>
          </w:p>
        </w:tc>
      </w:tr>
      <w:tr>
        <w:tc>
          <w:tcPr>
            <w:tcW w:type="dxa" w:w="5112"/>
            <w:vAlign w:val="center"/>
          </w:tcPr>
          <w:p>
            <w:r>
              <w:rPr>
                <w:sz w:val="18"/>
              </w:rPr>
            </w:r>
            <w:r>
              <w:rPr>
                <w:b w:val="0"/>
                <w:sz w:val="18"/>
              </w:rPr>
              <w:t>SOC Analyst</w:t>
            </w:r>
          </w:p>
        </w:tc>
        <w:tc>
          <w:tcPr>
            <w:tcW w:type="dxa" w:w="5112"/>
            <w:vAlign w:val="center"/>
          </w:tcPr>
          <w:p>
            <w:r>
              <w:rPr>
                <w:sz w:val="18"/>
              </w:rPr>
            </w:r>
            <w:r>
              <w:rPr>
                <w:b w:val="0"/>
                <w:sz w:val="18"/>
              </w:rPr>
              <w:t>View risks, CTI, and reports</w:t>
            </w:r>
          </w:p>
        </w:tc>
      </w:tr>
      <w:tr>
        <w:tc>
          <w:tcPr>
            <w:tcW w:type="dxa" w:w="5112"/>
            <w:vAlign w:val="center"/>
          </w:tcPr>
          <w:p>
            <w:r>
              <w:rPr>
                <w:sz w:val="18"/>
              </w:rPr>
            </w:r>
            <w:r>
              <w:rPr>
                <w:b w:val="0"/>
                <w:sz w:val="18"/>
              </w:rPr>
              <w:t>Auditor</w:t>
            </w:r>
          </w:p>
        </w:tc>
        <w:tc>
          <w:tcPr>
            <w:tcW w:type="dxa" w:w="5112"/>
            <w:vAlign w:val="center"/>
          </w:tcPr>
          <w:p>
            <w:r>
              <w:rPr>
                <w:sz w:val="18"/>
              </w:rPr>
            </w:r>
            <w:r>
              <w:rPr>
                <w:b w:val="0"/>
                <w:sz w:val="18"/>
              </w:rPr>
              <w:t>Read-only reports and evidence</w:t>
            </w:r>
          </w:p>
        </w:tc>
      </w:tr>
      <w:tr>
        <w:tc>
          <w:tcPr>
            <w:tcW w:type="dxa" w:w="5112"/>
            <w:vAlign w:val="center"/>
          </w:tcPr>
          <w:p>
            <w:r>
              <w:rPr>
                <w:sz w:val="18"/>
              </w:rPr>
            </w:r>
            <w:r>
              <w:rPr>
                <w:b w:val="0"/>
                <w:sz w:val="18"/>
              </w:rPr>
              <w:t>Viewer</w:t>
            </w:r>
          </w:p>
        </w:tc>
        <w:tc>
          <w:tcPr>
            <w:tcW w:type="dxa" w:w="5112"/>
            <w:vAlign w:val="center"/>
          </w:tcPr>
          <w:p>
            <w:r>
              <w:rPr>
                <w:sz w:val="18"/>
              </w:rPr>
            </w:r>
            <w:r>
              <w:rPr>
                <w:b w:val="0"/>
                <w:sz w:val="18"/>
              </w:rPr>
              <w:t>Dashboard-only access</w:t>
            </w:r>
          </w:p>
        </w:tc>
      </w:tr>
    </w:tbl>
    <w:p/>
    <w:p>
      <w:pPr>
        <w:pStyle w:val="Heading1"/>
      </w:pPr>
      <w:r>
        <w:t>19. Architecture Decisions Registry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Pr>
                <w:sz w:val="18"/>
              </w:rPr>
            </w:r>
            <w:r>
              <w:rPr>
                <w:b/>
                <w:color w:val="FFFFFF"/>
                <w:sz w:val="18"/>
              </w:rPr>
              <w:t>ID</w:t>
            </w:r>
          </w:p>
        </w:tc>
        <w:tc>
          <w:tcPr>
            <w:tcW w:type="dxa" w:w="3408"/>
            <w:shd w:fill="1F4E79"/>
            <w:vAlign w:val="center"/>
          </w:tcPr>
          <w:p>
            <w:r>
              <w:rPr>
                <w:sz w:val="18"/>
              </w:rPr>
            </w:r>
            <w:r>
              <w:rPr>
                <w:b/>
                <w:color w:val="FFFFFF"/>
                <w:sz w:val="18"/>
              </w:rPr>
              <w:t>Decision</w:t>
            </w:r>
          </w:p>
        </w:tc>
        <w:tc>
          <w:tcPr>
            <w:tcW w:type="dxa" w:w="3408"/>
            <w:shd w:fill="1F4E79"/>
            <w:vAlign w:val="center"/>
          </w:tcPr>
          <w:p>
            <w:r>
              <w:rPr>
                <w:sz w:val="18"/>
              </w:rPr>
            </w:r>
            <w:r>
              <w:rPr>
                <w:b/>
                <w:color w:val="FFFFFF"/>
                <w:sz w:val="18"/>
              </w:rPr>
              <w:t>Final Choice</w:t>
            </w:r>
          </w:p>
        </w:tc>
      </w:tr>
      <w:tr>
        <w:tc>
          <w:tcPr>
            <w:tcW w:type="dxa" w:w="3408"/>
            <w:vAlign w:val="center"/>
          </w:tcPr>
          <w:p>
            <w:r>
              <w:rPr>
                <w:sz w:val="18"/>
              </w:rPr>
            </w:r>
            <w:r>
              <w:rPr>
                <w:b w:val="0"/>
                <w:sz w:val="18"/>
              </w:rPr>
              <w:t>ADR-001</w:t>
            </w:r>
          </w:p>
        </w:tc>
        <w:tc>
          <w:tcPr>
            <w:tcW w:type="dxa" w:w="3408"/>
            <w:vAlign w:val="center"/>
          </w:tcPr>
          <w:p>
            <w:r>
              <w:rPr>
                <w:sz w:val="18"/>
              </w:rPr>
            </w:r>
            <w:r>
              <w:rPr>
                <w:b w:val="0"/>
                <w:sz w:val="18"/>
              </w:rPr>
              <w:t>Project identity</w:t>
            </w:r>
          </w:p>
        </w:tc>
        <w:tc>
          <w:tcPr>
            <w:tcW w:type="dxa" w:w="3408"/>
            <w:vAlign w:val="center"/>
          </w:tcPr>
          <w:p>
            <w:r>
              <w:rPr>
                <w:sz w:val="18"/>
              </w:rPr>
            </w:r>
            <w:r>
              <w:rPr>
                <w:b w:val="0"/>
                <w:sz w:val="18"/>
              </w:rPr>
              <w:t>Firewall Anomaly Management Platform</w:t>
            </w:r>
          </w:p>
        </w:tc>
      </w:tr>
      <w:tr>
        <w:tc>
          <w:tcPr>
            <w:tcW w:type="dxa" w:w="3408"/>
            <w:vAlign w:val="center"/>
          </w:tcPr>
          <w:p>
            <w:r>
              <w:rPr>
                <w:sz w:val="18"/>
              </w:rPr>
            </w:r>
            <w:r>
              <w:rPr>
                <w:b w:val="0"/>
                <w:sz w:val="18"/>
              </w:rPr>
              <w:t>ADR-002</w:t>
            </w:r>
          </w:p>
        </w:tc>
        <w:tc>
          <w:tcPr>
            <w:tcW w:type="dxa" w:w="3408"/>
            <w:vAlign w:val="center"/>
          </w:tcPr>
          <w:p>
            <w:r>
              <w:rPr>
                <w:sz w:val="18"/>
              </w:rPr>
            </w:r>
            <w:r>
              <w:rPr>
                <w:b w:val="0"/>
                <w:sz w:val="18"/>
              </w:rPr>
              <w:t>Primary innovation</w:t>
            </w:r>
          </w:p>
        </w:tc>
        <w:tc>
          <w:tcPr>
            <w:tcW w:type="dxa" w:w="3408"/>
            <w:vAlign w:val="center"/>
          </w:tcPr>
          <w:p>
            <w:r>
              <w:rPr>
                <w:sz w:val="18"/>
              </w:rPr>
            </w:r>
            <w:r>
              <w:rPr>
                <w:b w:val="0"/>
                <w:sz w:val="18"/>
              </w:rPr>
              <w:t>Cross-vendor anomaly detection</w:t>
            </w:r>
          </w:p>
        </w:tc>
      </w:tr>
      <w:tr>
        <w:tc>
          <w:tcPr>
            <w:tcW w:type="dxa" w:w="3408"/>
            <w:vAlign w:val="center"/>
          </w:tcPr>
          <w:p>
            <w:r>
              <w:rPr>
                <w:sz w:val="18"/>
              </w:rPr>
            </w:r>
            <w:r>
              <w:rPr>
                <w:b w:val="0"/>
                <w:sz w:val="18"/>
              </w:rPr>
              <w:t>ADR-003</w:t>
            </w:r>
          </w:p>
        </w:tc>
        <w:tc>
          <w:tcPr>
            <w:tcW w:type="dxa" w:w="3408"/>
            <w:vAlign w:val="center"/>
          </w:tcPr>
          <w:p>
            <w:r>
              <w:rPr>
                <w:sz w:val="18"/>
              </w:rPr>
            </w:r>
            <w:r>
              <w:rPr>
                <w:b w:val="0"/>
                <w:sz w:val="18"/>
              </w:rPr>
              <w:t>Vendors v1</w:t>
            </w:r>
          </w:p>
        </w:tc>
        <w:tc>
          <w:tcPr>
            <w:tcW w:type="dxa" w:w="3408"/>
            <w:vAlign w:val="center"/>
          </w:tcPr>
          <w:p>
            <w:r>
              <w:rPr>
                <w:sz w:val="18"/>
              </w:rPr>
            </w:r>
            <w:r>
              <w:rPr>
                <w:b w:val="0"/>
                <w:sz w:val="18"/>
              </w:rPr>
              <w:t>Fortinet + Palo Alto</w:t>
            </w:r>
          </w:p>
        </w:tc>
      </w:tr>
      <w:tr>
        <w:tc>
          <w:tcPr>
            <w:tcW w:type="dxa" w:w="3408"/>
            <w:vAlign w:val="center"/>
          </w:tcPr>
          <w:p>
            <w:r>
              <w:rPr>
                <w:sz w:val="18"/>
              </w:rPr>
            </w:r>
            <w:r>
              <w:rPr>
                <w:b w:val="0"/>
                <w:sz w:val="18"/>
              </w:rPr>
              <w:t>ADR-004</w:t>
            </w:r>
          </w:p>
        </w:tc>
        <w:tc>
          <w:tcPr>
            <w:tcW w:type="dxa" w:w="3408"/>
            <w:vAlign w:val="center"/>
          </w:tcPr>
          <w:p>
            <w:r>
              <w:rPr>
                <w:sz w:val="18"/>
              </w:rPr>
            </w:r>
            <w:r>
              <w:rPr>
                <w:b w:val="0"/>
                <w:sz w:val="18"/>
              </w:rPr>
              <w:t>Cisco references</w:t>
            </w:r>
          </w:p>
        </w:tc>
        <w:tc>
          <w:tcPr>
            <w:tcW w:type="dxa" w:w="3408"/>
            <w:vAlign w:val="center"/>
          </w:tcPr>
          <w:p>
            <w:r>
              <w:rPr>
                <w:sz w:val="18"/>
              </w:rPr>
            </w:r>
            <w:r>
              <w:rPr>
                <w:b w:val="0"/>
                <w:sz w:val="18"/>
              </w:rPr>
              <w:t>Remove from final implementation docs</w:t>
            </w:r>
          </w:p>
        </w:tc>
      </w:tr>
      <w:tr>
        <w:tc>
          <w:tcPr>
            <w:tcW w:type="dxa" w:w="3408"/>
            <w:vAlign w:val="center"/>
          </w:tcPr>
          <w:p>
            <w:r>
              <w:rPr>
                <w:sz w:val="18"/>
              </w:rPr>
            </w:r>
            <w:r>
              <w:rPr>
                <w:b w:val="0"/>
                <w:sz w:val="18"/>
              </w:rPr>
              <w:t>ADR-005</w:t>
            </w:r>
          </w:p>
        </w:tc>
        <w:tc>
          <w:tcPr>
            <w:tcW w:type="dxa" w:w="3408"/>
            <w:vAlign w:val="center"/>
          </w:tcPr>
          <w:p>
            <w:r>
              <w:rPr>
                <w:sz w:val="18"/>
              </w:rPr>
            </w:r>
            <w:r>
              <w:rPr>
                <w:b w:val="0"/>
                <w:sz w:val="18"/>
              </w:rPr>
              <w:t>Lab architecture</w:t>
            </w:r>
          </w:p>
        </w:tc>
        <w:tc>
          <w:tcPr>
            <w:tcW w:type="dxa" w:w="3408"/>
            <w:vAlign w:val="center"/>
          </w:tcPr>
          <w:p>
            <w:r>
              <w:rPr>
                <w:sz w:val="18"/>
              </w:rPr>
            </w:r>
            <w:r>
              <w:rPr>
                <w:b w:val="0"/>
                <w:sz w:val="18"/>
              </w:rPr>
              <w:t>Hybrid Parallel Shared-Network</w:t>
            </w:r>
          </w:p>
        </w:tc>
      </w:tr>
      <w:tr>
        <w:tc>
          <w:tcPr>
            <w:tcW w:type="dxa" w:w="3408"/>
            <w:vAlign w:val="center"/>
          </w:tcPr>
          <w:p>
            <w:r>
              <w:rPr>
                <w:sz w:val="18"/>
              </w:rPr>
            </w:r>
            <w:r>
              <w:rPr>
                <w:b w:val="0"/>
                <w:sz w:val="18"/>
              </w:rPr>
              <w:t>ADR-006</w:t>
            </w:r>
          </w:p>
        </w:tc>
        <w:tc>
          <w:tcPr>
            <w:tcW w:type="dxa" w:w="3408"/>
            <w:vAlign w:val="center"/>
          </w:tcPr>
          <w:p>
            <w:r>
              <w:rPr>
                <w:sz w:val="18"/>
              </w:rPr>
            </w:r>
            <w:r>
              <w:rPr>
                <w:b w:val="0"/>
                <w:sz w:val="18"/>
              </w:rPr>
              <w:t>Traffic analysis</w:t>
            </w:r>
          </w:p>
        </w:tc>
        <w:tc>
          <w:tcPr>
            <w:tcW w:type="dxa" w:w="3408"/>
            <w:vAlign w:val="center"/>
          </w:tcPr>
          <w:p>
            <w:r>
              <w:rPr>
                <w:sz w:val="18"/>
              </w:rPr>
            </w:r>
            <w:r>
              <w:rPr>
                <w:b w:val="0"/>
                <w:sz w:val="18"/>
              </w:rPr>
              <w:t>No live traffic analysis</w:t>
            </w:r>
          </w:p>
        </w:tc>
      </w:tr>
      <w:tr>
        <w:tc>
          <w:tcPr>
            <w:tcW w:type="dxa" w:w="3408"/>
            <w:vAlign w:val="center"/>
          </w:tcPr>
          <w:p>
            <w:r>
              <w:rPr>
                <w:sz w:val="18"/>
              </w:rPr>
            </w:r>
            <w:r>
              <w:rPr>
                <w:b w:val="0"/>
                <w:sz w:val="18"/>
              </w:rPr>
              <w:t>ADR-007</w:t>
            </w:r>
          </w:p>
        </w:tc>
        <w:tc>
          <w:tcPr>
            <w:tcW w:type="dxa" w:w="3408"/>
            <w:vAlign w:val="center"/>
          </w:tcPr>
          <w:p>
            <w:r>
              <w:rPr>
                <w:sz w:val="18"/>
              </w:rPr>
            </w:r>
            <w:r>
              <w:rPr>
                <w:b w:val="0"/>
                <w:sz w:val="18"/>
              </w:rPr>
              <w:t>Topology graph</w:t>
            </w:r>
          </w:p>
        </w:tc>
        <w:tc>
          <w:tcPr>
            <w:tcW w:type="dxa" w:w="3408"/>
            <w:vAlign w:val="center"/>
          </w:tcPr>
          <w:p>
            <w:r>
              <w:rPr>
                <w:sz w:val="18"/>
              </w:rPr>
            </w:r>
            <w:r>
              <w:rPr>
                <w:b w:val="0"/>
                <w:sz w:val="18"/>
              </w:rPr>
              <w:t>Logical policy graph</w:t>
            </w:r>
          </w:p>
        </w:tc>
      </w:tr>
      <w:tr>
        <w:tc>
          <w:tcPr>
            <w:tcW w:type="dxa" w:w="3408"/>
            <w:vAlign w:val="center"/>
          </w:tcPr>
          <w:p>
            <w:r>
              <w:rPr>
                <w:sz w:val="18"/>
              </w:rPr>
            </w:r>
            <w:r>
              <w:rPr>
                <w:b w:val="0"/>
                <w:sz w:val="18"/>
              </w:rPr>
              <w:t>ADR-008</w:t>
            </w:r>
          </w:p>
        </w:tc>
        <w:tc>
          <w:tcPr>
            <w:tcW w:type="dxa" w:w="3408"/>
            <w:vAlign w:val="center"/>
          </w:tcPr>
          <w:p>
            <w:r>
              <w:rPr>
                <w:sz w:val="18"/>
              </w:rPr>
            </w:r>
            <w:r>
              <w:rPr>
                <w:b w:val="0"/>
                <w:sz w:val="18"/>
              </w:rPr>
              <w:t>Source of truth</w:t>
            </w:r>
          </w:p>
        </w:tc>
        <w:tc>
          <w:tcPr>
            <w:tcW w:type="dxa" w:w="3408"/>
            <w:vAlign w:val="center"/>
          </w:tcPr>
          <w:p>
            <w:r>
              <w:rPr>
                <w:sz w:val="18"/>
              </w:rPr>
            </w:r>
            <w:r>
              <w:rPr>
                <w:b w:val="0"/>
                <w:sz w:val="18"/>
              </w:rPr>
              <w:t>PostgreSQL</w:t>
            </w:r>
          </w:p>
        </w:tc>
      </w:tr>
      <w:tr>
        <w:tc>
          <w:tcPr>
            <w:tcW w:type="dxa" w:w="3408"/>
            <w:vAlign w:val="center"/>
          </w:tcPr>
          <w:p>
            <w:r>
              <w:rPr>
                <w:sz w:val="18"/>
              </w:rPr>
            </w:r>
            <w:r>
              <w:rPr>
                <w:b w:val="0"/>
                <w:sz w:val="18"/>
              </w:rPr>
              <w:t>ADR-009</w:t>
            </w:r>
          </w:p>
        </w:tc>
        <w:tc>
          <w:tcPr>
            <w:tcW w:type="dxa" w:w="3408"/>
            <w:vAlign w:val="center"/>
          </w:tcPr>
          <w:p>
            <w:r>
              <w:rPr>
                <w:sz w:val="18"/>
              </w:rPr>
            </w:r>
            <w:r>
              <w:rPr>
                <w:b w:val="0"/>
                <w:sz w:val="18"/>
              </w:rPr>
              <w:t>Normalized JSON</w:t>
            </w:r>
          </w:p>
        </w:tc>
        <w:tc>
          <w:tcPr>
            <w:tcW w:type="dxa" w:w="3408"/>
            <w:vAlign w:val="center"/>
          </w:tcPr>
          <w:p>
            <w:r>
              <w:rPr>
                <w:sz w:val="18"/>
              </w:rPr>
            </w:r>
            <w:r>
              <w:rPr>
                <w:b w:val="0"/>
                <w:sz w:val="18"/>
              </w:rPr>
              <w:t>Interchange/model format, not DB source of truth</w:t>
            </w:r>
          </w:p>
        </w:tc>
      </w:tr>
      <w:tr>
        <w:tc>
          <w:tcPr>
            <w:tcW w:type="dxa" w:w="3408"/>
            <w:vAlign w:val="center"/>
          </w:tcPr>
          <w:p>
            <w:r>
              <w:rPr>
                <w:sz w:val="18"/>
              </w:rPr>
            </w:r>
            <w:r>
              <w:rPr>
                <w:b w:val="0"/>
                <w:sz w:val="18"/>
              </w:rPr>
              <w:t>ADR-010</w:t>
            </w:r>
          </w:p>
        </w:tc>
        <w:tc>
          <w:tcPr>
            <w:tcW w:type="dxa" w:w="3408"/>
            <w:vAlign w:val="center"/>
          </w:tcPr>
          <w:p>
            <w:r>
              <w:rPr>
                <w:sz w:val="18"/>
              </w:rPr>
            </w:r>
            <w:r>
              <w:rPr>
                <w:b w:val="0"/>
                <w:sz w:val="18"/>
              </w:rPr>
              <w:t>Anomaly source</w:t>
            </w:r>
          </w:p>
        </w:tc>
        <w:tc>
          <w:tcPr>
            <w:tcW w:type="dxa" w:w="3408"/>
            <w:vAlign w:val="center"/>
          </w:tcPr>
          <w:p>
            <w:r>
              <w:rPr>
                <w:sz w:val="18"/>
              </w:rPr>
            </w:r>
            <w:r>
              <w:rPr>
                <w:b w:val="0"/>
                <w:sz w:val="18"/>
              </w:rPr>
              <w:t>Normalized policies only</w:t>
            </w:r>
          </w:p>
        </w:tc>
      </w:tr>
      <w:tr>
        <w:tc>
          <w:tcPr>
            <w:tcW w:type="dxa" w:w="3408"/>
            <w:vAlign w:val="center"/>
          </w:tcPr>
          <w:p>
            <w:r>
              <w:rPr>
                <w:sz w:val="18"/>
              </w:rPr>
            </w:r>
            <w:r>
              <w:rPr>
                <w:b w:val="0"/>
                <w:sz w:val="18"/>
              </w:rPr>
              <w:t>ADR-011</w:t>
            </w:r>
          </w:p>
        </w:tc>
        <w:tc>
          <w:tcPr>
            <w:tcW w:type="dxa" w:w="3408"/>
            <w:vAlign w:val="center"/>
          </w:tcPr>
          <w:p>
            <w:r>
              <w:rPr>
                <w:sz w:val="18"/>
              </w:rPr>
            </w:r>
            <w:r>
              <w:rPr>
                <w:b w:val="0"/>
                <w:sz w:val="18"/>
              </w:rPr>
              <w:t>Runtime anomalies</w:t>
            </w:r>
          </w:p>
        </w:tc>
        <w:tc>
          <w:tcPr>
            <w:tcW w:type="dxa" w:w="3408"/>
            <w:vAlign w:val="center"/>
          </w:tcPr>
          <w:p>
            <w:r>
              <w:rPr>
                <w:sz w:val="18"/>
              </w:rPr>
            </w:r>
            <w:r>
              <w:rPr>
                <w:b w:val="0"/>
                <w:sz w:val="18"/>
              </w:rPr>
              <w:t>Conditional + benchmark simulated</w:t>
            </w:r>
          </w:p>
        </w:tc>
      </w:tr>
      <w:tr>
        <w:tc>
          <w:tcPr>
            <w:tcW w:type="dxa" w:w="3408"/>
            <w:vAlign w:val="center"/>
          </w:tcPr>
          <w:p>
            <w:r>
              <w:rPr>
                <w:sz w:val="18"/>
              </w:rPr>
            </w:r>
            <w:r>
              <w:rPr>
                <w:b w:val="0"/>
                <w:sz w:val="18"/>
              </w:rPr>
              <w:t>ADR-012</w:t>
            </w:r>
          </w:p>
        </w:tc>
        <w:tc>
          <w:tcPr>
            <w:tcW w:type="dxa" w:w="3408"/>
            <w:vAlign w:val="center"/>
          </w:tcPr>
          <w:p>
            <w:r>
              <w:rPr>
                <w:sz w:val="18"/>
              </w:rPr>
            </w:r>
            <w:r>
              <w:rPr>
                <w:b w:val="0"/>
                <w:sz w:val="18"/>
              </w:rPr>
              <w:t>CTI</w:t>
            </w:r>
          </w:p>
        </w:tc>
        <w:tc>
          <w:tcPr>
            <w:tcW w:type="dxa" w:w="3408"/>
            <w:vAlign w:val="center"/>
          </w:tcPr>
          <w:p>
            <w:r>
              <w:rPr>
                <w:sz w:val="18"/>
              </w:rPr>
            </w:r>
            <w:r>
              <w:rPr>
                <w:b w:val="0"/>
                <w:sz w:val="18"/>
              </w:rPr>
              <w:t>Separate risk engine</w:t>
            </w:r>
          </w:p>
        </w:tc>
      </w:tr>
      <w:tr>
        <w:tc>
          <w:tcPr>
            <w:tcW w:type="dxa" w:w="3408"/>
            <w:vAlign w:val="center"/>
          </w:tcPr>
          <w:p>
            <w:r>
              <w:rPr>
                <w:sz w:val="18"/>
              </w:rPr>
            </w:r>
            <w:r>
              <w:rPr>
                <w:b w:val="0"/>
                <w:sz w:val="18"/>
              </w:rPr>
              <w:t>ADR-013</w:t>
            </w:r>
          </w:p>
        </w:tc>
        <w:tc>
          <w:tcPr>
            <w:tcW w:type="dxa" w:w="3408"/>
            <w:vAlign w:val="center"/>
          </w:tcPr>
          <w:p>
            <w:r>
              <w:rPr>
                <w:sz w:val="18"/>
              </w:rPr>
            </w:r>
            <w:r>
              <w:rPr>
                <w:b w:val="0"/>
                <w:sz w:val="18"/>
              </w:rPr>
              <w:t>AI role</w:t>
            </w:r>
          </w:p>
        </w:tc>
        <w:tc>
          <w:tcPr>
            <w:tcW w:type="dxa" w:w="3408"/>
            <w:vAlign w:val="center"/>
          </w:tcPr>
          <w:p>
            <w:r>
              <w:rPr>
                <w:sz w:val="18"/>
              </w:rPr>
            </w:r>
            <w:r>
              <w:rPr>
                <w:b w:val="0"/>
                <w:sz w:val="18"/>
              </w:rPr>
              <w:t>Query generation and SOC reporting</w:t>
            </w:r>
          </w:p>
        </w:tc>
      </w:tr>
      <w:tr>
        <w:tc>
          <w:tcPr>
            <w:tcW w:type="dxa" w:w="3408"/>
            <w:vAlign w:val="center"/>
          </w:tcPr>
          <w:p>
            <w:r>
              <w:rPr>
                <w:sz w:val="18"/>
              </w:rPr>
            </w:r>
            <w:r>
              <w:rPr>
                <w:b w:val="0"/>
                <w:sz w:val="18"/>
              </w:rPr>
              <w:t>ADR-014</w:t>
            </w:r>
          </w:p>
        </w:tc>
        <w:tc>
          <w:tcPr>
            <w:tcW w:type="dxa" w:w="3408"/>
            <w:vAlign w:val="center"/>
          </w:tcPr>
          <w:p>
            <w:r>
              <w:rPr>
                <w:sz w:val="18"/>
              </w:rPr>
            </w:r>
            <w:r>
              <w:rPr>
                <w:b w:val="0"/>
                <w:sz w:val="18"/>
              </w:rPr>
              <w:t>Backend</w:t>
            </w:r>
          </w:p>
        </w:tc>
        <w:tc>
          <w:tcPr>
            <w:tcW w:type="dxa" w:w="3408"/>
            <w:vAlign w:val="center"/>
          </w:tcPr>
          <w:p>
            <w:r>
              <w:rPr>
                <w:sz w:val="18"/>
              </w:rPr>
            </w:r>
            <w:r>
              <w:rPr>
                <w:b w:val="0"/>
                <w:sz w:val="18"/>
              </w:rPr>
              <w:t>FastAPI</w:t>
            </w:r>
          </w:p>
        </w:tc>
      </w:tr>
      <w:tr>
        <w:tc>
          <w:tcPr>
            <w:tcW w:type="dxa" w:w="3408"/>
            <w:vAlign w:val="center"/>
          </w:tcPr>
          <w:p>
            <w:r>
              <w:rPr>
                <w:sz w:val="18"/>
              </w:rPr>
            </w:r>
            <w:r>
              <w:rPr>
                <w:b w:val="0"/>
                <w:sz w:val="18"/>
              </w:rPr>
              <w:t>ADR-015</w:t>
            </w:r>
          </w:p>
        </w:tc>
        <w:tc>
          <w:tcPr>
            <w:tcW w:type="dxa" w:w="3408"/>
            <w:vAlign w:val="center"/>
          </w:tcPr>
          <w:p>
            <w:r>
              <w:rPr>
                <w:sz w:val="18"/>
              </w:rPr>
            </w:r>
            <w:r>
              <w:rPr>
                <w:b w:val="0"/>
                <w:sz w:val="18"/>
              </w:rPr>
              <w:t>Frontend</w:t>
            </w:r>
          </w:p>
        </w:tc>
        <w:tc>
          <w:tcPr>
            <w:tcW w:type="dxa" w:w="3408"/>
            <w:vAlign w:val="center"/>
          </w:tcPr>
          <w:p>
            <w:r>
              <w:rPr>
                <w:sz w:val="18"/>
              </w:rPr>
            </w:r>
            <w:r>
              <w:rPr>
                <w:b w:val="0"/>
                <w:sz w:val="18"/>
              </w:rPr>
              <w:t>React + TypeScript</w:t>
            </w:r>
          </w:p>
        </w:tc>
      </w:tr>
      <w:tr>
        <w:tc>
          <w:tcPr>
            <w:tcW w:type="dxa" w:w="3408"/>
            <w:vAlign w:val="center"/>
          </w:tcPr>
          <w:p>
            <w:r>
              <w:rPr>
                <w:sz w:val="18"/>
              </w:rPr>
            </w:r>
            <w:r>
              <w:rPr>
                <w:b w:val="0"/>
                <w:sz w:val="18"/>
              </w:rPr>
              <w:t>ADR-016</w:t>
            </w:r>
          </w:p>
        </w:tc>
        <w:tc>
          <w:tcPr>
            <w:tcW w:type="dxa" w:w="3408"/>
            <w:vAlign w:val="center"/>
          </w:tcPr>
          <w:p>
            <w:r>
              <w:rPr>
                <w:sz w:val="18"/>
              </w:rPr>
            </w:r>
            <w:r>
              <w:rPr>
                <w:b w:val="0"/>
                <w:sz w:val="18"/>
              </w:rPr>
              <w:t>Workers</w:t>
            </w:r>
          </w:p>
        </w:tc>
        <w:tc>
          <w:tcPr>
            <w:tcW w:type="dxa" w:w="3408"/>
            <w:vAlign w:val="center"/>
          </w:tcPr>
          <w:p>
            <w:r>
              <w:rPr>
                <w:sz w:val="18"/>
              </w:rPr>
            </w:r>
            <w:r>
              <w:rPr>
                <w:b w:val="0"/>
                <w:sz w:val="18"/>
              </w:rPr>
              <w:t>Celery + Redis</w:t>
            </w:r>
          </w:p>
        </w:tc>
      </w:tr>
      <w:tr>
        <w:tc>
          <w:tcPr>
            <w:tcW w:type="dxa" w:w="3408"/>
            <w:vAlign w:val="center"/>
          </w:tcPr>
          <w:p>
            <w:r>
              <w:rPr>
                <w:sz w:val="18"/>
              </w:rPr>
            </w:r>
            <w:r>
              <w:rPr>
                <w:b w:val="0"/>
                <w:sz w:val="18"/>
              </w:rPr>
              <w:t>ADR-017</w:t>
            </w:r>
          </w:p>
        </w:tc>
        <w:tc>
          <w:tcPr>
            <w:tcW w:type="dxa" w:w="3408"/>
            <w:vAlign w:val="center"/>
          </w:tcPr>
          <w:p>
            <w:r>
              <w:rPr>
                <w:sz w:val="18"/>
              </w:rPr>
            </w:r>
            <w:r>
              <w:rPr>
                <w:b w:val="0"/>
                <w:sz w:val="18"/>
              </w:rPr>
              <w:t>Graph</w:t>
            </w:r>
          </w:p>
        </w:tc>
        <w:tc>
          <w:tcPr>
            <w:tcW w:type="dxa" w:w="3408"/>
            <w:vAlign w:val="center"/>
          </w:tcPr>
          <w:p>
            <w:r>
              <w:rPr>
                <w:sz w:val="18"/>
              </w:rPr>
            </w:r>
            <w:r>
              <w:rPr>
                <w:b w:val="0"/>
                <w:sz w:val="18"/>
              </w:rPr>
              <w:t>Cytoscape.js</w:t>
            </w:r>
          </w:p>
        </w:tc>
      </w:tr>
      <w:tr>
        <w:tc>
          <w:tcPr>
            <w:tcW w:type="dxa" w:w="3408"/>
            <w:vAlign w:val="center"/>
          </w:tcPr>
          <w:p>
            <w:r>
              <w:rPr>
                <w:sz w:val="18"/>
              </w:rPr>
            </w:r>
            <w:r>
              <w:rPr>
                <w:b w:val="0"/>
                <w:sz w:val="18"/>
              </w:rPr>
              <w:t>ADR-018</w:t>
            </w:r>
          </w:p>
        </w:tc>
        <w:tc>
          <w:tcPr>
            <w:tcW w:type="dxa" w:w="3408"/>
            <w:vAlign w:val="center"/>
          </w:tcPr>
          <w:p>
            <w:r>
              <w:rPr>
                <w:sz w:val="18"/>
              </w:rPr>
            </w:r>
            <w:r>
              <w:rPr>
                <w:b w:val="0"/>
                <w:sz w:val="18"/>
              </w:rPr>
              <w:t>Deployment</w:t>
            </w:r>
          </w:p>
        </w:tc>
        <w:tc>
          <w:tcPr>
            <w:tcW w:type="dxa" w:w="3408"/>
            <w:vAlign w:val="center"/>
          </w:tcPr>
          <w:p>
            <w:r>
              <w:rPr>
                <w:sz w:val="18"/>
              </w:rPr>
            </w:r>
            <w:r>
              <w:rPr>
                <w:b w:val="0"/>
                <w:sz w:val="18"/>
              </w:rPr>
              <w:t>Docker Compose</w:t>
            </w:r>
          </w:p>
        </w:tc>
      </w:tr>
      <w:tr>
        <w:tc>
          <w:tcPr>
            <w:tcW w:type="dxa" w:w="3408"/>
            <w:vAlign w:val="center"/>
          </w:tcPr>
          <w:p>
            <w:r>
              <w:rPr>
                <w:sz w:val="18"/>
              </w:rPr>
            </w:r>
            <w:r>
              <w:rPr>
                <w:b w:val="0"/>
                <w:sz w:val="18"/>
              </w:rPr>
              <w:t>ADR-019</w:t>
            </w:r>
          </w:p>
        </w:tc>
        <w:tc>
          <w:tcPr>
            <w:tcW w:type="dxa" w:w="3408"/>
            <w:vAlign w:val="center"/>
          </w:tcPr>
          <w:p>
            <w:r>
              <w:rPr>
                <w:sz w:val="18"/>
              </w:rPr>
            </w:r>
            <w:r>
              <w:rPr>
                <w:b w:val="0"/>
                <w:sz w:val="18"/>
              </w:rPr>
              <w:t>Object normalization</w:t>
            </w:r>
          </w:p>
        </w:tc>
        <w:tc>
          <w:tcPr>
            <w:tcW w:type="dxa" w:w="3408"/>
            <w:vAlign w:val="center"/>
          </w:tcPr>
          <w:p>
            <w:r>
              <w:rPr>
                <w:sz w:val="18"/>
              </w:rPr>
            </w:r>
            <w:r>
              <w:rPr>
                <w:b w:val="0"/>
                <w:sz w:val="18"/>
              </w:rPr>
              <w:t>Correlation model</w:t>
            </w:r>
          </w:p>
        </w:tc>
      </w:tr>
      <w:tr>
        <w:tc>
          <w:tcPr>
            <w:tcW w:type="dxa" w:w="3408"/>
            <w:vAlign w:val="center"/>
          </w:tcPr>
          <w:p>
            <w:r>
              <w:rPr>
                <w:sz w:val="18"/>
              </w:rPr>
            </w:r>
            <w:r>
              <w:rPr>
                <w:b w:val="0"/>
                <w:sz w:val="18"/>
              </w:rPr>
              <w:t>ADR-020</w:t>
            </w:r>
          </w:p>
        </w:tc>
        <w:tc>
          <w:tcPr>
            <w:tcW w:type="dxa" w:w="3408"/>
            <w:vAlign w:val="center"/>
          </w:tcPr>
          <w:p>
            <w:r>
              <w:rPr>
                <w:sz w:val="18"/>
              </w:rPr>
            </w:r>
            <w:r>
              <w:rPr>
                <w:b w:val="0"/>
                <w:sz w:val="18"/>
              </w:rPr>
              <w:t>Manager integration</w:t>
            </w:r>
          </w:p>
        </w:tc>
        <w:tc>
          <w:tcPr>
            <w:tcW w:type="dxa" w:w="3408"/>
            <w:vAlign w:val="center"/>
          </w:tcPr>
          <w:p>
            <w:r>
              <w:rPr>
                <w:sz w:val="18"/>
              </w:rPr>
            </w:r>
            <w:r>
              <w:rPr>
                <w:b w:val="0"/>
                <w:sz w:val="18"/>
              </w:rPr>
              <w:t>Panorama/FortiManager future work</w:t>
            </w:r>
          </w:p>
        </w:tc>
      </w:tr>
    </w:tbl>
    <w:p/>
    <w:p>
      <w:pPr>
        <w:pStyle w:val="Heading1"/>
      </w:pPr>
      <w:r>
        <w:t>20. Implementation Requirements for Development Company</w:t>
      </w:r>
    </w:p>
    <w:p>
      <w:pPr>
        <w:pStyle w:val="ListNumber"/>
      </w:pPr>
      <w:r>
        <w:t>Use FastAPI for the backend.</w:t>
      </w:r>
    </w:p>
    <w:p>
      <w:pPr>
        <w:pStyle w:val="ListNumber"/>
      </w:pPr>
      <w:r>
        <w:t>Use React + TypeScript for the frontend.</w:t>
      </w:r>
    </w:p>
    <w:p>
      <w:pPr>
        <w:pStyle w:val="ListNumber"/>
      </w:pPr>
      <w:r>
        <w:t>Use PostgreSQL as the only v1 database.</w:t>
      </w:r>
    </w:p>
    <w:p>
      <w:pPr>
        <w:pStyle w:val="ListNumber"/>
      </w:pPr>
      <w:r>
        <w:t>Use Celery + Redis for background jobs.</w:t>
      </w:r>
    </w:p>
    <w:p>
      <w:pPr>
        <w:pStyle w:val="ListNumber"/>
      </w:pPr>
      <w:r>
        <w:t>Use direct APIs for FortiGate and Palo Alto v1.</w:t>
      </w:r>
    </w:p>
    <w:p>
      <w:pPr>
        <w:pStyle w:val="ListNumber"/>
      </w:pPr>
      <w:r>
        <w:t>Treat Panorama and FortiManager as future integrations.</w:t>
      </w:r>
    </w:p>
    <w:p>
      <w:pPr>
        <w:pStyle w:val="ListNumber"/>
      </w:pPr>
      <w:r>
        <w:t>Preserve read-only firewall operation.</w:t>
      </w:r>
    </w:p>
    <w:p>
      <w:pPr>
        <w:pStyle w:val="ListNumber"/>
      </w:pPr>
      <w:r>
        <w:t>Normalize all policies before anomaly detection.</w:t>
      </w:r>
    </w:p>
    <w:p>
      <w:pPr>
        <w:pStyle w:val="ListNumber"/>
      </w:pPr>
      <w:r>
        <w:t>Store all anomaly findings in the database.</w:t>
      </w:r>
    </w:p>
    <w:p>
      <w:pPr>
        <w:pStyle w:val="ListNumber"/>
      </w:pPr>
      <w:r>
        <w:t>Implement deterministic anomaly logic.</w:t>
      </w:r>
    </w:p>
    <w:p>
      <w:pPr>
        <w:pStyle w:val="ListNumber"/>
      </w:pPr>
      <w:r>
        <w:t>Keep CTI as a separate risk engine.</w:t>
      </w:r>
    </w:p>
    <w:p>
      <w:pPr>
        <w:pStyle w:val="ListNumber"/>
      </w:pPr>
      <w:r>
        <w:t>Use LLMs only for query generation, review, and reporting.</w:t>
      </w:r>
    </w:p>
    <w:p>
      <w:pPr>
        <w:pStyle w:val="ListNumber"/>
      </w:pPr>
      <w:r>
        <w:t>Implement object correlation using normalized object mapping.</w:t>
      </w:r>
    </w:p>
    <w:p>
      <w:pPr>
        <w:pStyle w:val="ListNumber"/>
      </w:pPr>
      <w:r>
        <w:t>Support benchmark validation.</w:t>
      </w:r>
    </w:p>
    <w:p>
      <w:pPr>
        <w:pStyle w:val="ListNumber"/>
      </w:pPr>
      <w:r>
        <w:t>Ensure every anomaly has explanation, severity, confidence, and evidence.</w:t>
      </w:r>
    </w:p>
    <w:p>
      <w:pPr>
        <w:pStyle w:val="ListNumber"/>
      </w:pPr>
      <w:r>
        <w:t>Build logical graph visualization, not live packet-flow visualization.</w:t>
      </w:r>
    </w:p>
    <w:p>
      <w:pPr>
        <w:pStyle w:val="Heading1"/>
      </w:pPr>
      <w:r>
        <w:t>21. Source Basis</w:t>
      </w:r>
    </w:p>
    <w:p>
      <w:r>
        <w:t>This volume consolidates the approved LuminaFPM architectural decisions from the project discussions and the uploaded technical materials, including the Lumina complete technical implementation guide, the Firewall Management System database schema v3.0, the FW-Anomalies framework, and the Current Project Phase summary provided by the project team.</w:t>
      </w:r>
    </w:p>
    <w:p>
      <w:pPr>
        <w:pStyle w:val="Heading1"/>
      </w:pPr>
      <w:r>
        <w:t>22. End of Volume 2</w:t>
      </w:r>
    </w:p>
    <w:p>
      <w:r>
        <w:t>Volume 2 establishes the full system architecture foundation for LuminaFPM. The next volume should be Volume 3 — Firewall Acquisition Specification, covering FortiGate connector requirements, Palo Alto connector requirements, API authentication, API endpoints, parser inputs, extraction outputs, error handling, polling jobs, worker behavior, raw data storage, direct API v1 scope, and Panorama/FortiManager future interface design.</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Engineering Blueprint | Draft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LuminaFPM Master Specification Package — Volume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eastAsia="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88" w:right="144"/>
      <w:shd w:fill="F2F2F2"/>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LuminaFPM Volume 2 - Complete System Architecture Specification</dc:title>
  <dc:subject>System Architecture Specification</dc:subject>
  <dc:creator>Lumina Project Team</dc:creator>
  <cp:keywords>LuminaFPM, firewall policy management, anomaly detection, FortiGate, Palo Alto, FastAPI, PostgreSQL</cp:keywords>
  <dc:description>Generated as part of the LuminaFPM Master Specification Package.</dc:description>
  <cp:lastModifiedBy/>
  <cp:revision>1</cp:revision>
  <dcterms:created xsi:type="dcterms:W3CDTF">2013-12-23T23:15:00Z</dcterms:created>
  <dcterms:modified xsi:type="dcterms:W3CDTF">2013-12-23T23:15:00Z</dcterms:modified>
  <cp:category/>
</cp:coreProperties>
</file>