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br/>
        <w:br/>
        <w:t>LUMINA FPM</w:t>
        <w:br/>
        <w:t>MASTER SPECIFICATION PACKAGE</w:t>
      </w:r>
    </w:p>
    <w:p>
      <w:pPr>
        <w:jc w:val="center"/>
      </w:pPr>
      <w:r>
        <w:rPr>
          <w:b/>
          <w:color w:val="2F5496"/>
          <w:sz w:val="36"/>
        </w:rPr>
        <w:t>Volume 5 - Database and Data Model Specification</w:t>
      </w:r>
    </w:p>
    <w:p>
      <w:pPr>
        <w:jc w:val="center"/>
      </w:pPr>
      <w:r>
        <w:rPr>
          <w:sz w:val="24"/>
        </w:rPr>
        <w:t>Authoritative Engineering Blueprint for LuminaFPM</w:t>
      </w:r>
    </w:p>
    <w:p>
      <w:pPr>
        <w:jc w:val="center"/>
      </w:pPr>
      <w:r>
        <w:br/>
        <w:t>Version: Draft 1.0</w:t>
        <w:br/>
        <w:t>Prepared For: Cybersecurity Development / Implementation Company</w:t>
        <w:br/>
        <w:t>Document Type: Database Design Specification</w:t>
        <w:br/>
        <w:t>Primary Scope: PostgreSQL Schema, Data Ownership, Correlation Models, Versioning, and Storage Contracts</w:t>
      </w:r>
    </w:p>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b/>
                <w:color w:val="1F4E79"/>
                <w:sz w:val="19"/>
              </w:rPr>
              <w:t>Binding Database Decision</w:t>
            </w:r>
            <w:r>
              <w:br/>
              <w:t>LuminaFPM v1 must use PostgreSQL as the only authoritative database. MongoDB is not part of the v1 implementation path. Normalized JSON may exist as an interchange format, but PostgreSQL is the source of truth.</w:t>
            </w:r>
          </w:p>
        </w:tc>
      </w:tr>
    </w:tbl>
    <w:p/>
    <w:p>
      <w:r>
        <w:br w:type="page"/>
      </w:r>
    </w:p>
    <w:p>
      <w:pPr>
        <w:pStyle w:val="Heading1"/>
      </w:pPr>
      <w:r>
        <w:t>Document Contents</w:t>
      </w:r>
    </w:p>
    <w:p>
      <w:pPr>
        <w:pStyle w:val="ListNumber"/>
      </w:pPr>
      <w:r>
        <w:t>Purpose and Scope</w:t>
      </w:r>
    </w:p>
    <w:p>
      <w:pPr>
        <w:pStyle w:val="ListNumber"/>
      </w:pPr>
      <w:r>
        <w:t>Database Philosophy</w:t>
      </w:r>
    </w:p>
    <w:p>
      <w:pPr>
        <w:pStyle w:val="ListNumber"/>
      </w:pPr>
      <w:r>
        <w:t>Schema v3 Baseline</w:t>
      </w:r>
    </w:p>
    <w:p>
      <w:pPr>
        <w:pStyle w:val="ListNumber"/>
      </w:pPr>
      <w:r>
        <w:t>Lumina Schema v4 Enhancements</w:t>
      </w:r>
    </w:p>
    <w:p>
      <w:pPr>
        <w:pStyle w:val="ListNumber"/>
      </w:pPr>
      <w:r>
        <w:t>Entity Relationship Model</w:t>
      </w:r>
    </w:p>
    <w:p>
      <w:pPr>
        <w:pStyle w:val="ListNumber"/>
      </w:pPr>
      <w:r>
        <w:t>Device and Vendor Model</w:t>
      </w:r>
    </w:p>
    <w:p>
      <w:pPr>
        <w:pStyle w:val="ListNumber"/>
      </w:pPr>
      <w:r>
        <w:t>Policy Rule Model</w:t>
      </w:r>
    </w:p>
    <w:p>
      <w:pPr>
        <w:pStyle w:val="ListNumber"/>
      </w:pPr>
      <w:r>
        <w:t>Object and Service Correlation Model</w:t>
      </w:r>
    </w:p>
    <w:p>
      <w:pPr>
        <w:pStyle w:val="ListNumber"/>
      </w:pPr>
      <w:r>
        <w:t>Anomaly Repository</w:t>
      </w:r>
    </w:p>
    <w:p>
      <w:pPr>
        <w:pStyle w:val="ListNumber"/>
      </w:pPr>
      <w:r>
        <w:t>Risk, CTI, and AI Report Repositories</w:t>
      </w:r>
    </w:p>
    <w:p>
      <w:pPr>
        <w:pStyle w:val="ListNumber"/>
      </w:pPr>
      <w:r>
        <w:t>Benchmark Data Model</w:t>
      </w:r>
    </w:p>
    <w:p>
      <w:pPr>
        <w:pStyle w:val="ListNumber"/>
      </w:pPr>
      <w:r>
        <w:t>Snapshot and Versioning Strategy</w:t>
      </w:r>
    </w:p>
    <w:p>
      <w:pPr>
        <w:pStyle w:val="ListNumber"/>
      </w:pPr>
      <w:r>
        <w:t>Indexes, Constraints, and Performance</w:t>
      </w:r>
    </w:p>
    <w:p>
      <w:pPr>
        <w:pStyle w:val="ListNumber"/>
      </w:pPr>
      <w:r>
        <w:t>Migration and Data Quality Rules</w:t>
      </w:r>
    </w:p>
    <w:p>
      <w:pPr>
        <w:pStyle w:val="ListNumber"/>
      </w:pPr>
      <w:r>
        <w:t>Developer Implementation Checklist</w:t>
      </w:r>
    </w:p>
    <w:p>
      <w:r>
        <w:br w:type="page"/>
      </w:r>
    </w:p>
    <w:p>
      <w:pPr>
        <w:pStyle w:val="Heading1"/>
      </w:pPr>
      <w:r>
        <w:t>1. Purpose and Scope</w:t>
      </w:r>
    </w:p>
    <w:p>
      <w:r>
        <w:t>This volume defines the data architecture for LuminaFPM. It converts the previously defined firewall schema into an implementation-ready PostgreSQL model for the first product version.</w:t>
      </w:r>
    </w:p>
    <w:tbl>
      <w:tblPr>
        <w:tblStyle w:val="LuminaTable"/>
        <w:tblW w:type="auto" w:w="0"/>
        <w:jc w:val="center"/>
        <w:tblLook w:firstColumn="1" w:firstRow="1" w:lastColumn="0" w:lastRow="0" w:noHBand="0" w:noVBand="1" w:val="04A0"/>
      </w:tblPr>
      <w:tblGrid>
        <w:gridCol w:w="5040"/>
        <w:gridCol w:w="5040"/>
      </w:tblGrid>
      <w:tr>
        <w:tc>
          <w:tcPr>
            <w:tcW w:type="dxa" w:w="3024"/>
            <w:shd w:fill="1F4E79"/>
            <w:vAlign w:val="center"/>
          </w:tcPr>
          <w:p>
            <w:pPr>
              <w:spacing w:after="0"/>
            </w:pPr>
            <w:r/>
            <w:r>
              <w:rPr>
                <w:b/>
                <w:color w:val="FFFFFF"/>
                <w:sz w:val="16"/>
              </w:rPr>
              <w:t>Area</w:t>
            </w:r>
          </w:p>
        </w:tc>
        <w:tc>
          <w:tcPr>
            <w:tcW w:type="dxa" w:w="7776"/>
            <w:shd w:fill="1F4E79"/>
            <w:vAlign w:val="center"/>
          </w:tcPr>
          <w:p>
            <w:pPr>
              <w:spacing w:after="0"/>
            </w:pPr>
            <w:r/>
            <w:r>
              <w:rPr>
                <w:b/>
                <w:color w:val="FFFFFF"/>
                <w:sz w:val="16"/>
              </w:rPr>
              <w:t>Decision</w:t>
            </w:r>
          </w:p>
        </w:tc>
      </w:tr>
      <w:tr>
        <w:tc>
          <w:tcPr>
            <w:tcW w:type="dxa" w:w="3024"/>
            <w:vAlign w:val="top"/>
          </w:tcPr>
          <w:p>
            <w:pPr>
              <w:spacing w:after="0"/>
            </w:pPr>
            <w:r/>
            <w:r>
              <w:rPr>
                <w:b w:val="0"/>
                <w:sz w:val="16"/>
              </w:rPr>
              <w:t>Primary database</w:t>
            </w:r>
          </w:p>
        </w:tc>
        <w:tc>
          <w:tcPr>
            <w:tcW w:type="dxa" w:w="7776"/>
            <w:vAlign w:val="top"/>
          </w:tcPr>
          <w:p>
            <w:pPr>
              <w:spacing w:after="0"/>
            </w:pPr>
            <w:r/>
            <w:r>
              <w:rPr>
                <w:b w:val="0"/>
                <w:sz w:val="16"/>
              </w:rPr>
              <w:t>PostgreSQL only for v1.</w:t>
            </w:r>
          </w:p>
        </w:tc>
      </w:tr>
      <w:tr>
        <w:tc>
          <w:tcPr>
            <w:tcW w:type="dxa" w:w="3024"/>
            <w:vAlign w:val="top"/>
          </w:tcPr>
          <w:p>
            <w:pPr>
              <w:spacing w:after="0"/>
            </w:pPr>
            <w:r/>
            <w:r>
              <w:rPr>
                <w:b w:val="0"/>
                <w:sz w:val="16"/>
              </w:rPr>
              <w:t>Source of truth</w:t>
            </w:r>
          </w:p>
        </w:tc>
        <w:tc>
          <w:tcPr>
            <w:tcW w:type="dxa" w:w="7776"/>
            <w:vAlign w:val="top"/>
          </w:tcPr>
          <w:p>
            <w:pPr>
              <w:spacing w:after="0"/>
            </w:pPr>
            <w:r/>
            <w:r>
              <w:rPr>
                <w:b w:val="0"/>
                <w:sz w:val="16"/>
              </w:rPr>
              <w:t>Relational tables, not raw JSON blobs.</w:t>
            </w:r>
          </w:p>
        </w:tc>
      </w:tr>
      <w:tr>
        <w:tc>
          <w:tcPr>
            <w:tcW w:type="dxa" w:w="3024"/>
            <w:vAlign w:val="top"/>
          </w:tcPr>
          <w:p>
            <w:pPr>
              <w:spacing w:after="0"/>
            </w:pPr>
            <w:r/>
            <w:r>
              <w:rPr>
                <w:b w:val="0"/>
                <w:sz w:val="16"/>
              </w:rPr>
              <w:t>Input model</w:t>
            </w:r>
          </w:p>
        </w:tc>
        <w:tc>
          <w:tcPr>
            <w:tcW w:type="dxa" w:w="7776"/>
            <w:vAlign w:val="top"/>
          </w:tcPr>
          <w:p>
            <w:pPr>
              <w:spacing w:after="0"/>
            </w:pPr>
            <w:r/>
            <w:r>
              <w:rPr>
                <w:b w:val="0"/>
                <w:sz w:val="16"/>
              </w:rPr>
              <w:t>Parsed and normalized firewall records.</w:t>
            </w:r>
          </w:p>
        </w:tc>
      </w:tr>
      <w:tr>
        <w:tc>
          <w:tcPr>
            <w:tcW w:type="dxa" w:w="3024"/>
            <w:vAlign w:val="top"/>
          </w:tcPr>
          <w:p>
            <w:pPr>
              <w:spacing w:after="0"/>
            </w:pPr>
            <w:r/>
            <w:r>
              <w:rPr>
                <w:b w:val="0"/>
                <w:sz w:val="16"/>
              </w:rPr>
              <w:t>Primary consumers</w:t>
            </w:r>
          </w:p>
        </w:tc>
        <w:tc>
          <w:tcPr>
            <w:tcW w:type="dxa" w:w="7776"/>
            <w:vAlign w:val="top"/>
          </w:tcPr>
          <w:p>
            <w:pPr>
              <w:spacing w:after="0"/>
            </w:pPr>
            <w:r/>
            <w:r>
              <w:rPr>
                <w:b w:val="0"/>
                <w:sz w:val="16"/>
              </w:rPr>
              <w:t>Anomaly engine, risk engine, CTI engine, graph API, dashboard, benchmark evaluator.</w:t>
            </w:r>
          </w:p>
        </w:tc>
      </w:tr>
      <w:tr>
        <w:tc>
          <w:tcPr>
            <w:tcW w:type="dxa" w:w="3024"/>
            <w:vAlign w:val="top"/>
          </w:tcPr>
          <w:p>
            <w:pPr>
              <w:spacing w:after="0"/>
            </w:pPr>
            <w:r/>
            <w:r>
              <w:rPr>
                <w:b w:val="0"/>
                <w:sz w:val="16"/>
              </w:rPr>
              <w:t>Compatibility goal</w:t>
            </w:r>
          </w:p>
        </w:tc>
        <w:tc>
          <w:tcPr>
            <w:tcW w:type="dxa" w:w="7776"/>
            <w:vAlign w:val="top"/>
          </w:tcPr>
          <w:p>
            <w:pPr>
              <w:spacing w:after="0"/>
            </w:pPr>
            <w:r/>
            <w:r>
              <w:rPr>
                <w:b w:val="0"/>
                <w:sz w:val="16"/>
              </w:rPr>
              <w:t>Support Fortinet, Palo Alto, multi-device, multi-VDOM/VSYS, and future vendors.</w:t>
            </w:r>
          </w:p>
        </w:tc>
      </w:tr>
    </w:tbl>
    <w:p/>
    <w:p>
      <w:pPr>
        <w:pStyle w:val="Heading1"/>
      </w:pPr>
      <w:r>
        <w:t>2. Database Philosophy</w:t>
      </w:r>
    </w:p>
    <w:p>
      <w:r>
        <w:t>The database must preserve operational traceability while still supporting canonical cross-vendor comparison. The system therefore separates vendor-owned records from normalized correlation records.</w:t>
      </w:r>
    </w:p>
    <w:p>
      <w:pPr>
        <w:pStyle w:val="ListBullet"/>
      </w:pPr>
      <w:r>
        <w:t>Keep every firewall rule traceable to the source device and vendor rule identifier.</w:t>
      </w:r>
    </w:p>
    <w:p>
      <w:pPr>
        <w:pStyle w:val="ListBullet"/>
      </w:pPr>
      <w:r>
        <w:t>Avoid destructive re-ingestion that breaks anomaly history.</w:t>
      </w:r>
    </w:p>
    <w:p>
      <w:pPr>
        <w:pStyle w:val="ListBullet"/>
      </w:pPr>
      <w:r>
        <w:t>Use canonical correlation tables for cross-vendor object and service equivalence.</w:t>
      </w:r>
    </w:p>
    <w:p>
      <w:pPr>
        <w:pStyle w:val="ListBullet"/>
      </w:pPr>
      <w:r>
        <w:t>Store anomaly findings as first-class records, not temporary UI calculations.</w:t>
      </w:r>
    </w:p>
    <w:p>
      <w:pPr>
        <w:pStyle w:val="ListBullet"/>
      </w:pPr>
      <w:r>
        <w:t>Store risk scores separately from anomalies so risk can be recalculated without rewriting evidence.</w:t>
      </w:r>
    </w:p>
    <w:p>
      <w:pPr>
        <w:pStyle w:val="ListBullet"/>
      </w:pPr>
      <w:r>
        <w:t>Store benchmark expectations and benchmark results in the database for repeatable evaluation.</w:t>
      </w:r>
    </w:p>
    <w:p>
      <w:pPr>
        <w:pStyle w:val="Heading1"/>
      </w:pPr>
      <w:r>
        <w:t>3. Schema v3 Baseline</w:t>
      </w:r>
    </w:p>
    <w:p>
      <w:r>
        <w:t>The existing schema v3 is the baseline. It already contains vendor, administrator, firewall_device, policy_rule, network_object, rule_object_mapping, rule_anomaly, threat_intelligence, and threat_correlation tables.</w:t>
      </w:r>
    </w:p>
    <w:tbl>
      <w:tblPr>
        <w:tblStyle w:val="LuminaTable"/>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pPr>
            <w:r/>
            <w:r>
              <w:rPr>
                <w:b/>
                <w:color w:val="FFFFFF"/>
                <w:sz w:val="16"/>
              </w:rPr>
              <w:t>Table</w:t>
            </w:r>
          </w:p>
        </w:tc>
        <w:tc>
          <w:tcPr>
            <w:tcW w:type="dxa" w:w="6480"/>
            <w:shd w:fill="1F4E79"/>
            <w:vAlign w:val="center"/>
          </w:tcPr>
          <w:p>
            <w:pPr>
              <w:spacing w:after="0"/>
            </w:pPr>
            <w:r/>
            <w:r>
              <w:rPr>
                <w:b/>
                <w:color w:val="FFFFFF"/>
                <w:sz w:val="16"/>
              </w:rPr>
              <w:t>Purpose</w:t>
            </w:r>
          </w:p>
        </w:tc>
        <w:tc>
          <w:tcPr>
            <w:tcW w:type="dxa" w:w="2016"/>
            <w:shd w:fill="1F4E79"/>
            <w:vAlign w:val="center"/>
          </w:tcPr>
          <w:p>
            <w:pPr>
              <w:spacing w:after="0"/>
            </w:pPr>
            <w:r/>
            <w:r>
              <w:rPr>
                <w:b/>
                <w:color w:val="FFFFFF"/>
                <w:sz w:val="16"/>
              </w:rPr>
              <w:t>v1 Status</w:t>
            </w:r>
          </w:p>
        </w:tc>
      </w:tr>
      <w:tr>
        <w:tc>
          <w:tcPr>
            <w:tcW w:type="dxa" w:w="2592"/>
            <w:vAlign w:val="top"/>
          </w:tcPr>
          <w:p>
            <w:pPr>
              <w:spacing w:after="0"/>
            </w:pPr>
            <w:r/>
            <w:r>
              <w:rPr>
                <w:b w:val="0"/>
                <w:sz w:val="16"/>
              </w:rPr>
              <w:t>vendor</w:t>
            </w:r>
          </w:p>
        </w:tc>
        <w:tc>
          <w:tcPr>
            <w:tcW w:type="dxa" w:w="6480"/>
            <w:vAlign w:val="top"/>
          </w:tcPr>
          <w:p>
            <w:pPr>
              <w:spacing w:after="0"/>
            </w:pPr>
            <w:r/>
            <w:r>
              <w:rPr>
                <w:b w:val="0"/>
                <w:sz w:val="16"/>
              </w:rPr>
              <w:t>Stores firewall vendor metadata and API type.</w:t>
            </w:r>
          </w:p>
        </w:tc>
        <w:tc>
          <w:tcPr>
            <w:tcW w:type="dxa" w:w="2016"/>
            <w:vAlign w:val="top"/>
          </w:tcPr>
          <w:p>
            <w:pPr>
              <w:spacing w:after="0"/>
            </w:pPr>
            <w:r/>
            <w:r>
              <w:rPr>
                <w:b w:val="0"/>
                <w:sz w:val="16"/>
              </w:rPr>
              <w:t>Keep</w:t>
            </w:r>
          </w:p>
        </w:tc>
      </w:tr>
      <w:tr>
        <w:tc>
          <w:tcPr>
            <w:tcW w:type="dxa" w:w="2592"/>
            <w:vAlign w:val="top"/>
          </w:tcPr>
          <w:p>
            <w:pPr>
              <w:spacing w:after="0"/>
            </w:pPr>
            <w:r/>
            <w:r>
              <w:rPr>
                <w:b w:val="0"/>
                <w:sz w:val="16"/>
              </w:rPr>
              <w:t>firewall_device</w:t>
            </w:r>
          </w:p>
        </w:tc>
        <w:tc>
          <w:tcPr>
            <w:tcW w:type="dxa" w:w="6480"/>
            <w:vAlign w:val="top"/>
          </w:tcPr>
          <w:p>
            <w:pPr>
              <w:spacing w:after="0"/>
            </w:pPr>
            <w:r/>
            <w:r>
              <w:rPr>
                <w:b w:val="0"/>
                <w:sz w:val="16"/>
              </w:rPr>
              <w:t>Stores managed firewall inventory, firmware version, management IP, status, and last poll time.</w:t>
            </w:r>
          </w:p>
        </w:tc>
        <w:tc>
          <w:tcPr>
            <w:tcW w:type="dxa" w:w="2016"/>
            <w:vAlign w:val="top"/>
          </w:tcPr>
          <w:p>
            <w:pPr>
              <w:spacing w:after="0"/>
            </w:pPr>
            <w:r/>
            <w:r>
              <w:rPr>
                <w:b w:val="0"/>
                <w:sz w:val="16"/>
              </w:rPr>
              <w:t>Keep</w:t>
            </w:r>
          </w:p>
        </w:tc>
      </w:tr>
      <w:tr>
        <w:tc>
          <w:tcPr>
            <w:tcW w:type="dxa" w:w="2592"/>
            <w:vAlign w:val="top"/>
          </w:tcPr>
          <w:p>
            <w:pPr>
              <w:spacing w:after="0"/>
            </w:pPr>
            <w:r/>
            <w:r>
              <w:rPr>
                <w:b w:val="0"/>
                <w:sz w:val="16"/>
              </w:rPr>
              <w:t>policy_rule</w:t>
            </w:r>
          </w:p>
        </w:tc>
        <w:tc>
          <w:tcPr>
            <w:tcW w:type="dxa" w:w="6480"/>
            <w:vAlign w:val="top"/>
          </w:tcPr>
          <w:p>
            <w:pPr>
              <w:spacing w:after="0"/>
            </w:pPr>
            <w:r/>
            <w:r>
              <w:rPr>
                <w:b w:val="0"/>
                <w:sz w:val="16"/>
              </w:rPr>
              <w:t>Core post-parsing rule table with vendor UUID, VDOM/VSYS, order, action, zones, logging, security profile, schedule, NAT, and description.</w:t>
            </w:r>
          </w:p>
        </w:tc>
        <w:tc>
          <w:tcPr>
            <w:tcW w:type="dxa" w:w="2016"/>
            <w:vAlign w:val="top"/>
          </w:tcPr>
          <w:p>
            <w:pPr>
              <w:spacing w:after="0"/>
            </w:pPr>
            <w:r/>
            <w:r>
              <w:rPr>
                <w:b w:val="0"/>
                <w:sz w:val="16"/>
              </w:rPr>
              <w:t>Keep and extend</w:t>
            </w:r>
          </w:p>
        </w:tc>
      </w:tr>
      <w:tr>
        <w:tc>
          <w:tcPr>
            <w:tcW w:type="dxa" w:w="2592"/>
            <w:vAlign w:val="top"/>
          </w:tcPr>
          <w:p>
            <w:pPr>
              <w:spacing w:after="0"/>
            </w:pPr>
            <w:r/>
            <w:r>
              <w:rPr>
                <w:b w:val="0"/>
                <w:sz w:val="16"/>
              </w:rPr>
              <w:t>network_object</w:t>
            </w:r>
          </w:p>
        </w:tc>
        <w:tc>
          <w:tcPr>
            <w:tcW w:type="dxa" w:w="6480"/>
            <w:vAlign w:val="top"/>
          </w:tcPr>
          <w:p>
            <w:pPr>
              <w:spacing w:after="0"/>
            </w:pPr>
            <w:r/>
            <w:r>
              <w:rPr>
                <w:b w:val="0"/>
                <w:sz w:val="16"/>
              </w:rPr>
              <w:t>Stores named network objects and service-like objects.</w:t>
            </w:r>
          </w:p>
        </w:tc>
        <w:tc>
          <w:tcPr>
            <w:tcW w:type="dxa" w:w="2016"/>
            <w:vAlign w:val="top"/>
          </w:tcPr>
          <w:p>
            <w:pPr>
              <w:spacing w:after="0"/>
            </w:pPr>
            <w:r/>
            <w:r>
              <w:rPr>
                <w:b w:val="0"/>
                <w:sz w:val="16"/>
              </w:rPr>
              <w:t>Extend with ownership fields</w:t>
            </w:r>
          </w:p>
        </w:tc>
      </w:tr>
      <w:tr>
        <w:tc>
          <w:tcPr>
            <w:tcW w:type="dxa" w:w="2592"/>
            <w:vAlign w:val="top"/>
          </w:tcPr>
          <w:p>
            <w:pPr>
              <w:spacing w:after="0"/>
            </w:pPr>
            <w:r/>
            <w:r>
              <w:rPr>
                <w:b w:val="0"/>
                <w:sz w:val="16"/>
              </w:rPr>
              <w:t>rule_object_mapping</w:t>
            </w:r>
          </w:p>
        </w:tc>
        <w:tc>
          <w:tcPr>
            <w:tcW w:type="dxa" w:w="6480"/>
            <w:vAlign w:val="top"/>
          </w:tcPr>
          <w:p>
            <w:pPr>
              <w:spacing w:after="0"/>
            </w:pPr>
            <w:r/>
            <w:r>
              <w:rPr>
                <w:b w:val="0"/>
                <w:sz w:val="16"/>
              </w:rPr>
              <w:t>Maps rules to source, destination, and service objects.</w:t>
            </w:r>
          </w:p>
        </w:tc>
        <w:tc>
          <w:tcPr>
            <w:tcW w:type="dxa" w:w="2016"/>
            <w:vAlign w:val="top"/>
          </w:tcPr>
          <w:p>
            <w:pPr>
              <w:spacing w:after="0"/>
            </w:pPr>
            <w:r/>
            <w:r>
              <w:rPr>
                <w:b w:val="0"/>
                <w:sz w:val="16"/>
              </w:rPr>
              <w:t>Keep</w:t>
            </w:r>
          </w:p>
        </w:tc>
      </w:tr>
      <w:tr>
        <w:tc>
          <w:tcPr>
            <w:tcW w:type="dxa" w:w="2592"/>
            <w:vAlign w:val="top"/>
          </w:tcPr>
          <w:p>
            <w:pPr>
              <w:spacing w:after="0"/>
            </w:pPr>
            <w:r/>
            <w:r>
              <w:rPr>
                <w:b w:val="0"/>
                <w:sz w:val="16"/>
              </w:rPr>
              <w:t>rule_anomaly</w:t>
            </w:r>
          </w:p>
        </w:tc>
        <w:tc>
          <w:tcPr>
            <w:tcW w:type="dxa" w:w="6480"/>
            <w:vAlign w:val="top"/>
          </w:tcPr>
          <w:p>
            <w:pPr>
              <w:spacing w:after="0"/>
            </w:pPr>
            <w:r/>
            <w:r>
              <w:rPr>
                <w:b w:val="0"/>
                <w:sz w:val="16"/>
              </w:rPr>
              <w:t>Stores detected rule anomalies.</w:t>
            </w:r>
          </w:p>
        </w:tc>
        <w:tc>
          <w:tcPr>
            <w:tcW w:type="dxa" w:w="2016"/>
            <w:vAlign w:val="top"/>
          </w:tcPr>
          <w:p>
            <w:pPr>
              <w:spacing w:after="0"/>
            </w:pPr>
            <w:r/>
            <w:r>
              <w:rPr>
                <w:b w:val="0"/>
                <w:sz w:val="16"/>
              </w:rPr>
              <w:t>Extend</w:t>
            </w:r>
          </w:p>
        </w:tc>
      </w:tr>
      <w:tr>
        <w:tc>
          <w:tcPr>
            <w:tcW w:type="dxa" w:w="2592"/>
            <w:vAlign w:val="top"/>
          </w:tcPr>
          <w:p>
            <w:pPr>
              <w:spacing w:after="0"/>
            </w:pPr>
            <w:r/>
            <w:r>
              <w:rPr>
                <w:b w:val="0"/>
                <w:sz w:val="16"/>
              </w:rPr>
              <w:t>threat_intelligence</w:t>
            </w:r>
          </w:p>
        </w:tc>
        <w:tc>
          <w:tcPr>
            <w:tcW w:type="dxa" w:w="6480"/>
            <w:vAlign w:val="top"/>
          </w:tcPr>
          <w:p>
            <w:pPr>
              <w:spacing w:after="0"/>
            </w:pPr>
            <w:r/>
            <w:r>
              <w:rPr>
                <w:b w:val="0"/>
                <w:sz w:val="16"/>
              </w:rPr>
              <w:t>Stores external threat records.</w:t>
            </w:r>
          </w:p>
        </w:tc>
        <w:tc>
          <w:tcPr>
            <w:tcW w:type="dxa" w:w="2016"/>
            <w:vAlign w:val="top"/>
          </w:tcPr>
          <w:p>
            <w:pPr>
              <w:spacing w:after="0"/>
            </w:pPr>
            <w:r/>
            <w:r>
              <w:rPr>
                <w:b w:val="0"/>
                <w:sz w:val="16"/>
              </w:rPr>
              <w:t>Extend or complement with cti_indicator/cti_observation</w:t>
            </w:r>
          </w:p>
        </w:tc>
      </w:tr>
      <w:tr>
        <w:tc>
          <w:tcPr>
            <w:tcW w:type="dxa" w:w="2592"/>
            <w:vAlign w:val="top"/>
          </w:tcPr>
          <w:p>
            <w:pPr>
              <w:spacing w:after="0"/>
            </w:pPr>
            <w:r/>
            <w:r>
              <w:rPr>
                <w:b w:val="0"/>
                <w:sz w:val="16"/>
              </w:rPr>
              <w:t>threat_correlation</w:t>
            </w:r>
          </w:p>
        </w:tc>
        <w:tc>
          <w:tcPr>
            <w:tcW w:type="dxa" w:w="6480"/>
            <w:vAlign w:val="top"/>
          </w:tcPr>
          <w:p>
            <w:pPr>
              <w:spacing w:after="0"/>
            </w:pPr>
            <w:r/>
            <w:r>
              <w:rPr>
                <w:b w:val="0"/>
                <w:sz w:val="16"/>
              </w:rPr>
              <w:t>Maps threats to rules with match strength and confidence.</w:t>
            </w:r>
          </w:p>
        </w:tc>
        <w:tc>
          <w:tcPr>
            <w:tcW w:type="dxa" w:w="2016"/>
            <w:vAlign w:val="top"/>
          </w:tcPr>
          <w:p>
            <w:pPr>
              <w:spacing w:after="0"/>
            </w:pPr>
            <w:r/>
            <w:r>
              <w:rPr>
                <w:b w:val="0"/>
                <w:sz w:val="16"/>
              </w:rPr>
              <w:t>Keep and extend</w:t>
            </w:r>
          </w:p>
        </w:tc>
      </w:tr>
    </w:tbl>
    <w:p/>
    <w:p>
      <w:pPr>
        <w:pStyle w:val="Heading1"/>
      </w:pPr>
      <w:r>
        <w:t>4. Lumina Schema v4 Enhancements</w:t>
      </w:r>
    </w:p>
    <w:tbl>
      <w:tblPr>
        <w:tblStyle w:val="LuminaTable"/>
        <w:tblW w:type="auto" w:w="0"/>
        <w:jc w:val="center"/>
        <w:tblLook w:firstColumn="1" w:firstRow="1" w:lastColumn="0" w:lastRow="0" w:noHBand="0" w:noVBand="1" w:val="04A0"/>
      </w:tblPr>
      <w:tblGrid>
        <w:gridCol w:w="3360"/>
        <w:gridCol w:w="3360"/>
        <w:gridCol w:w="3360"/>
      </w:tblGrid>
      <w:tr>
        <w:tc>
          <w:tcPr>
            <w:tcW w:type="dxa" w:w="3312"/>
            <w:shd w:fill="1F4E79"/>
            <w:vAlign w:val="center"/>
          </w:tcPr>
          <w:p>
            <w:pPr>
              <w:spacing w:after="0"/>
            </w:pPr>
            <w:r/>
            <w:r>
              <w:rPr>
                <w:b/>
                <w:color w:val="FFFFFF"/>
                <w:sz w:val="16"/>
              </w:rPr>
              <w:t>New / Modified Table</w:t>
            </w:r>
          </w:p>
        </w:tc>
        <w:tc>
          <w:tcPr>
            <w:tcW w:type="dxa" w:w="5184"/>
            <w:shd w:fill="1F4E79"/>
            <w:vAlign w:val="center"/>
          </w:tcPr>
          <w:p>
            <w:pPr>
              <w:spacing w:after="0"/>
            </w:pPr>
            <w:r/>
            <w:r>
              <w:rPr>
                <w:b/>
                <w:color w:val="FFFFFF"/>
                <w:sz w:val="16"/>
              </w:rPr>
              <w:t>Purpose</w:t>
            </w:r>
          </w:p>
        </w:tc>
        <w:tc>
          <w:tcPr>
            <w:tcW w:type="dxa" w:w="2304"/>
            <w:shd w:fill="1F4E79"/>
            <w:vAlign w:val="center"/>
          </w:tcPr>
          <w:p>
            <w:pPr>
              <w:spacing w:after="0"/>
            </w:pPr>
            <w:r/>
            <w:r>
              <w:rPr>
                <w:b/>
                <w:color w:val="FFFFFF"/>
                <w:sz w:val="16"/>
              </w:rPr>
              <w:t>Required For</w:t>
            </w:r>
          </w:p>
        </w:tc>
      </w:tr>
      <w:tr>
        <w:tc>
          <w:tcPr>
            <w:tcW w:type="dxa" w:w="3312"/>
            <w:vAlign w:val="top"/>
          </w:tcPr>
          <w:p>
            <w:pPr>
              <w:spacing w:after="0"/>
            </w:pPr>
            <w:r/>
            <w:r>
              <w:rPr>
                <w:b w:val="0"/>
                <w:sz w:val="16"/>
              </w:rPr>
              <w:t>network_object + device_id/vendor_id</w:t>
            </w:r>
          </w:p>
        </w:tc>
        <w:tc>
          <w:tcPr>
            <w:tcW w:type="dxa" w:w="5184"/>
            <w:vAlign w:val="top"/>
          </w:tcPr>
          <w:p>
            <w:pPr>
              <w:spacing w:after="0"/>
            </w:pPr>
            <w:r/>
            <w:r>
              <w:rPr>
                <w:b w:val="0"/>
                <w:sz w:val="16"/>
              </w:rPr>
              <w:t>Preserves source ownership for every object.</w:t>
            </w:r>
          </w:p>
        </w:tc>
        <w:tc>
          <w:tcPr>
            <w:tcW w:type="dxa" w:w="2304"/>
            <w:vAlign w:val="top"/>
          </w:tcPr>
          <w:p>
            <w:pPr>
              <w:spacing w:after="0"/>
            </w:pPr>
            <w:r/>
            <w:r>
              <w:rPr>
                <w:b w:val="0"/>
                <w:sz w:val="16"/>
              </w:rPr>
              <w:t>Cross-vendor traceability</w:t>
            </w:r>
          </w:p>
        </w:tc>
      </w:tr>
      <w:tr>
        <w:tc>
          <w:tcPr>
            <w:tcW w:type="dxa" w:w="3312"/>
            <w:vAlign w:val="top"/>
          </w:tcPr>
          <w:p>
            <w:pPr>
              <w:spacing w:after="0"/>
            </w:pPr>
            <w:r/>
            <w:r>
              <w:rPr>
                <w:b w:val="0"/>
                <w:sz w:val="16"/>
              </w:rPr>
              <w:t>normalized_object</w:t>
            </w:r>
          </w:p>
        </w:tc>
        <w:tc>
          <w:tcPr>
            <w:tcW w:type="dxa" w:w="5184"/>
            <w:vAlign w:val="top"/>
          </w:tcPr>
          <w:p>
            <w:pPr>
              <w:spacing w:after="0"/>
            </w:pPr>
            <w:r/>
            <w:r>
              <w:rPr>
                <w:b w:val="0"/>
                <w:sz w:val="16"/>
              </w:rPr>
              <w:t>Canonical representation of equivalent objects.</w:t>
            </w:r>
          </w:p>
        </w:tc>
        <w:tc>
          <w:tcPr>
            <w:tcW w:type="dxa" w:w="2304"/>
            <w:vAlign w:val="top"/>
          </w:tcPr>
          <w:p>
            <w:pPr>
              <w:spacing w:after="0"/>
            </w:pPr>
            <w:r/>
            <w:r>
              <w:rPr>
                <w:b w:val="0"/>
                <w:sz w:val="16"/>
              </w:rPr>
              <w:t>Object correlation</w:t>
            </w:r>
          </w:p>
        </w:tc>
      </w:tr>
      <w:tr>
        <w:tc>
          <w:tcPr>
            <w:tcW w:type="dxa" w:w="3312"/>
            <w:vAlign w:val="top"/>
          </w:tcPr>
          <w:p>
            <w:pPr>
              <w:spacing w:after="0"/>
            </w:pPr>
            <w:r/>
            <w:r>
              <w:rPr>
                <w:b w:val="0"/>
                <w:sz w:val="16"/>
              </w:rPr>
              <w:t>object_normalization_mapping</w:t>
            </w:r>
          </w:p>
        </w:tc>
        <w:tc>
          <w:tcPr>
            <w:tcW w:type="dxa" w:w="5184"/>
            <w:vAlign w:val="top"/>
          </w:tcPr>
          <w:p>
            <w:pPr>
              <w:spacing w:after="0"/>
            </w:pPr>
            <w:r/>
            <w:r>
              <w:rPr>
                <w:b w:val="0"/>
                <w:sz w:val="16"/>
              </w:rPr>
              <w:t>Maps device-owned objects to canonical objects.</w:t>
            </w:r>
          </w:p>
        </w:tc>
        <w:tc>
          <w:tcPr>
            <w:tcW w:type="dxa" w:w="2304"/>
            <w:vAlign w:val="top"/>
          </w:tcPr>
          <w:p>
            <w:pPr>
              <w:spacing w:after="0"/>
            </w:pPr>
            <w:r/>
            <w:r>
              <w:rPr>
                <w:b w:val="0"/>
                <w:sz w:val="16"/>
              </w:rPr>
              <w:t>Object mismatch and duplicate detection</w:t>
            </w:r>
          </w:p>
        </w:tc>
      </w:tr>
      <w:tr>
        <w:tc>
          <w:tcPr>
            <w:tcW w:type="dxa" w:w="3312"/>
            <w:vAlign w:val="top"/>
          </w:tcPr>
          <w:p>
            <w:pPr>
              <w:spacing w:after="0"/>
            </w:pPr>
            <w:r/>
            <w:r>
              <w:rPr>
                <w:b w:val="0"/>
                <w:sz w:val="16"/>
              </w:rPr>
              <w:t>normalized_service</w:t>
            </w:r>
          </w:p>
        </w:tc>
        <w:tc>
          <w:tcPr>
            <w:tcW w:type="dxa" w:w="5184"/>
            <w:vAlign w:val="top"/>
          </w:tcPr>
          <w:p>
            <w:pPr>
              <w:spacing w:after="0"/>
            </w:pPr>
            <w:r/>
            <w:r>
              <w:rPr>
                <w:b w:val="0"/>
                <w:sz w:val="16"/>
              </w:rPr>
              <w:t>Canonical service/protocol/port model.</w:t>
            </w:r>
          </w:p>
        </w:tc>
        <w:tc>
          <w:tcPr>
            <w:tcW w:type="dxa" w:w="2304"/>
            <w:vAlign w:val="top"/>
          </w:tcPr>
          <w:p>
            <w:pPr>
              <w:spacing w:after="0"/>
            </w:pPr>
            <w:r/>
            <w:r>
              <w:rPr>
                <w:b w:val="0"/>
                <w:sz w:val="16"/>
              </w:rPr>
              <w:t>Service comparison</w:t>
            </w:r>
          </w:p>
        </w:tc>
      </w:tr>
      <w:tr>
        <w:tc>
          <w:tcPr>
            <w:tcW w:type="dxa" w:w="3312"/>
            <w:vAlign w:val="top"/>
          </w:tcPr>
          <w:p>
            <w:pPr>
              <w:spacing w:after="0"/>
            </w:pPr>
            <w:r/>
            <w:r>
              <w:rPr>
                <w:b w:val="0"/>
                <w:sz w:val="16"/>
              </w:rPr>
              <w:t>service_normalization_mapping</w:t>
            </w:r>
          </w:p>
        </w:tc>
        <w:tc>
          <w:tcPr>
            <w:tcW w:type="dxa" w:w="5184"/>
            <w:vAlign w:val="top"/>
          </w:tcPr>
          <w:p>
            <w:pPr>
              <w:spacing w:after="0"/>
            </w:pPr>
            <w:r/>
            <w:r>
              <w:rPr>
                <w:b w:val="0"/>
                <w:sz w:val="16"/>
              </w:rPr>
              <w:t>Maps vendor services to canonical services.</w:t>
            </w:r>
          </w:p>
        </w:tc>
        <w:tc>
          <w:tcPr>
            <w:tcW w:type="dxa" w:w="2304"/>
            <w:vAlign w:val="top"/>
          </w:tcPr>
          <w:p>
            <w:pPr>
              <w:spacing w:after="0"/>
            </w:pPr>
            <w:r/>
            <w:r>
              <w:rPr>
                <w:b w:val="0"/>
                <w:sz w:val="16"/>
              </w:rPr>
              <w:t>Cross-vendor rule comparison</w:t>
            </w:r>
          </w:p>
        </w:tc>
      </w:tr>
      <w:tr>
        <w:tc>
          <w:tcPr>
            <w:tcW w:type="dxa" w:w="3312"/>
            <w:vAlign w:val="top"/>
          </w:tcPr>
          <w:p>
            <w:pPr>
              <w:spacing w:after="0"/>
            </w:pPr>
            <w:r/>
            <w:r>
              <w:rPr>
                <w:b w:val="0"/>
                <w:sz w:val="16"/>
              </w:rPr>
              <w:t>risk_assessment</w:t>
            </w:r>
          </w:p>
        </w:tc>
        <w:tc>
          <w:tcPr>
            <w:tcW w:type="dxa" w:w="5184"/>
            <w:vAlign w:val="top"/>
          </w:tcPr>
          <w:p>
            <w:pPr>
              <w:spacing w:after="0"/>
            </w:pPr>
            <w:r/>
            <w:r>
              <w:rPr>
                <w:b w:val="0"/>
                <w:sz w:val="16"/>
              </w:rPr>
              <w:t>Stores rule/device risk score and tier.</w:t>
            </w:r>
          </w:p>
        </w:tc>
        <w:tc>
          <w:tcPr>
            <w:tcW w:type="dxa" w:w="2304"/>
            <w:vAlign w:val="top"/>
          </w:tcPr>
          <w:p>
            <w:pPr>
              <w:spacing w:after="0"/>
            </w:pPr>
            <w:r/>
            <w:r>
              <w:rPr>
                <w:b w:val="0"/>
                <w:sz w:val="16"/>
              </w:rPr>
              <w:t>Risk dashboard</w:t>
            </w:r>
          </w:p>
        </w:tc>
      </w:tr>
      <w:tr>
        <w:tc>
          <w:tcPr>
            <w:tcW w:type="dxa" w:w="3312"/>
            <w:vAlign w:val="top"/>
          </w:tcPr>
          <w:p>
            <w:pPr>
              <w:spacing w:after="0"/>
            </w:pPr>
            <w:r/>
            <w:r>
              <w:rPr>
                <w:b w:val="0"/>
                <w:sz w:val="16"/>
              </w:rPr>
              <w:t>anomaly_execution_log</w:t>
            </w:r>
          </w:p>
        </w:tc>
        <w:tc>
          <w:tcPr>
            <w:tcW w:type="dxa" w:w="5184"/>
            <w:vAlign w:val="top"/>
          </w:tcPr>
          <w:p>
            <w:pPr>
              <w:spacing w:after="0"/>
            </w:pPr>
            <w:r/>
            <w:r>
              <w:rPr>
                <w:b w:val="0"/>
                <w:sz w:val="16"/>
              </w:rPr>
              <w:t>Stores each anomaly engine run.</w:t>
            </w:r>
          </w:p>
        </w:tc>
        <w:tc>
          <w:tcPr>
            <w:tcW w:type="dxa" w:w="2304"/>
            <w:vAlign w:val="top"/>
          </w:tcPr>
          <w:p>
            <w:pPr>
              <w:spacing w:after="0"/>
            </w:pPr>
            <w:r/>
            <w:r>
              <w:rPr>
                <w:b w:val="0"/>
                <w:sz w:val="16"/>
              </w:rPr>
              <w:t>Audit and benchmark repeatability</w:t>
            </w:r>
          </w:p>
        </w:tc>
      </w:tr>
      <w:tr>
        <w:tc>
          <w:tcPr>
            <w:tcW w:type="dxa" w:w="3312"/>
            <w:vAlign w:val="top"/>
          </w:tcPr>
          <w:p>
            <w:pPr>
              <w:spacing w:after="0"/>
            </w:pPr>
            <w:r/>
            <w:r>
              <w:rPr>
                <w:b w:val="0"/>
                <w:sz w:val="16"/>
              </w:rPr>
              <w:t>benchmark_case</w:t>
            </w:r>
          </w:p>
        </w:tc>
        <w:tc>
          <w:tcPr>
            <w:tcW w:type="dxa" w:w="5184"/>
            <w:vAlign w:val="top"/>
          </w:tcPr>
          <w:p>
            <w:pPr>
              <w:spacing w:after="0"/>
            </w:pPr>
            <w:r/>
            <w:r>
              <w:rPr>
                <w:b w:val="0"/>
                <w:sz w:val="16"/>
              </w:rPr>
              <w:t>Stores expected anomaly ground truth.</w:t>
            </w:r>
          </w:p>
        </w:tc>
        <w:tc>
          <w:tcPr>
            <w:tcW w:type="dxa" w:w="2304"/>
            <w:vAlign w:val="top"/>
          </w:tcPr>
          <w:p>
            <w:pPr>
              <w:spacing w:after="0"/>
            </w:pPr>
            <w:r/>
            <w:r>
              <w:rPr>
                <w:b w:val="0"/>
                <w:sz w:val="16"/>
              </w:rPr>
              <w:t>Evaluation</w:t>
            </w:r>
          </w:p>
        </w:tc>
      </w:tr>
      <w:tr>
        <w:tc>
          <w:tcPr>
            <w:tcW w:type="dxa" w:w="3312"/>
            <w:vAlign w:val="top"/>
          </w:tcPr>
          <w:p>
            <w:pPr>
              <w:spacing w:after="0"/>
            </w:pPr>
            <w:r/>
            <w:r>
              <w:rPr>
                <w:b w:val="0"/>
                <w:sz w:val="16"/>
              </w:rPr>
              <w:t>benchmark_result</w:t>
            </w:r>
          </w:p>
        </w:tc>
        <w:tc>
          <w:tcPr>
            <w:tcW w:type="dxa" w:w="5184"/>
            <w:vAlign w:val="top"/>
          </w:tcPr>
          <w:p>
            <w:pPr>
              <w:spacing w:after="0"/>
            </w:pPr>
            <w:r/>
            <w:r>
              <w:rPr>
                <w:b w:val="0"/>
                <w:sz w:val="16"/>
              </w:rPr>
              <w:t>Stores detected-vs-expected outcomes.</w:t>
            </w:r>
          </w:p>
        </w:tc>
        <w:tc>
          <w:tcPr>
            <w:tcW w:type="dxa" w:w="2304"/>
            <w:vAlign w:val="top"/>
          </w:tcPr>
          <w:p>
            <w:pPr>
              <w:spacing w:after="0"/>
            </w:pPr>
            <w:r/>
            <w:r>
              <w:rPr>
                <w:b w:val="0"/>
                <w:sz w:val="16"/>
              </w:rPr>
              <w:t>Precision/recall reporting</w:t>
            </w:r>
          </w:p>
        </w:tc>
      </w:tr>
      <w:tr>
        <w:tc>
          <w:tcPr>
            <w:tcW w:type="dxa" w:w="3312"/>
            <w:vAlign w:val="top"/>
          </w:tcPr>
          <w:p>
            <w:pPr>
              <w:spacing w:after="0"/>
            </w:pPr>
            <w:r/>
            <w:r>
              <w:rPr>
                <w:b w:val="0"/>
                <w:sz w:val="16"/>
              </w:rPr>
              <w:t>cti_indicator</w:t>
            </w:r>
          </w:p>
        </w:tc>
        <w:tc>
          <w:tcPr>
            <w:tcW w:type="dxa" w:w="5184"/>
            <w:vAlign w:val="top"/>
          </w:tcPr>
          <w:p>
            <w:pPr>
              <w:spacing w:after="0"/>
            </w:pPr>
            <w:r/>
            <w:r>
              <w:rPr>
                <w:b w:val="0"/>
                <w:sz w:val="16"/>
              </w:rPr>
              <w:t>Stores IP, FQDN, URL, CVE, firmware-version indicators.</w:t>
            </w:r>
          </w:p>
        </w:tc>
        <w:tc>
          <w:tcPr>
            <w:tcW w:type="dxa" w:w="2304"/>
            <w:vAlign w:val="top"/>
          </w:tcPr>
          <w:p>
            <w:pPr>
              <w:spacing w:after="0"/>
            </w:pPr>
            <w:r/>
            <w:r>
              <w:rPr>
                <w:b w:val="0"/>
                <w:sz w:val="16"/>
              </w:rPr>
              <w:t>Threat enrichment</w:t>
            </w:r>
          </w:p>
        </w:tc>
      </w:tr>
      <w:tr>
        <w:tc>
          <w:tcPr>
            <w:tcW w:type="dxa" w:w="3312"/>
            <w:vAlign w:val="top"/>
          </w:tcPr>
          <w:p>
            <w:pPr>
              <w:spacing w:after="0"/>
            </w:pPr>
            <w:r/>
            <w:r>
              <w:rPr>
                <w:b w:val="0"/>
                <w:sz w:val="16"/>
              </w:rPr>
              <w:t>cti_observation</w:t>
            </w:r>
          </w:p>
        </w:tc>
        <w:tc>
          <w:tcPr>
            <w:tcW w:type="dxa" w:w="5184"/>
            <w:vAlign w:val="top"/>
          </w:tcPr>
          <w:p>
            <w:pPr>
              <w:spacing w:after="0"/>
            </w:pPr>
            <w:r/>
            <w:r>
              <w:rPr>
                <w:b w:val="0"/>
                <w:sz w:val="16"/>
              </w:rPr>
              <w:t>Stores provider results and confidence.</w:t>
            </w:r>
          </w:p>
        </w:tc>
        <w:tc>
          <w:tcPr>
            <w:tcW w:type="dxa" w:w="2304"/>
            <w:vAlign w:val="top"/>
          </w:tcPr>
          <w:p>
            <w:pPr>
              <w:spacing w:after="0"/>
            </w:pPr>
            <w:r/>
            <w:r>
              <w:rPr>
                <w:b w:val="0"/>
                <w:sz w:val="16"/>
              </w:rPr>
              <w:t>Evidence and report generation</w:t>
            </w:r>
          </w:p>
        </w:tc>
      </w:tr>
      <w:tr>
        <w:tc>
          <w:tcPr>
            <w:tcW w:type="dxa" w:w="3312"/>
            <w:vAlign w:val="top"/>
          </w:tcPr>
          <w:p>
            <w:pPr>
              <w:spacing w:after="0"/>
            </w:pPr>
            <w:r/>
            <w:r>
              <w:rPr>
                <w:b w:val="0"/>
                <w:sz w:val="16"/>
              </w:rPr>
              <w:t>llm_report</w:t>
            </w:r>
          </w:p>
        </w:tc>
        <w:tc>
          <w:tcPr>
            <w:tcW w:type="dxa" w:w="5184"/>
            <w:vAlign w:val="top"/>
          </w:tcPr>
          <w:p>
            <w:pPr>
              <w:spacing w:after="0"/>
            </w:pPr>
            <w:r/>
            <w:r>
              <w:rPr>
                <w:b w:val="0"/>
                <w:sz w:val="16"/>
              </w:rPr>
              <w:t>Stores generated SOC reports and prompts metadata.</w:t>
            </w:r>
          </w:p>
        </w:tc>
        <w:tc>
          <w:tcPr>
            <w:tcW w:type="dxa" w:w="2304"/>
            <w:vAlign w:val="top"/>
          </w:tcPr>
          <w:p>
            <w:pPr>
              <w:spacing w:after="0"/>
            </w:pPr>
            <w:r/>
            <w:r>
              <w:rPr>
                <w:b w:val="0"/>
                <w:sz w:val="16"/>
              </w:rPr>
              <w:t>AI reporting audit</w:t>
            </w:r>
          </w:p>
        </w:tc>
      </w:tr>
    </w:tbl>
    <w:p/>
    <w:p>
      <w:pPr>
        <w:pStyle w:val="Heading1"/>
      </w:pPr>
      <w:r>
        <w:t>5. Entity Relationship Model</w:t>
      </w:r>
    </w:p>
    <w:p>
      <w:pPr>
        <w:pStyle w:val="CodeBlock"/>
      </w:pPr>
      <w:r>
        <w:rPr>
          <w:rFonts w:ascii="Consolas" w:hAnsi="Consolas" w:eastAsia="Consolas"/>
          <w:sz w:val="16"/>
        </w:rPr>
        <w:t>vendor 1--N firewall_device 1--N policy_rule 1--N rule_anomaly</w:t>
      </w:r>
      <w:r>
        <w:br/>
      </w:r>
      <w:r>
        <w:rPr>
          <w:rFonts w:ascii="Consolas" w:hAnsi="Consolas" w:eastAsia="Consolas"/>
          <w:sz w:val="16"/>
        </w:rPr>
        <w:t xml:space="preserve">                                      |              |</w:t>
      </w:r>
      <w:r>
        <w:br/>
      </w:r>
      <w:r>
        <w:rPr>
          <w:rFonts w:ascii="Consolas" w:hAnsi="Consolas" w:eastAsia="Consolas"/>
          <w:sz w:val="16"/>
        </w:rPr>
        <w:t xml:space="preserve">                                      |              +--N rule_object_mapping N--1 network_object</w:t>
      </w:r>
      <w:r>
        <w:br/>
      </w:r>
      <w:r>
        <w:rPr>
          <w:rFonts w:ascii="Consolas" w:hAnsi="Consolas" w:eastAsia="Consolas"/>
          <w:sz w:val="16"/>
        </w:rPr>
        <w:t xml:space="preserve">                                      |                                      |</w:t>
      </w:r>
      <w:r>
        <w:br/>
      </w:r>
      <w:r>
        <w:rPr>
          <w:rFonts w:ascii="Consolas" w:hAnsi="Consolas" w:eastAsia="Consolas"/>
          <w:sz w:val="16"/>
        </w:rPr>
        <w:t xml:space="preserve">                                      |                                      +--N object_normalization_mapping N--1 normalized_object</w:t>
      </w:r>
      <w:r>
        <w:br/>
      </w:r>
      <w:r>
        <w:rPr>
          <w:rFonts w:ascii="Consolas" w:hAnsi="Consolas" w:eastAsia="Consolas"/>
          <w:sz w:val="16"/>
        </w:rPr>
        <w:t xml:space="preserve">                                      |</w:t>
      </w:r>
      <w:r>
        <w:br/>
      </w:r>
      <w:r>
        <w:rPr>
          <w:rFonts w:ascii="Consolas" w:hAnsi="Consolas" w:eastAsia="Consolas"/>
          <w:sz w:val="16"/>
        </w:rPr>
        <w:t xml:space="preserve">                                      +--N risk_assessment</w:t>
      </w:r>
      <w:r>
        <w:br/>
      </w:r>
      <w:r>
        <w:rPr>
          <w:rFonts w:ascii="Consolas" w:hAnsi="Consolas" w:eastAsia="Consolas"/>
          <w:sz w:val="16"/>
        </w:rPr>
        <w:t xml:space="preserve">                                      +--N threat_intelligence / cti_indicator / cti_observation</w:t>
      </w:r>
      <w:r>
        <w:br/>
      </w:r>
      <w:r>
        <w:rPr>
          <w:rFonts w:ascii="Consolas" w:hAnsi="Consolas" w:eastAsia="Consolas"/>
          <w:sz w:val="16"/>
        </w:rPr>
      </w:r>
      <w:r>
        <w:br/>
      </w:r>
      <w:r>
        <w:rPr>
          <w:rFonts w:ascii="Consolas" w:hAnsi="Consolas" w:eastAsia="Consolas"/>
          <w:sz w:val="16"/>
        </w:rPr>
        <w:t>policy_rule 1--N threat_correlation N--1 threat_intelligence</w:t>
      </w:r>
      <w:r>
        <w:br/>
      </w:r>
      <w:r>
        <w:rPr>
          <w:rFonts w:ascii="Consolas" w:hAnsi="Consolas" w:eastAsia="Consolas"/>
          <w:sz w:val="16"/>
        </w:rPr>
        <w:t>policy_rule 1--N risk_assessment</w:t>
      </w:r>
      <w:r>
        <w:br/>
      </w:r>
      <w:r>
        <w:rPr>
          <w:rFonts w:ascii="Consolas" w:hAnsi="Consolas" w:eastAsia="Consolas"/>
          <w:sz w:val="16"/>
        </w:rPr>
        <w:t>policy_rule N--N benchmark_case via benchmark_result</w:t>
      </w:r>
    </w:p>
    <w:p>
      <w:pPr>
        <w:pStyle w:val="Heading1"/>
      </w:pPr>
      <w:r>
        <w:t>6. Device and Vendor Model</w:t>
      </w:r>
    </w:p>
    <w:p>
      <w:r>
        <w:t>The device model anchors every operational record. Every rule, object, threat, risk, and anomaly must be traceable to a firewall device.</w:t>
      </w:r>
    </w:p>
    <w:tbl>
      <w:tblPr>
        <w:tblStyle w:val="LuminaTable"/>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pPr>
            <w:r/>
            <w:r>
              <w:rPr>
                <w:b/>
                <w:color w:val="FFFFFF"/>
                <w:sz w:val="16"/>
              </w:rPr>
              <w:t>Field</w:t>
            </w:r>
          </w:p>
        </w:tc>
        <w:tc>
          <w:tcPr>
            <w:tcW w:type="dxa" w:w="3600"/>
            <w:shd w:fill="1F4E79"/>
            <w:vAlign w:val="center"/>
          </w:tcPr>
          <w:p>
            <w:pPr>
              <w:spacing w:after="0"/>
            </w:pPr>
            <w:r/>
            <w:r>
              <w:rPr>
                <w:b/>
                <w:color w:val="FFFFFF"/>
                <w:sz w:val="16"/>
              </w:rPr>
              <w:t>Meaning</w:t>
            </w:r>
          </w:p>
        </w:tc>
        <w:tc>
          <w:tcPr>
            <w:tcW w:type="dxa" w:w="4752"/>
            <w:shd w:fill="1F4E79"/>
            <w:vAlign w:val="center"/>
          </w:tcPr>
          <w:p>
            <w:pPr>
              <w:spacing w:after="0"/>
            </w:pPr>
            <w:r/>
            <w:r>
              <w:rPr>
                <w:b/>
                <w:color w:val="FFFFFF"/>
                <w:sz w:val="16"/>
              </w:rPr>
              <w:t>Implementation Note</w:t>
            </w:r>
          </w:p>
        </w:tc>
      </w:tr>
      <w:tr>
        <w:tc>
          <w:tcPr>
            <w:tcW w:type="dxa" w:w="2448"/>
            <w:vAlign w:val="top"/>
          </w:tcPr>
          <w:p>
            <w:pPr>
              <w:spacing w:after="0"/>
            </w:pPr>
            <w:r/>
            <w:r>
              <w:rPr>
                <w:b w:val="0"/>
                <w:sz w:val="16"/>
              </w:rPr>
              <w:t>vendor_id</w:t>
            </w:r>
          </w:p>
        </w:tc>
        <w:tc>
          <w:tcPr>
            <w:tcW w:type="dxa" w:w="3600"/>
            <w:vAlign w:val="top"/>
          </w:tcPr>
          <w:p>
            <w:pPr>
              <w:spacing w:after="0"/>
            </w:pPr>
            <w:r/>
            <w:r>
              <w:rPr>
                <w:b w:val="0"/>
                <w:sz w:val="16"/>
              </w:rPr>
              <w:t>Links the device to Fortinet or Palo Alto.</w:t>
            </w:r>
          </w:p>
        </w:tc>
        <w:tc>
          <w:tcPr>
            <w:tcW w:type="dxa" w:w="4752"/>
            <w:vAlign w:val="top"/>
          </w:tcPr>
          <w:p>
            <w:pPr>
              <w:spacing w:after="0"/>
            </w:pPr>
            <w:r/>
            <w:r>
              <w:rPr>
                <w:b w:val="0"/>
                <w:sz w:val="16"/>
              </w:rPr>
              <w:t>Determines connector class and API protocol.</w:t>
            </w:r>
          </w:p>
        </w:tc>
      </w:tr>
      <w:tr>
        <w:tc>
          <w:tcPr>
            <w:tcW w:type="dxa" w:w="2448"/>
            <w:vAlign w:val="top"/>
          </w:tcPr>
          <w:p>
            <w:pPr>
              <w:spacing w:after="0"/>
            </w:pPr>
            <w:r/>
            <w:r>
              <w:rPr>
                <w:b w:val="0"/>
                <w:sz w:val="16"/>
              </w:rPr>
              <w:t>hostname</w:t>
            </w:r>
          </w:p>
        </w:tc>
        <w:tc>
          <w:tcPr>
            <w:tcW w:type="dxa" w:w="3600"/>
            <w:vAlign w:val="top"/>
          </w:tcPr>
          <w:p>
            <w:pPr>
              <w:spacing w:after="0"/>
            </w:pPr>
            <w:r/>
            <w:r>
              <w:rPr>
                <w:b w:val="0"/>
                <w:sz w:val="16"/>
              </w:rPr>
              <w:t>Human-readable device name.</w:t>
            </w:r>
          </w:p>
        </w:tc>
        <w:tc>
          <w:tcPr>
            <w:tcW w:type="dxa" w:w="4752"/>
            <w:vAlign w:val="top"/>
          </w:tcPr>
          <w:p>
            <w:pPr>
              <w:spacing w:after="0"/>
            </w:pPr>
            <w:r/>
            <w:r>
              <w:rPr>
                <w:b w:val="0"/>
                <w:sz w:val="16"/>
              </w:rPr>
              <w:t>Must be unique per deployment or paired with management IP.</w:t>
            </w:r>
          </w:p>
        </w:tc>
      </w:tr>
      <w:tr>
        <w:tc>
          <w:tcPr>
            <w:tcW w:type="dxa" w:w="2448"/>
            <w:vAlign w:val="top"/>
          </w:tcPr>
          <w:p>
            <w:pPr>
              <w:spacing w:after="0"/>
            </w:pPr>
            <w:r/>
            <w:r>
              <w:rPr>
                <w:b w:val="0"/>
                <w:sz w:val="16"/>
              </w:rPr>
              <w:t>firmware_version</w:t>
            </w:r>
          </w:p>
        </w:tc>
        <w:tc>
          <w:tcPr>
            <w:tcW w:type="dxa" w:w="3600"/>
            <w:vAlign w:val="top"/>
          </w:tcPr>
          <w:p>
            <w:pPr>
              <w:spacing w:after="0"/>
            </w:pPr>
            <w:r/>
            <w:r>
              <w:rPr>
                <w:b w:val="0"/>
                <w:sz w:val="16"/>
              </w:rPr>
              <w:t>Installed firewall software version.</w:t>
            </w:r>
          </w:p>
        </w:tc>
        <w:tc>
          <w:tcPr>
            <w:tcW w:type="dxa" w:w="4752"/>
            <w:vAlign w:val="top"/>
          </w:tcPr>
          <w:p>
            <w:pPr>
              <w:spacing w:after="0"/>
            </w:pPr>
            <w:r/>
            <w:r>
              <w:rPr>
                <w:b w:val="0"/>
                <w:sz w:val="16"/>
              </w:rPr>
              <w:t>Used by CTI and LLM query generation.</w:t>
            </w:r>
          </w:p>
        </w:tc>
      </w:tr>
      <w:tr>
        <w:tc>
          <w:tcPr>
            <w:tcW w:type="dxa" w:w="2448"/>
            <w:vAlign w:val="top"/>
          </w:tcPr>
          <w:p>
            <w:pPr>
              <w:spacing w:after="0"/>
            </w:pPr>
            <w:r/>
            <w:r>
              <w:rPr>
                <w:b w:val="0"/>
                <w:sz w:val="16"/>
              </w:rPr>
              <w:t>management_ip</w:t>
            </w:r>
          </w:p>
        </w:tc>
        <w:tc>
          <w:tcPr>
            <w:tcW w:type="dxa" w:w="3600"/>
            <w:vAlign w:val="top"/>
          </w:tcPr>
          <w:p>
            <w:pPr>
              <w:spacing w:after="0"/>
            </w:pPr>
            <w:r/>
            <w:r>
              <w:rPr>
                <w:b w:val="0"/>
                <w:sz w:val="16"/>
              </w:rPr>
              <w:t>API management address.</w:t>
            </w:r>
          </w:p>
        </w:tc>
        <w:tc>
          <w:tcPr>
            <w:tcW w:type="dxa" w:w="4752"/>
            <w:vAlign w:val="top"/>
          </w:tcPr>
          <w:p>
            <w:pPr>
              <w:spacing w:after="0"/>
            </w:pPr>
            <w:r/>
            <w:r>
              <w:rPr>
                <w:b w:val="0"/>
                <w:sz w:val="16"/>
              </w:rPr>
              <w:t>Stored as VARCHAR(45) to support IPv4/IPv6.</w:t>
            </w:r>
          </w:p>
        </w:tc>
      </w:tr>
      <w:tr>
        <w:tc>
          <w:tcPr>
            <w:tcW w:type="dxa" w:w="2448"/>
            <w:vAlign w:val="top"/>
          </w:tcPr>
          <w:p>
            <w:pPr>
              <w:spacing w:after="0"/>
            </w:pPr>
            <w:r/>
            <w:r>
              <w:rPr>
                <w:b w:val="0"/>
                <w:sz w:val="16"/>
              </w:rPr>
              <w:t>last_poll_time</w:t>
            </w:r>
          </w:p>
        </w:tc>
        <w:tc>
          <w:tcPr>
            <w:tcW w:type="dxa" w:w="3600"/>
            <w:vAlign w:val="top"/>
          </w:tcPr>
          <w:p>
            <w:pPr>
              <w:spacing w:after="0"/>
            </w:pPr>
            <w:r/>
            <w:r>
              <w:rPr>
                <w:b w:val="0"/>
                <w:sz w:val="16"/>
              </w:rPr>
              <w:t>Most recent successful collection.</w:t>
            </w:r>
          </w:p>
        </w:tc>
        <w:tc>
          <w:tcPr>
            <w:tcW w:type="dxa" w:w="4752"/>
            <w:vAlign w:val="top"/>
          </w:tcPr>
          <w:p>
            <w:pPr>
              <w:spacing w:after="0"/>
            </w:pPr>
            <w:r/>
            <w:r>
              <w:rPr>
                <w:b w:val="0"/>
                <w:sz w:val="16"/>
              </w:rPr>
              <w:t>Used for freshness and dashboard status.</w:t>
            </w:r>
          </w:p>
        </w:tc>
      </w:tr>
      <w:tr>
        <w:tc>
          <w:tcPr>
            <w:tcW w:type="dxa" w:w="2448"/>
            <w:vAlign w:val="top"/>
          </w:tcPr>
          <w:p>
            <w:pPr>
              <w:spacing w:after="0"/>
            </w:pPr>
            <w:r/>
            <w:r>
              <w:rPr>
                <w:b w:val="0"/>
                <w:sz w:val="16"/>
              </w:rPr>
              <w:t>status</w:t>
            </w:r>
          </w:p>
        </w:tc>
        <w:tc>
          <w:tcPr>
            <w:tcW w:type="dxa" w:w="3600"/>
            <w:vAlign w:val="top"/>
          </w:tcPr>
          <w:p>
            <w:pPr>
              <w:spacing w:after="0"/>
            </w:pPr>
            <w:r/>
            <w:r>
              <w:rPr>
                <w:b w:val="0"/>
                <w:sz w:val="16"/>
              </w:rPr>
              <w:t>online/offline/degraded/unknown.</w:t>
            </w:r>
          </w:p>
        </w:tc>
        <w:tc>
          <w:tcPr>
            <w:tcW w:type="dxa" w:w="4752"/>
            <w:vAlign w:val="top"/>
          </w:tcPr>
          <w:p>
            <w:pPr>
              <w:spacing w:after="0"/>
            </w:pPr>
            <w:r/>
            <w:r>
              <w:rPr>
                <w:b w:val="0"/>
                <w:sz w:val="16"/>
              </w:rPr>
              <w:t>Written by app layer, not derived in SQL.</w:t>
            </w:r>
          </w:p>
        </w:tc>
      </w:tr>
    </w:tbl>
    <w:p/>
    <w:p>
      <w:pPr>
        <w:pStyle w:val="Heading1"/>
      </w:pPr>
      <w:r>
        <w:t>7. Policy Rule Model</w:t>
      </w:r>
    </w:p>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b/>
                <w:color w:val="1F4E79"/>
                <w:sz w:val="19"/>
              </w:rPr>
              <w:t>Operational Sync Key</w:t>
            </w:r>
            <w:r>
              <w:br/>
              <w:t>The sync key must remain (device_id, vdom_vsys, vendor_uuid). This prevents duplicate rows during polling and preserves rule_id references used by anomaly history.</w:t>
            </w:r>
          </w:p>
        </w:tc>
      </w:tr>
    </w:tbl>
    <w:p/>
    <w:tbl>
      <w:tblPr>
        <w:tblStyle w:val="LuminaTable"/>
        <w:tblW w:type="auto" w:w="0"/>
        <w:jc w:val="center"/>
        <w:tblLook w:firstColumn="1" w:firstRow="1" w:lastColumn="0" w:lastRow="0" w:noHBand="0" w:noVBand="1" w:val="04A0"/>
      </w:tblPr>
      <w:tblGrid>
        <w:gridCol w:w="3360"/>
        <w:gridCol w:w="3360"/>
        <w:gridCol w:w="3360"/>
      </w:tblGrid>
      <w:tr>
        <w:tc>
          <w:tcPr>
            <w:tcW w:type="dxa" w:w="2736"/>
            <w:shd w:fill="1F4E79"/>
            <w:vAlign w:val="center"/>
          </w:tcPr>
          <w:p>
            <w:pPr>
              <w:spacing w:after="0"/>
            </w:pPr>
            <w:r/>
            <w:r>
              <w:rPr>
                <w:b/>
                <w:color w:val="FFFFFF"/>
                <w:sz w:val="16"/>
              </w:rPr>
              <w:t>Policy Field Group</w:t>
            </w:r>
          </w:p>
        </w:tc>
        <w:tc>
          <w:tcPr>
            <w:tcW w:type="dxa" w:w="4608"/>
            <w:shd w:fill="1F4E79"/>
            <w:vAlign w:val="center"/>
          </w:tcPr>
          <w:p>
            <w:pPr>
              <w:spacing w:after="0"/>
            </w:pPr>
            <w:r/>
            <w:r>
              <w:rPr>
                <w:b/>
                <w:color w:val="FFFFFF"/>
                <w:sz w:val="16"/>
              </w:rPr>
              <w:t>Fields</w:t>
            </w:r>
          </w:p>
        </w:tc>
        <w:tc>
          <w:tcPr>
            <w:tcW w:type="dxa" w:w="3456"/>
            <w:shd w:fill="1F4E79"/>
            <w:vAlign w:val="center"/>
          </w:tcPr>
          <w:p>
            <w:pPr>
              <w:spacing w:after="0"/>
            </w:pPr>
            <w:r/>
            <w:r>
              <w:rPr>
                <w:b/>
                <w:color w:val="FFFFFF"/>
                <w:sz w:val="16"/>
              </w:rPr>
              <w:t>Purpose</w:t>
            </w:r>
          </w:p>
        </w:tc>
      </w:tr>
      <w:tr>
        <w:tc>
          <w:tcPr>
            <w:tcW w:type="dxa" w:w="2736"/>
            <w:vAlign w:val="top"/>
          </w:tcPr>
          <w:p>
            <w:pPr>
              <w:spacing w:after="0"/>
            </w:pPr>
            <w:r/>
            <w:r>
              <w:rPr>
                <w:b w:val="0"/>
                <w:sz w:val="16"/>
              </w:rPr>
              <w:t>Identity</w:t>
            </w:r>
          </w:p>
        </w:tc>
        <w:tc>
          <w:tcPr>
            <w:tcW w:type="dxa" w:w="4608"/>
            <w:vAlign w:val="top"/>
          </w:tcPr>
          <w:p>
            <w:pPr>
              <w:spacing w:after="0"/>
            </w:pPr>
            <w:r/>
            <w:r>
              <w:rPr>
                <w:b w:val="0"/>
                <w:sz w:val="16"/>
              </w:rPr>
              <w:t>rule_id, device_id, vendor_rule_id, vendor_uuid, vendor_type, vdom_vsys</w:t>
            </w:r>
          </w:p>
        </w:tc>
        <w:tc>
          <w:tcPr>
            <w:tcW w:type="dxa" w:w="3456"/>
            <w:vAlign w:val="top"/>
          </w:tcPr>
          <w:p>
            <w:pPr>
              <w:spacing w:after="0"/>
            </w:pPr>
            <w:r/>
            <w:r>
              <w:rPr>
                <w:b w:val="0"/>
                <w:sz w:val="16"/>
              </w:rPr>
              <w:t>Traceability and sync</w:t>
            </w:r>
          </w:p>
        </w:tc>
      </w:tr>
      <w:tr>
        <w:tc>
          <w:tcPr>
            <w:tcW w:type="dxa" w:w="2736"/>
            <w:vAlign w:val="top"/>
          </w:tcPr>
          <w:p>
            <w:pPr>
              <w:spacing w:after="0"/>
            </w:pPr>
            <w:r/>
            <w:r>
              <w:rPr>
                <w:b w:val="0"/>
                <w:sz w:val="16"/>
              </w:rPr>
              <w:t>Evaluation</w:t>
            </w:r>
          </w:p>
        </w:tc>
        <w:tc>
          <w:tcPr>
            <w:tcW w:type="dxa" w:w="4608"/>
            <w:vAlign w:val="top"/>
          </w:tcPr>
          <w:p>
            <w:pPr>
              <w:spacing w:after="0"/>
            </w:pPr>
            <w:r/>
            <w:r>
              <w:rPr>
                <w:b w:val="0"/>
                <w:sz w:val="16"/>
              </w:rPr>
              <w:t>rule_order, action, is_active</w:t>
            </w:r>
          </w:p>
        </w:tc>
        <w:tc>
          <w:tcPr>
            <w:tcW w:type="dxa" w:w="3456"/>
            <w:vAlign w:val="top"/>
          </w:tcPr>
          <w:p>
            <w:pPr>
              <w:spacing w:after="0"/>
            </w:pPr>
            <w:r/>
            <w:r>
              <w:rPr>
                <w:b w:val="0"/>
                <w:sz w:val="16"/>
              </w:rPr>
              <w:t>First-match anomaly logic</w:t>
            </w:r>
          </w:p>
        </w:tc>
      </w:tr>
      <w:tr>
        <w:tc>
          <w:tcPr>
            <w:tcW w:type="dxa" w:w="2736"/>
            <w:vAlign w:val="top"/>
          </w:tcPr>
          <w:p>
            <w:pPr>
              <w:spacing w:after="0"/>
            </w:pPr>
            <w:r/>
            <w:r>
              <w:rPr>
                <w:b w:val="0"/>
                <w:sz w:val="16"/>
              </w:rPr>
              <w:t>Traffic direction</w:t>
            </w:r>
          </w:p>
        </w:tc>
        <w:tc>
          <w:tcPr>
            <w:tcW w:type="dxa" w:w="4608"/>
            <w:vAlign w:val="top"/>
          </w:tcPr>
          <w:p>
            <w:pPr>
              <w:spacing w:after="0"/>
            </w:pPr>
            <w:r/>
            <w:r>
              <w:rPr>
                <w:b w:val="0"/>
                <w:sz w:val="16"/>
              </w:rPr>
              <w:t>src_zone_interface, dst_zone_interface</w:t>
            </w:r>
          </w:p>
        </w:tc>
        <w:tc>
          <w:tcPr>
            <w:tcW w:type="dxa" w:w="3456"/>
            <w:vAlign w:val="top"/>
          </w:tcPr>
          <w:p>
            <w:pPr>
              <w:spacing w:after="0"/>
            </w:pPr>
            <w:r/>
            <w:r>
              <w:rPr>
                <w:b w:val="0"/>
                <w:sz w:val="16"/>
              </w:rPr>
              <w:t>Zone and path comparison</w:t>
            </w:r>
          </w:p>
        </w:tc>
      </w:tr>
      <w:tr>
        <w:tc>
          <w:tcPr>
            <w:tcW w:type="dxa" w:w="2736"/>
            <w:vAlign w:val="top"/>
          </w:tcPr>
          <w:p>
            <w:pPr>
              <w:spacing w:after="0"/>
            </w:pPr>
            <w:r/>
            <w:r>
              <w:rPr>
                <w:b w:val="0"/>
                <w:sz w:val="16"/>
              </w:rPr>
              <w:t>Selectors</w:t>
            </w:r>
          </w:p>
        </w:tc>
        <w:tc>
          <w:tcPr>
            <w:tcW w:type="dxa" w:w="4608"/>
            <w:vAlign w:val="top"/>
          </w:tcPr>
          <w:p>
            <w:pPr>
              <w:spacing w:after="0"/>
            </w:pPr>
            <w:r/>
            <w:r>
              <w:rPr>
                <w:b w:val="0"/>
                <w:sz w:val="16"/>
              </w:rPr>
              <w:t>rule_object_mapping to sources/destinations/services</w:t>
            </w:r>
          </w:p>
        </w:tc>
        <w:tc>
          <w:tcPr>
            <w:tcW w:type="dxa" w:w="3456"/>
            <w:vAlign w:val="top"/>
          </w:tcPr>
          <w:p>
            <w:pPr>
              <w:spacing w:after="0"/>
            </w:pPr>
            <w:r/>
            <w:r>
              <w:rPr>
                <w:b w:val="0"/>
                <w:sz w:val="16"/>
              </w:rPr>
              <w:t>Anomaly condition matching</w:t>
            </w:r>
          </w:p>
        </w:tc>
      </w:tr>
      <w:tr>
        <w:tc>
          <w:tcPr>
            <w:tcW w:type="dxa" w:w="2736"/>
            <w:vAlign w:val="top"/>
          </w:tcPr>
          <w:p>
            <w:pPr>
              <w:spacing w:after="0"/>
            </w:pPr>
            <w:r/>
            <w:r>
              <w:rPr>
                <w:b w:val="0"/>
                <w:sz w:val="16"/>
              </w:rPr>
              <w:t>Security posture</w:t>
            </w:r>
          </w:p>
        </w:tc>
        <w:tc>
          <w:tcPr>
            <w:tcW w:type="dxa" w:w="4608"/>
            <w:vAlign w:val="top"/>
          </w:tcPr>
          <w:p>
            <w:pPr>
              <w:spacing w:after="0"/>
            </w:pPr>
            <w:r/>
            <w:r>
              <w:rPr>
                <w:b w:val="0"/>
                <w:sz w:val="16"/>
              </w:rPr>
              <w:t>log_setting, security_profile_group, schedule_name, nat_enabled</w:t>
            </w:r>
          </w:p>
        </w:tc>
        <w:tc>
          <w:tcPr>
            <w:tcW w:type="dxa" w:w="3456"/>
            <w:vAlign w:val="top"/>
          </w:tcPr>
          <w:p>
            <w:pPr>
              <w:spacing w:after="0"/>
            </w:pPr>
            <w:r/>
            <w:r>
              <w:rPr>
                <w:b w:val="0"/>
                <w:sz w:val="16"/>
              </w:rPr>
              <w:t>Risk and posture analysis</w:t>
            </w:r>
          </w:p>
        </w:tc>
      </w:tr>
      <w:tr>
        <w:tc>
          <w:tcPr>
            <w:tcW w:type="dxa" w:w="2736"/>
            <w:vAlign w:val="top"/>
          </w:tcPr>
          <w:p>
            <w:pPr>
              <w:spacing w:after="0"/>
            </w:pPr>
            <w:r/>
            <w:r>
              <w:rPr>
                <w:b w:val="0"/>
                <w:sz w:val="16"/>
              </w:rPr>
              <w:t>Audit</w:t>
            </w:r>
          </w:p>
        </w:tc>
        <w:tc>
          <w:tcPr>
            <w:tcW w:type="dxa" w:w="4608"/>
            <w:vAlign w:val="top"/>
          </w:tcPr>
          <w:p>
            <w:pPr>
              <w:spacing w:after="0"/>
            </w:pPr>
            <w:r/>
            <w:r>
              <w:rPr>
                <w:b w:val="0"/>
                <w:sz w:val="16"/>
              </w:rPr>
              <w:t>description, tags, created_at, updated_at</w:t>
            </w:r>
          </w:p>
        </w:tc>
        <w:tc>
          <w:tcPr>
            <w:tcW w:type="dxa" w:w="3456"/>
            <w:vAlign w:val="top"/>
          </w:tcPr>
          <w:p>
            <w:pPr>
              <w:spacing w:after="0"/>
            </w:pPr>
            <w:r/>
            <w:r>
              <w:rPr>
                <w:b w:val="0"/>
                <w:sz w:val="16"/>
              </w:rPr>
              <w:t>Governance and lifecycle analysis</w:t>
            </w:r>
          </w:p>
        </w:tc>
      </w:tr>
    </w:tbl>
    <w:p/>
    <w:p>
      <w:pPr>
        <w:pStyle w:val="Heading1"/>
      </w:pPr>
      <w:r>
        <w:t>8. Object and Service Correlation Model</w:t>
      </w:r>
    </w:p>
    <w:p>
      <w:r>
        <w:t>The final decision is a correlation model. Vendor-owned objects remain separate, but canonical objects connect equivalent assets across vendors.</w:t>
      </w:r>
    </w:p>
    <w:p>
      <w:pPr>
        <w:pStyle w:val="CodeBlock"/>
      </w:pPr>
      <w:r>
        <w:rPr>
          <w:rFonts w:ascii="Consolas" w:hAnsi="Consolas" w:eastAsia="Consolas"/>
          <w:sz w:val="16"/>
        </w:rPr>
        <w:t>network_object</w:t>
      </w:r>
      <w:r>
        <w:br/>
      </w:r>
      <w:r>
        <w:rPr>
          <w:rFonts w:ascii="Consolas" w:hAnsi="Consolas" w:eastAsia="Consolas"/>
          <w:sz w:val="16"/>
        </w:rPr>
        <w:t xml:space="preserve">  object_id PK</w:t>
      </w:r>
      <w:r>
        <w:br/>
      </w:r>
      <w:r>
        <w:rPr>
          <w:rFonts w:ascii="Consolas" w:hAnsi="Consolas" w:eastAsia="Consolas"/>
          <w:sz w:val="16"/>
        </w:rPr>
        <w:t xml:space="preserve">  device_id FK</w:t>
      </w:r>
      <w:r>
        <w:br/>
      </w:r>
      <w:r>
        <w:rPr>
          <w:rFonts w:ascii="Consolas" w:hAnsi="Consolas" w:eastAsia="Consolas"/>
          <w:sz w:val="16"/>
        </w:rPr>
        <w:t xml:space="preserve">  vendor_id FK</w:t>
      </w:r>
      <w:r>
        <w:br/>
      </w:r>
      <w:r>
        <w:rPr>
          <w:rFonts w:ascii="Consolas" w:hAnsi="Consolas" w:eastAsia="Consolas"/>
          <w:sz w:val="16"/>
        </w:rPr>
        <w:t xml:space="preserve">  vendor_object_id</w:t>
      </w:r>
      <w:r>
        <w:br/>
      </w:r>
      <w:r>
        <w:rPr>
          <w:rFonts w:ascii="Consolas" w:hAnsi="Consolas" w:eastAsia="Consolas"/>
          <w:sz w:val="16"/>
        </w:rPr>
        <w:t xml:space="preserve">  vendor_uuid</w:t>
      </w:r>
      <w:r>
        <w:br/>
      </w:r>
      <w:r>
        <w:rPr>
          <w:rFonts w:ascii="Consolas" w:hAnsi="Consolas" w:eastAsia="Consolas"/>
          <w:sz w:val="16"/>
        </w:rPr>
        <w:t xml:space="preserve">  name</w:t>
      </w:r>
      <w:r>
        <w:br/>
      </w:r>
      <w:r>
        <w:rPr>
          <w:rFonts w:ascii="Consolas" w:hAnsi="Consolas" w:eastAsia="Consolas"/>
          <w:sz w:val="16"/>
        </w:rPr>
        <w:t xml:space="preserve">  type</w:t>
      </w:r>
      <w:r>
        <w:br/>
      </w:r>
      <w:r>
        <w:rPr>
          <w:rFonts w:ascii="Consolas" w:hAnsi="Consolas" w:eastAsia="Consolas"/>
          <w:sz w:val="16"/>
        </w:rPr>
        <w:t xml:space="preserve">  value</w:t>
      </w:r>
      <w:r>
        <w:br/>
      </w:r>
      <w:r>
        <w:rPr>
          <w:rFonts w:ascii="Consolas" w:hAnsi="Consolas" w:eastAsia="Consolas"/>
          <w:sz w:val="16"/>
        </w:rPr>
      </w:r>
      <w:r>
        <w:br/>
      </w:r>
      <w:r>
        <w:rPr>
          <w:rFonts w:ascii="Consolas" w:hAnsi="Consolas" w:eastAsia="Consolas"/>
          <w:sz w:val="16"/>
        </w:rPr>
        <w:t>normalized_object</w:t>
      </w:r>
      <w:r>
        <w:br/>
      </w:r>
      <w:r>
        <w:rPr>
          <w:rFonts w:ascii="Consolas" w:hAnsi="Consolas" w:eastAsia="Consolas"/>
          <w:sz w:val="16"/>
        </w:rPr>
        <w:t xml:space="preserve">  normalized_object_id PK</w:t>
      </w:r>
      <w:r>
        <w:br/>
      </w:r>
      <w:r>
        <w:rPr>
          <w:rFonts w:ascii="Consolas" w:hAnsi="Consolas" w:eastAsia="Consolas"/>
          <w:sz w:val="16"/>
        </w:rPr>
        <w:t xml:space="preserve">  canonical_name</w:t>
      </w:r>
      <w:r>
        <w:br/>
      </w:r>
      <w:r>
        <w:rPr>
          <w:rFonts w:ascii="Consolas" w:hAnsi="Consolas" w:eastAsia="Consolas"/>
          <w:sz w:val="16"/>
        </w:rPr>
        <w:t xml:space="preserve">  canonical_type</w:t>
      </w:r>
      <w:r>
        <w:br/>
      </w:r>
      <w:r>
        <w:rPr>
          <w:rFonts w:ascii="Consolas" w:hAnsi="Consolas" w:eastAsia="Consolas"/>
          <w:sz w:val="16"/>
        </w:rPr>
        <w:t xml:space="preserve">  canonical_value</w:t>
      </w:r>
      <w:r>
        <w:br/>
      </w:r>
      <w:r>
        <w:rPr>
          <w:rFonts w:ascii="Consolas" w:hAnsi="Consolas" w:eastAsia="Consolas"/>
          <w:sz w:val="16"/>
        </w:rPr>
        <w:t xml:space="preserve">  sensitivity_level</w:t>
      </w:r>
      <w:r>
        <w:br/>
      </w:r>
      <w:r>
        <w:rPr>
          <w:rFonts w:ascii="Consolas" w:hAnsi="Consolas" w:eastAsia="Consolas"/>
          <w:sz w:val="16"/>
        </w:rPr>
      </w:r>
      <w:r>
        <w:br/>
      </w:r>
      <w:r>
        <w:rPr>
          <w:rFonts w:ascii="Consolas" w:hAnsi="Consolas" w:eastAsia="Consolas"/>
          <w:sz w:val="16"/>
        </w:rPr>
        <w:t>object_normalization_mapping</w:t>
      </w:r>
      <w:r>
        <w:br/>
      </w:r>
      <w:r>
        <w:rPr>
          <w:rFonts w:ascii="Consolas" w:hAnsi="Consolas" w:eastAsia="Consolas"/>
          <w:sz w:val="16"/>
        </w:rPr>
        <w:t xml:space="preserve">  object_id FK</w:t>
      </w:r>
      <w:r>
        <w:br/>
      </w:r>
      <w:r>
        <w:rPr>
          <w:rFonts w:ascii="Consolas" w:hAnsi="Consolas" w:eastAsia="Consolas"/>
          <w:sz w:val="16"/>
        </w:rPr>
        <w:t xml:space="preserve">  normalized_object_id FK</w:t>
      </w:r>
      <w:r>
        <w:br/>
      </w:r>
      <w:r>
        <w:rPr>
          <w:rFonts w:ascii="Consolas" w:hAnsi="Consolas" w:eastAsia="Consolas"/>
          <w:sz w:val="16"/>
        </w:rPr>
        <w:t xml:space="preserve">  confidence</w:t>
      </w:r>
      <w:r>
        <w:br/>
      </w:r>
      <w:r>
        <w:rPr>
          <w:rFonts w:ascii="Consolas" w:hAnsi="Consolas" w:eastAsia="Consolas"/>
          <w:sz w:val="16"/>
        </w:rPr>
        <w:t xml:space="preserve">  mapping_reason</w:t>
      </w:r>
    </w:p>
    <w:tbl>
      <w:tblPr>
        <w:tblStyle w:val="LuminaTable"/>
        <w:tblW w:type="auto" w:w="0"/>
        <w:jc w:val="center"/>
        <w:tblLook w:firstColumn="1" w:firstRow="1" w:lastColumn="0" w:lastRow="0" w:noHBand="0" w:noVBand="1" w:val="04A0"/>
      </w:tblPr>
      <w:tblGrid>
        <w:gridCol w:w="5040"/>
        <w:gridCol w:w="5040"/>
      </w:tblGrid>
      <w:tr>
        <w:tc>
          <w:tcPr>
            <w:tcW w:type="dxa" w:w="4896"/>
            <w:shd w:fill="1F4E79"/>
            <w:vAlign w:val="center"/>
          </w:tcPr>
          <w:p>
            <w:pPr>
              <w:spacing w:after="0"/>
            </w:pPr>
            <w:r/>
            <w:r>
              <w:rPr>
                <w:b/>
                <w:color w:val="FFFFFF"/>
                <w:sz w:val="16"/>
              </w:rPr>
              <w:t>Scenario</w:t>
            </w:r>
          </w:p>
        </w:tc>
        <w:tc>
          <w:tcPr>
            <w:tcW w:type="dxa" w:w="5904"/>
            <w:shd w:fill="1F4E79"/>
            <w:vAlign w:val="center"/>
          </w:tcPr>
          <w:p>
            <w:pPr>
              <w:spacing w:after="0"/>
            </w:pPr>
            <w:r/>
            <w:r>
              <w:rPr>
                <w:b/>
                <w:color w:val="FFFFFF"/>
                <w:sz w:val="16"/>
              </w:rPr>
              <w:t>Detection Enabled</w:t>
            </w:r>
          </w:p>
        </w:tc>
      </w:tr>
      <w:tr>
        <w:tc>
          <w:tcPr>
            <w:tcW w:type="dxa" w:w="4896"/>
            <w:vAlign w:val="top"/>
          </w:tcPr>
          <w:p>
            <w:pPr>
              <w:spacing w:after="0"/>
            </w:pPr>
            <w:r/>
            <w:r>
              <w:rPr>
                <w:b w:val="0"/>
                <w:sz w:val="16"/>
              </w:rPr>
              <w:t>Same name, same IP on both vendors</w:t>
            </w:r>
          </w:p>
        </w:tc>
        <w:tc>
          <w:tcPr>
            <w:tcW w:type="dxa" w:w="5904"/>
            <w:vAlign w:val="top"/>
          </w:tcPr>
          <w:p>
            <w:pPr>
              <w:spacing w:after="0"/>
            </w:pPr>
            <w:r/>
            <w:r>
              <w:rPr>
                <w:b w:val="0"/>
                <w:sz w:val="16"/>
              </w:rPr>
              <w:t>Canonical equivalence</w:t>
            </w:r>
          </w:p>
        </w:tc>
      </w:tr>
      <w:tr>
        <w:tc>
          <w:tcPr>
            <w:tcW w:type="dxa" w:w="4896"/>
            <w:vAlign w:val="top"/>
          </w:tcPr>
          <w:p>
            <w:pPr>
              <w:spacing w:after="0"/>
            </w:pPr>
            <w:r/>
            <w:r>
              <w:rPr>
                <w:b w:val="0"/>
                <w:sz w:val="16"/>
              </w:rPr>
              <w:t>Same name, different IP</w:t>
            </w:r>
          </w:p>
        </w:tc>
        <w:tc>
          <w:tcPr>
            <w:tcW w:type="dxa" w:w="5904"/>
            <w:vAlign w:val="top"/>
          </w:tcPr>
          <w:p>
            <w:pPr>
              <w:spacing w:after="0"/>
            </w:pPr>
            <w:r/>
            <w:r>
              <w:rPr>
                <w:b w:val="0"/>
                <w:sz w:val="16"/>
              </w:rPr>
              <w:t>Cross-device object mismatch</w:t>
            </w:r>
          </w:p>
        </w:tc>
      </w:tr>
      <w:tr>
        <w:tc>
          <w:tcPr>
            <w:tcW w:type="dxa" w:w="4896"/>
            <w:vAlign w:val="top"/>
          </w:tcPr>
          <w:p>
            <w:pPr>
              <w:spacing w:after="0"/>
            </w:pPr>
            <w:r/>
            <w:r>
              <w:rPr>
                <w:b w:val="0"/>
                <w:sz w:val="16"/>
              </w:rPr>
              <w:t>Different names, same IP</w:t>
            </w:r>
          </w:p>
        </w:tc>
        <w:tc>
          <w:tcPr>
            <w:tcW w:type="dxa" w:w="5904"/>
            <w:vAlign w:val="top"/>
          </w:tcPr>
          <w:p>
            <w:pPr>
              <w:spacing w:after="0"/>
            </w:pPr>
            <w:r/>
            <w:r>
              <w:rPr>
                <w:b w:val="0"/>
                <w:sz w:val="16"/>
              </w:rPr>
              <w:t>Potential duplicate or naming inconsistency</w:t>
            </w:r>
          </w:p>
        </w:tc>
      </w:tr>
      <w:tr>
        <w:tc>
          <w:tcPr>
            <w:tcW w:type="dxa" w:w="4896"/>
            <w:vAlign w:val="top"/>
          </w:tcPr>
          <w:p>
            <w:pPr>
              <w:spacing w:after="0"/>
            </w:pPr>
            <w:r/>
            <w:r>
              <w:rPr>
                <w:b w:val="0"/>
                <w:sz w:val="16"/>
              </w:rPr>
              <w:t>One vendor has object, other does not</w:t>
            </w:r>
          </w:p>
        </w:tc>
        <w:tc>
          <w:tcPr>
            <w:tcW w:type="dxa" w:w="5904"/>
            <w:vAlign w:val="top"/>
          </w:tcPr>
          <w:p>
            <w:pPr>
              <w:spacing w:after="0"/>
            </w:pPr>
            <w:r/>
            <w:r>
              <w:rPr>
                <w:b w:val="0"/>
                <w:sz w:val="16"/>
              </w:rPr>
              <w:t>Coverage gap or inventory drift</w:t>
            </w:r>
          </w:p>
        </w:tc>
      </w:tr>
      <w:tr>
        <w:tc>
          <w:tcPr>
            <w:tcW w:type="dxa" w:w="4896"/>
            <w:vAlign w:val="top"/>
          </w:tcPr>
          <w:p>
            <w:pPr>
              <w:spacing w:after="0"/>
            </w:pPr>
            <w:r/>
            <w:r>
              <w:rPr>
                <w:b w:val="0"/>
                <w:sz w:val="16"/>
              </w:rPr>
              <w:t>Object maps to sensitive canonical asset</w:t>
            </w:r>
          </w:p>
        </w:tc>
        <w:tc>
          <w:tcPr>
            <w:tcW w:type="dxa" w:w="5904"/>
            <w:vAlign w:val="top"/>
          </w:tcPr>
          <w:p>
            <w:pPr>
              <w:spacing w:after="0"/>
            </w:pPr>
            <w:r/>
            <w:r>
              <w:rPr>
                <w:b w:val="0"/>
                <w:sz w:val="16"/>
              </w:rPr>
              <w:t>Risk scoring boost</w:t>
            </w:r>
          </w:p>
        </w:tc>
      </w:tr>
    </w:tbl>
    <w:p/>
    <w:p>
      <w:pPr>
        <w:pStyle w:val="Heading1"/>
      </w:pPr>
      <w:r>
        <w:t>9. Anomaly Repository</w:t>
      </w:r>
    </w:p>
    <w:p>
      <w:r>
        <w:t>Anomalies must be stored as durable database records. They are not only dashboard labels.</w:t>
      </w:r>
    </w:p>
    <w:tbl>
      <w:tblPr>
        <w:tblStyle w:val="LuminaTable"/>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pPr>
            <w:r/>
            <w:r>
              <w:rPr>
                <w:b/>
                <w:color w:val="FFFFFF"/>
                <w:sz w:val="16"/>
              </w:rPr>
              <w:t>Required Field</w:t>
            </w:r>
          </w:p>
        </w:tc>
        <w:tc>
          <w:tcPr>
            <w:tcW w:type="dxa" w:w="7920"/>
            <w:shd w:fill="1F4E79"/>
            <w:vAlign w:val="center"/>
          </w:tcPr>
          <w:p>
            <w:pPr>
              <w:spacing w:after="0"/>
            </w:pPr>
            <w:r/>
            <w:r>
              <w:rPr>
                <w:b/>
                <w:color w:val="FFFFFF"/>
                <w:sz w:val="16"/>
              </w:rPr>
              <w:t>Purpose</w:t>
            </w:r>
          </w:p>
        </w:tc>
      </w:tr>
      <w:tr>
        <w:tc>
          <w:tcPr>
            <w:tcW w:type="dxa" w:w="2880"/>
            <w:vAlign w:val="top"/>
          </w:tcPr>
          <w:p>
            <w:pPr>
              <w:spacing w:after="0"/>
            </w:pPr>
            <w:r/>
            <w:r>
              <w:rPr>
                <w:b w:val="0"/>
                <w:sz w:val="16"/>
              </w:rPr>
              <w:t>anomaly_id</w:t>
            </w:r>
          </w:p>
        </w:tc>
        <w:tc>
          <w:tcPr>
            <w:tcW w:type="dxa" w:w="7920"/>
            <w:vAlign w:val="top"/>
          </w:tcPr>
          <w:p>
            <w:pPr>
              <w:spacing w:after="0"/>
            </w:pPr>
            <w:r/>
            <w:r>
              <w:rPr>
                <w:b w:val="0"/>
                <w:sz w:val="16"/>
              </w:rPr>
              <w:t>Unique finding ID</w:t>
            </w:r>
          </w:p>
        </w:tc>
      </w:tr>
      <w:tr>
        <w:tc>
          <w:tcPr>
            <w:tcW w:type="dxa" w:w="2880"/>
            <w:vAlign w:val="top"/>
          </w:tcPr>
          <w:p>
            <w:pPr>
              <w:spacing w:after="0"/>
            </w:pPr>
            <w:r/>
            <w:r>
              <w:rPr>
                <w:b w:val="0"/>
                <w:sz w:val="16"/>
              </w:rPr>
              <w:t>rule_id</w:t>
            </w:r>
          </w:p>
        </w:tc>
        <w:tc>
          <w:tcPr>
            <w:tcW w:type="dxa" w:w="7920"/>
            <w:vAlign w:val="top"/>
          </w:tcPr>
          <w:p>
            <w:pPr>
              <w:spacing w:after="0"/>
            </w:pPr>
            <w:r/>
            <w:r>
              <w:rPr>
                <w:b w:val="0"/>
                <w:sz w:val="16"/>
              </w:rPr>
              <w:t>Affected rule</w:t>
            </w:r>
          </w:p>
        </w:tc>
      </w:tr>
      <w:tr>
        <w:tc>
          <w:tcPr>
            <w:tcW w:type="dxa" w:w="2880"/>
            <w:vAlign w:val="top"/>
          </w:tcPr>
          <w:p>
            <w:pPr>
              <w:spacing w:after="0"/>
            </w:pPr>
            <w:r/>
            <w:r>
              <w:rPr>
                <w:b w:val="0"/>
                <w:sz w:val="16"/>
              </w:rPr>
              <w:t>related_rule_id</w:t>
            </w:r>
          </w:p>
        </w:tc>
        <w:tc>
          <w:tcPr>
            <w:tcW w:type="dxa" w:w="7920"/>
            <w:vAlign w:val="top"/>
          </w:tcPr>
          <w:p>
            <w:pPr>
              <w:spacing w:after="0"/>
            </w:pPr>
            <w:r/>
            <w:r>
              <w:rPr>
                <w:b w:val="0"/>
                <w:sz w:val="16"/>
              </w:rPr>
              <w:t>Optional related rule for pairwise anomalies such as conflict or shadowing</w:t>
            </w:r>
          </w:p>
        </w:tc>
      </w:tr>
      <w:tr>
        <w:tc>
          <w:tcPr>
            <w:tcW w:type="dxa" w:w="2880"/>
            <w:vAlign w:val="top"/>
          </w:tcPr>
          <w:p>
            <w:pPr>
              <w:spacing w:after="0"/>
            </w:pPr>
            <w:r/>
            <w:r>
              <w:rPr>
                <w:b w:val="0"/>
                <w:sz w:val="16"/>
              </w:rPr>
              <w:t>anomaly_type</w:t>
            </w:r>
          </w:p>
        </w:tc>
        <w:tc>
          <w:tcPr>
            <w:tcW w:type="dxa" w:w="7920"/>
            <w:vAlign w:val="top"/>
          </w:tcPr>
          <w:p>
            <w:pPr>
              <w:spacing w:after="0"/>
            </w:pPr>
            <w:r/>
            <w:r>
              <w:rPr>
                <w:b w:val="0"/>
                <w:sz w:val="16"/>
              </w:rPr>
              <w:t>Taxonomy value from the 46 anomaly framework</w:t>
            </w:r>
          </w:p>
        </w:tc>
      </w:tr>
      <w:tr>
        <w:tc>
          <w:tcPr>
            <w:tcW w:type="dxa" w:w="2880"/>
            <w:vAlign w:val="top"/>
          </w:tcPr>
          <w:p>
            <w:pPr>
              <w:spacing w:after="0"/>
            </w:pPr>
            <w:r/>
            <w:r>
              <w:rPr>
                <w:b w:val="0"/>
                <w:sz w:val="16"/>
              </w:rPr>
              <w:t>severity_level</w:t>
            </w:r>
          </w:p>
        </w:tc>
        <w:tc>
          <w:tcPr>
            <w:tcW w:type="dxa" w:w="7920"/>
            <w:vAlign w:val="top"/>
          </w:tcPr>
          <w:p>
            <w:pPr>
              <w:spacing w:after="0"/>
            </w:pPr>
            <w:r/>
            <w:r>
              <w:rPr>
                <w:b w:val="0"/>
                <w:sz w:val="16"/>
              </w:rPr>
              <w:t>critical/high/medium/low</w:t>
            </w:r>
          </w:p>
        </w:tc>
      </w:tr>
      <w:tr>
        <w:tc>
          <w:tcPr>
            <w:tcW w:type="dxa" w:w="2880"/>
            <w:vAlign w:val="top"/>
          </w:tcPr>
          <w:p>
            <w:pPr>
              <w:spacing w:after="0"/>
            </w:pPr>
            <w:r/>
            <w:r>
              <w:rPr>
                <w:b w:val="0"/>
                <w:sz w:val="16"/>
              </w:rPr>
              <w:t>confidence</w:t>
            </w:r>
          </w:p>
        </w:tc>
        <w:tc>
          <w:tcPr>
            <w:tcW w:type="dxa" w:w="7920"/>
            <w:vAlign w:val="top"/>
          </w:tcPr>
          <w:p>
            <w:pPr>
              <w:spacing w:after="0"/>
            </w:pPr>
            <w:r/>
            <w:r>
              <w:rPr>
                <w:b w:val="0"/>
                <w:sz w:val="16"/>
              </w:rPr>
              <w:t>0.00 to 1.00 confidence score</w:t>
            </w:r>
          </w:p>
        </w:tc>
      </w:tr>
      <w:tr>
        <w:tc>
          <w:tcPr>
            <w:tcW w:type="dxa" w:w="2880"/>
            <w:vAlign w:val="top"/>
          </w:tcPr>
          <w:p>
            <w:pPr>
              <w:spacing w:after="0"/>
            </w:pPr>
            <w:r/>
            <w:r>
              <w:rPr>
                <w:b w:val="0"/>
                <w:sz w:val="16"/>
              </w:rPr>
              <w:t>description</w:t>
            </w:r>
          </w:p>
        </w:tc>
        <w:tc>
          <w:tcPr>
            <w:tcW w:type="dxa" w:w="7920"/>
            <w:vAlign w:val="top"/>
          </w:tcPr>
          <w:p>
            <w:pPr>
              <w:spacing w:after="0"/>
            </w:pPr>
            <w:r/>
            <w:r>
              <w:rPr>
                <w:b w:val="0"/>
                <w:sz w:val="16"/>
              </w:rPr>
              <w:t>Human-readable reason</w:t>
            </w:r>
          </w:p>
        </w:tc>
      </w:tr>
      <w:tr>
        <w:tc>
          <w:tcPr>
            <w:tcW w:type="dxa" w:w="2880"/>
            <w:vAlign w:val="top"/>
          </w:tcPr>
          <w:p>
            <w:pPr>
              <w:spacing w:after="0"/>
            </w:pPr>
            <w:r/>
            <w:r>
              <w:rPr>
                <w:b w:val="0"/>
                <w:sz w:val="16"/>
              </w:rPr>
              <w:t>recommendation</w:t>
            </w:r>
          </w:p>
        </w:tc>
        <w:tc>
          <w:tcPr>
            <w:tcW w:type="dxa" w:w="7920"/>
            <w:vAlign w:val="top"/>
          </w:tcPr>
          <w:p>
            <w:pPr>
              <w:spacing w:after="0"/>
            </w:pPr>
            <w:r/>
            <w:r>
              <w:rPr>
                <w:b w:val="0"/>
                <w:sz w:val="16"/>
              </w:rPr>
              <w:t>Suggested manual remediation</w:t>
            </w:r>
          </w:p>
        </w:tc>
      </w:tr>
      <w:tr>
        <w:tc>
          <w:tcPr>
            <w:tcW w:type="dxa" w:w="2880"/>
            <w:vAlign w:val="top"/>
          </w:tcPr>
          <w:p>
            <w:pPr>
              <w:spacing w:after="0"/>
            </w:pPr>
            <w:r/>
            <w:r>
              <w:rPr>
                <w:b w:val="0"/>
                <w:sz w:val="16"/>
              </w:rPr>
              <w:t>analysis_run_id</w:t>
            </w:r>
          </w:p>
        </w:tc>
        <w:tc>
          <w:tcPr>
            <w:tcW w:type="dxa" w:w="7920"/>
            <w:vAlign w:val="top"/>
          </w:tcPr>
          <w:p>
            <w:pPr>
              <w:spacing w:after="0"/>
            </w:pPr>
            <w:r/>
            <w:r>
              <w:rPr>
                <w:b w:val="0"/>
                <w:sz w:val="16"/>
              </w:rPr>
              <w:t>Links finding to execution log</w:t>
            </w:r>
          </w:p>
        </w:tc>
      </w:tr>
      <w:tr>
        <w:tc>
          <w:tcPr>
            <w:tcW w:type="dxa" w:w="2880"/>
            <w:vAlign w:val="top"/>
          </w:tcPr>
          <w:p>
            <w:pPr>
              <w:spacing w:after="0"/>
            </w:pPr>
            <w:r/>
            <w:r>
              <w:rPr>
                <w:b w:val="0"/>
                <w:sz w:val="16"/>
              </w:rPr>
              <w:t>detected_at</w:t>
            </w:r>
          </w:p>
        </w:tc>
        <w:tc>
          <w:tcPr>
            <w:tcW w:type="dxa" w:w="7920"/>
            <w:vAlign w:val="top"/>
          </w:tcPr>
          <w:p>
            <w:pPr>
              <w:spacing w:after="0"/>
            </w:pPr>
            <w:r/>
            <w:r>
              <w:rPr>
                <w:b w:val="0"/>
                <w:sz w:val="16"/>
              </w:rPr>
              <w:t>Detection timestamp</w:t>
            </w:r>
          </w:p>
        </w:tc>
      </w:tr>
      <w:tr>
        <w:tc>
          <w:tcPr>
            <w:tcW w:type="dxa" w:w="2880"/>
            <w:vAlign w:val="top"/>
          </w:tcPr>
          <w:p>
            <w:pPr>
              <w:spacing w:after="0"/>
            </w:pPr>
            <w:r/>
            <w:r>
              <w:rPr>
                <w:b w:val="0"/>
                <w:sz w:val="16"/>
              </w:rPr>
              <w:t>status</w:t>
            </w:r>
          </w:p>
        </w:tc>
        <w:tc>
          <w:tcPr>
            <w:tcW w:type="dxa" w:w="7920"/>
            <w:vAlign w:val="top"/>
          </w:tcPr>
          <w:p>
            <w:pPr>
              <w:spacing w:after="0"/>
            </w:pPr>
            <w:r/>
            <w:r>
              <w:rPr>
                <w:b w:val="0"/>
                <w:sz w:val="16"/>
              </w:rPr>
              <w:t>open/resolved/suppressed/accepted_risk</w:t>
            </w:r>
          </w:p>
        </w:tc>
      </w:tr>
    </w:tbl>
    <w:p/>
    <w:p>
      <w:pPr>
        <w:pStyle w:val="Heading1"/>
      </w:pPr>
      <w:r>
        <w:t>10. Risk, CTI, and AI Report Repositories</w:t>
      </w:r>
    </w:p>
    <w:tbl>
      <w:tblPr>
        <w:tblStyle w:val="LuminaTable"/>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0"/>
            </w:pPr>
            <w:r/>
            <w:r>
              <w:rPr>
                <w:b/>
                <w:color w:val="FFFFFF"/>
                <w:sz w:val="16"/>
              </w:rPr>
              <w:t>Repository</w:t>
            </w:r>
          </w:p>
        </w:tc>
        <w:tc>
          <w:tcPr>
            <w:tcW w:type="dxa" w:w="5472"/>
            <w:shd w:fill="1F4E79"/>
            <w:vAlign w:val="center"/>
          </w:tcPr>
          <w:p>
            <w:pPr>
              <w:spacing w:after="0"/>
            </w:pPr>
            <w:r/>
            <w:r>
              <w:rPr>
                <w:b/>
                <w:color w:val="FFFFFF"/>
                <w:sz w:val="16"/>
              </w:rPr>
              <w:t>Stores</w:t>
            </w:r>
          </w:p>
        </w:tc>
        <w:tc>
          <w:tcPr>
            <w:tcW w:type="dxa" w:w="2448"/>
            <w:shd w:fill="1F4E79"/>
            <w:vAlign w:val="center"/>
          </w:tcPr>
          <w:p>
            <w:pPr>
              <w:spacing w:after="0"/>
            </w:pPr>
            <w:r/>
            <w:r>
              <w:rPr>
                <w:b/>
                <w:color w:val="FFFFFF"/>
                <w:sz w:val="16"/>
              </w:rPr>
              <w:t>Consumer</w:t>
            </w:r>
          </w:p>
        </w:tc>
      </w:tr>
      <w:tr>
        <w:tc>
          <w:tcPr>
            <w:tcW w:type="dxa" w:w="2880"/>
            <w:vAlign w:val="top"/>
          </w:tcPr>
          <w:p>
            <w:pPr>
              <w:spacing w:after="0"/>
            </w:pPr>
            <w:r/>
            <w:r>
              <w:rPr>
                <w:b w:val="0"/>
                <w:sz w:val="16"/>
              </w:rPr>
              <w:t>risk_assessment</w:t>
            </w:r>
          </w:p>
        </w:tc>
        <w:tc>
          <w:tcPr>
            <w:tcW w:type="dxa" w:w="5472"/>
            <w:vAlign w:val="top"/>
          </w:tcPr>
          <w:p>
            <w:pPr>
              <w:spacing w:after="0"/>
            </w:pPr>
            <w:r/>
            <w:r>
              <w:rPr>
                <w:b w:val="0"/>
                <w:sz w:val="16"/>
              </w:rPr>
              <w:t>Rule/device risk score, tier, contributing factors, calculation version.</w:t>
            </w:r>
          </w:p>
        </w:tc>
        <w:tc>
          <w:tcPr>
            <w:tcW w:type="dxa" w:w="2448"/>
            <w:vAlign w:val="top"/>
          </w:tcPr>
          <w:p>
            <w:pPr>
              <w:spacing w:after="0"/>
            </w:pPr>
            <w:r/>
            <w:r>
              <w:rPr>
                <w:b w:val="0"/>
                <w:sz w:val="16"/>
              </w:rPr>
              <w:t>Risk Center and dashboard</w:t>
            </w:r>
          </w:p>
        </w:tc>
      </w:tr>
      <w:tr>
        <w:tc>
          <w:tcPr>
            <w:tcW w:type="dxa" w:w="2880"/>
            <w:vAlign w:val="top"/>
          </w:tcPr>
          <w:p>
            <w:pPr>
              <w:spacing w:after="0"/>
            </w:pPr>
            <w:r/>
            <w:r>
              <w:rPr>
                <w:b w:val="0"/>
                <w:sz w:val="16"/>
              </w:rPr>
              <w:t>cti_indicator</w:t>
            </w:r>
          </w:p>
        </w:tc>
        <w:tc>
          <w:tcPr>
            <w:tcW w:type="dxa" w:w="5472"/>
            <w:vAlign w:val="top"/>
          </w:tcPr>
          <w:p>
            <w:pPr>
              <w:spacing w:after="0"/>
            </w:pPr>
            <w:r/>
            <w:r>
              <w:rPr>
                <w:b w:val="0"/>
                <w:sz w:val="16"/>
              </w:rPr>
              <w:t>IP, FQDN, URL, CVE, vendor/version keywords.</w:t>
            </w:r>
          </w:p>
        </w:tc>
        <w:tc>
          <w:tcPr>
            <w:tcW w:type="dxa" w:w="2448"/>
            <w:vAlign w:val="top"/>
          </w:tcPr>
          <w:p>
            <w:pPr>
              <w:spacing w:after="0"/>
            </w:pPr>
            <w:r/>
            <w:r>
              <w:rPr>
                <w:b w:val="0"/>
                <w:sz w:val="16"/>
              </w:rPr>
              <w:t>CTI engine</w:t>
            </w:r>
          </w:p>
        </w:tc>
      </w:tr>
      <w:tr>
        <w:tc>
          <w:tcPr>
            <w:tcW w:type="dxa" w:w="2880"/>
            <w:vAlign w:val="top"/>
          </w:tcPr>
          <w:p>
            <w:pPr>
              <w:spacing w:after="0"/>
            </w:pPr>
            <w:r/>
            <w:r>
              <w:rPr>
                <w:b w:val="0"/>
                <w:sz w:val="16"/>
              </w:rPr>
              <w:t>cti_observation</w:t>
            </w:r>
          </w:p>
        </w:tc>
        <w:tc>
          <w:tcPr>
            <w:tcW w:type="dxa" w:w="5472"/>
            <w:vAlign w:val="top"/>
          </w:tcPr>
          <w:p>
            <w:pPr>
              <w:spacing w:after="0"/>
            </w:pPr>
            <w:r/>
            <w:r>
              <w:rPr>
                <w:b w:val="0"/>
                <w:sz w:val="16"/>
              </w:rPr>
              <w:t>Provider result, confidence, source, severity, timestamp.</w:t>
            </w:r>
          </w:p>
        </w:tc>
        <w:tc>
          <w:tcPr>
            <w:tcW w:type="dxa" w:w="2448"/>
            <w:vAlign w:val="top"/>
          </w:tcPr>
          <w:p>
            <w:pPr>
              <w:spacing w:after="0"/>
            </w:pPr>
            <w:r/>
            <w:r>
              <w:rPr>
                <w:b w:val="0"/>
                <w:sz w:val="16"/>
              </w:rPr>
              <w:t>Risk engine and SOC report</w:t>
            </w:r>
          </w:p>
        </w:tc>
      </w:tr>
      <w:tr>
        <w:tc>
          <w:tcPr>
            <w:tcW w:type="dxa" w:w="2880"/>
            <w:vAlign w:val="top"/>
          </w:tcPr>
          <w:p>
            <w:pPr>
              <w:spacing w:after="0"/>
            </w:pPr>
            <w:r/>
            <w:r>
              <w:rPr>
                <w:b w:val="0"/>
                <w:sz w:val="16"/>
              </w:rPr>
              <w:t>llm_report</w:t>
            </w:r>
          </w:p>
        </w:tc>
        <w:tc>
          <w:tcPr>
            <w:tcW w:type="dxa" w:w="5472"/>
            <w:vAlign w:val="top"/>
          </w:tcPr>
          <w:p>
            <w:pPr>
              <w:spacing w:after="0"/>
            </w:pPr>
            <w:r/>
            <w:r>
              <w:rPr>
                <w:b w:val="0"/>
                <w:sz w:val="16"/>
              </w:rPr>
              <w:t>Generated report text, provider, model, evidence references, status.</w:t>
            </w:r>
          </w:p>
        </w:tc>
        <w:tc>
          <w:tcPr>
            <w:tcW w:type="dxa" w:w="2448"/>
            <w:vAlign w:val="top"/>
          </w:tcPr>
          <w:p>
            <w:pPr>
              <w:spacing w:after="0"/>
            </w:pPr>
            <w:r/>
            <w:r>
              <w:rPr>
                <w:b w:val="0"/>
                <w:sz w:val="16"/>
              </w:rPr>
              <w:t>Reports module</w:t>
            </w:r>
          </w:p>
        </w:tc>
      </w:tr>
    </w:tbl>
    <w:p/>
    <w:p>
      <w:pPr>
        <w:pStyle w:val="Heading1"/>
      </w:pPr>
      <w:r>
        <w:t>11. Benchmark Data Model</w:t>
      </w:r>
    </w:p>
    <w:p>
      <w:r>
        <w:t>The benchmark tables store ground truth and evaluation outcomes. They allow the anomaly engine to be tested repeatedly after every algorithm change.</w:t>
      </w:r>
    </w:p>
    <w:tbl>
      <w:tblPr>
        <w:tblStyle w:val="LuminaTable"/>
        <w:tblW w:type="auto" w:w="0"/>
        <w:jc w:val="center"/>
        <w:tblLook w:firstColumn="1" w:firstRow="1" w:lastColumn="0" w:lastRow="0" w:noHBand="0" w:noVBand="1" w:val="04A0"/>
      </w:tblPr>
      <w:tblGrid>
        <w:gridCol w:w="5040"/>
        <w:gridCol w:w="5040"/>
      </w:tblGrid>
      <w:tr>
        <w:tc>
          <w:tcPr>
            <w:tcW w:type="dxa" w:w="3024"/>
            <w:shd w:fill="1F4E79"/>
            <w:vAlign w:val="center"/>
          </w:tcPr>
          <w:p>
            <w:pPr>
              <w:spacing w:after="0"/>
            </w:pPr>
            <w:r/>
            <w:r>
              <w:rPr>
                <w:b/>
                <w:color w:val="FFFFFF"/>
                <w:sz w:val="16"/>
              </w:rPr>
              <w:t>Table</w:t>
            </w:r>
          </w:p>
        </w:tc>
        <w:tc>
          <w:tcPr>
            <w:tcW w:type="dxa" w:w="7776"/>
            <w:shd w:fill="1F4E79"/>
            <w:vAlign w:val="center"/>
          </w:tcPr>
          <w:p>
            <w:pPr>
              <w:spacing w:after="0"/>
            </w:pPr>
            <w:r/>
            <w:r>
              <w:rPr>
                <w:b/>
                <w:color w:val="FFFFFF"/>
                <w:sz w:val="16"/>
              </w:rPr>
              <w:t>Key Columns</w:t>
            </w:r>
          </w:p>
        </w:tc>
      </w:tr>
      <w:tr>
        <w:tc>
          <w:tcPr>
            <w:tcW w:type="dxa" w:w="3024"/>
            <w:vAlign w:val="top"/>
          </w:tcPr>
          <w:p>
            <w:pPr>
              <w:spacing w:after="0"/>
            </w:pPr>
            <w:r/>
            <w:r>
              <w:rPr>
                <w:b w:val="0"/>
                <w:sz w:val="16"/>
              </w:rPr>
              <w:t>benchmark_case</w:t>
            </w:r>
          </w:p>
        </w:tc>
        <w:tc>
          <w:tcPr>
            <w:tcW w:type="dxa" w:w="7776"/>
            <w:vAlign w:val="top"/>
          </w:tcPr>
          <w:p>
            <w:pPr>
              <w:spacing w:after="0"/>
            </w:pPr>
            <w:r/>
            <w:r>
              <w:rPr>
                <w:b w:val="0"/>
                <w:sz w:val="16"/>
              </w:rPr>
              <w:t>case_id, anomaly_type, device_a_id, rule_a_id, device_b_id, rule_b_id, expected_severity, expected_reason, detection_mode</w:t>
            </w:r>
          </w:p>
        </w:tc>
      </w:tr>
      <w:tr>
        <w:tc>
          <w:tcPr>
            <w:tcW w:type="dxa" w:w="3024"/>
            <w:vAlign w:val="top"/>
          </w:tcPr>
          <w:p>
            <w:pPr>
              <w:spacing w:after="0"/>
            </w:pPr>
            <w:r/>
            <w:r>
              <w:rPr>
                <w:b w:val="0"/>
                <w:sz w:val="16"/>
              </w:rPr>
              <w:t>benchmark_result</w:t>
            </w:r>
          </w:p>
        </w:tc>
        <w:tc>
          <w:tcPr>
            <w:tcW w:type="dxa" w:w="7776"/>
            <w:vAlign w:val="top"/>
          </w:tcPr>
          <w:p>
            <w:pPr>
              <w:spacing w:after="0"/>
            </w:pPr>
            <w:r/>
            <w:r>
              <w:rPr>
                <w:b w:val="0"/>
                <w:sz w:val="16"/>
              </w:rPr>
              <w:t>case_id, analysis_run_id, detected, detected_anomaly_id, match_quality, false_positive, false_negative, notes</w:t>
            </w:r>
          </w:p>
        </w:tc>
      </w:tr>
    </w:tbl>
    <w:p/>
    <w:p>
      <w:pPr>
        <w:pStyle w:val="Heading1"/>
      </w:pPr>
      <w:r>
        <w:t>12. Snapshot and Versioning Strategy</w:t>
      </w:r>
    </w:p>
    <w:p>
      <w:r>
        <w:t>The parser must preserve history where operationally useful. Deleted rules should not immediately destroy historical evidence.</w:t>
      </w:r>
    </w:p>
    <w:p>
      <w:pPr>
        <w:pStyle w:val="ListBullet"/>
      </w:pPr>
      <w:r>
        <w:t>Use upsert for active rule updates.</w:t>
      </w:r>
    </w:p>
    <w:p>
      <w:pPr>
        <w:pStyle w:val="ListBullet"/>
      </w:pPr>
      <w:r>
        <w:t>Prefer soft deletion using is_active=false or deleted_at for missing rules instead of hard deletion in production mode.</w:t>
      </w:r>
    </w:p>
    <w:p>
      <w:pPr>
        <w:pStyle w:val="ListBullet"/>
      </w:pPr>
      <w:r>
        <w:t>Keep raw extraction snapshots for audit and parser debugging.</w:t>
      </w:r>
    </w:p>
    <w:p>
      <w:pPr>
        <w:pStyle w:val="ListBullet"/>
      </w:pPr>
      <w:r>
        <w:t>Store analysis_run records so findings can be tied to a specific database state.</w:t>
      </w:r>
    </w:p>
    <w:p>
      <w:pPr>
        <w:pStyle w:val="ListBullet"/>
      </w:pPr>
      <w:r>
        <w:t>Version risk calculation logic so old risk scores can be interpreted correctly.</w:t>
      </w:r>
    </w:p>
    <w:p>
      <w:pPr>
        <w:pStyle w:val="Heading1"/>
      </w:pPr>
      <w:r>
        <w:t>13. Indexes, Constraints, and Performance</w:t>
      </w:r>
    </w:p>
    <w:tbl>
      <w:tblPr>
        <w:tblStyle w:val="LuminaTable"/>
        <w:tblW w:type="auto" w:w="0"/>
        <w:jc w:val="center"/>
        <w:tblLook w:firstColumn="1" w:firstRow="1" w:lastColumn="0" w:lastRow="0" w:noHBand="0" w:noVBand="1" w:val="04A0"/>
      </w:tblPr>
      <w:tblGrid>
        <w:gridCol w:w="5040"/>
        <w:gridCol w:w="5040"/>
      </w:tblGrid>
      <w:tr>
        <w:tc>
          <w:tcPr>
            <w:tcW w:type="dxa" w:w="4608"/>
            <w:shd w:fill="1F4E79"/>
            <w:vAlign w:val="center"/>
          </w:tcPr>
          <w:p>
            <w:pPr>
              <w:spacing w:after="0"/>
            </w:pPr>
            <w:r/>
            <w:r>
              <w:rPr>
                <w:b/>
                <w:color w:val="FFFFFF"/>
                <w:sz w:val="16"/>
              </w:rPr>
              <w:t>Index / Constraint</w:t>
            </w:r>
          </w:p>
        </w:tc>
        <w:tc>
          <w:tcPr>
            <w:tcW w:type="dxa" w:w="6192"/>
            <w:shd w:fill="1F4E79"/>
            <w:vAlign w:val="center"/>
          </w:tcPr>
          <w:p>
            <w:pPr>
              <w:spacing w:after="0"/>
            </w:pPr>
            <w:r/>
            <w:r>
              <w:rPr>
                <w:b/>
                <w:color w:val="FFFFFF"/>
                <w:sz w:val="16"/>
              </w:rPr>
              <w:t>Purpose</w:t>
            </w:r>
          </w:p>
        </w:tc>
      </w:tr>
      <w:tr>
        <w:tc>
          <w:tcPr>
            <w:tcW w:type="dxa" w:w="4608"/>
            <w:vAlign w:val="top"/>
          </w:tcPr>
          <w:p>
            <w:pPr>
              <w:spacing w:after="0"/>
            </w:pPr>
            <w:r/>
            <w:r>
              <w:rPr>
                <w:b w:val="0"/>
                <w:sz w:val="16"/>
              </w:rPr>
              <w:t>UNIQUE(device_id, vdom_vsys, vendor_uuid)</w:t>
            </w:r>
          </w:p>
        </w:tc>
        <w:tc>
          <w:tcPr>
            <w:tcW w:type="dxa" w:w="6192"/>
            <w:vAlign w:val="top"/>
          </w:tcPr>
          <w:p>
            <w:pPr>
              <w:spacing w:after="0"/>
            </w:pPr>
            <w:r/>
            <w:r>
              <w:rPr>
                <w:b w:val="0"/>
                <w:sz w:val="16"/>
              </w:rPr>
              <w:t>Rule re-sync and duplicate prevention</w:t>
            </w:r>
          </w:p>
        </w:tc>
      </w:tr>
      <w:tr>
        <w:tc>
          <w:tcPr>
            <w:tcW w:type="dxa" w:w="4608"/>
            <w:vAlign w:val="top"/>
          </w:tcPr>
          <w:p>
            <w:pPr>
              <w:spacing w:after="0"/>
            </w:pPr>
            <w:r/>
            <w:r>
              <w:rPr>
                <w:b w:val="0"/>
                <w:sz w:val="16"/>
              </w:rPr>
              <w:t>INDEX(policy_rule.device_id, vdom_vsys, rule_order)</w:t>
            </w:r>
          </w:p>
        </w:tc>
        <w:tc>
          <w:tcPr>
            <w:tcW w:type="dxa" w:w="6192"/>
            <w:vAlign w:val="top"/>
          </w:tcPr>
          <w:p>
            <w:pPr>
              <w:spacing w:after="0"/>
            </w:pPr>
            <w:r/>
            <w:r>
              <w:rPr>
                <w:b w:val="0"/>
                <w:sz w:val="16"/>
              </w:rPr>
              <w:t>Ordered anomaly analysis</w:t>
            </w:r>
          </w:p>
        </w:tc>
      </w:tr>
      <w:tr>
        <w:tc>
          <w:tcPr>
            <w:tcW w:type="dxa" w:w="4608"/>
            <w:vAlign w:val="top"/>
          </w:tcPr>
          <w:p>
            <w:pPr>
              <w:spacing w:after="0"/>
            </w:pPr>
            <w:r/>
            <w:r>
              <w:rPr>
                <w:b w:val="0"/>
                <w:sz w:val="16"/>
              </w:rPr>
              <w:t>INDEX(rule_anomaly.rule_id)</w:t>
            </w:r>
          </w:p>
        </w:tc>
        <w:tc>
          <w:tcPr>
            <w:tcW w:type="dxa" w:w="6192"/>
            <w:vAlign w:val="top"/>
          </w:tcPr>
          <w:p>
            <w:pPr>
              <w:spacing w:after="0"/>
            </w:pPr>
            <w:r/>
            <w:r>
              <w:rPr>
                <w:b w:val="0"/>
                <w:sz w:val="16"/>
              </w:rPr>
              <w:t>Finding lookup</w:t>
            </w:r>
          </w:p>
        </w:tc>
      </w:tr>
      <w:tr>
        <w:tc>
          <w:tcPr>
            <w:tcW w:type="dxa" w:w="4608"/>
            <w:vAlign w:val="top"/>
          </w:tcPr>
          <w:p>
            <w:pPr>
              <w:spacing w:after="0"/>
            </w:pPr>
            <w:r/>
            <w:r>
              <w:rPr>
                <w:b w:val="0"/>
                <w:sz w:val="16"/>
              </w:rPr>
              <w:t>INDEX(network_object.device_id, type, value)</w:t>
            </w:r>
          </w:p>
        </w:tc>
        <w:tc>
          <w:tcPr>
            <w:tcW w:type="dxa" w:w="6192"/>
            <w:vAlign w:val="top"/>
          </w:tcPr>
          <w:p>
            <w:pPr>
              <w:spacing w:after="0"/>
            </w:pPr>
            <w:r/>
            <w:r>
              <w:rPr>
                <w:b w:val="0"/>
                <w:sz w:val="16"/>
              </w:rPr>
              <w:t>Object expansion and lookup</w:t>
            </w:r>
          </w:p>
        </w:tc>
      </w:tr>
      <w:tr>
        <w:tc>
          <w:tcPr>
            <w:tcW w:type="dxa" w:w="4608"/>
            <w:vAlign w:val="top"/>
          </w:tcPr>
          <w:p>
            <w:pPr>
              <w:spacing w:after="0"/>
            </w:pPr>
            <w:r/>
            <w:r>
              <w:rPr>
                <w:b w:val="0"/>
                <w:sz w:val="16"/>
              </w:rPr>
              <w:t>INDEX(object_normalization_mapping.normalized_object_id)</w:t>
            </w:r>
          </w:p>
        </w:tc>
        <w:tc>
          <w:tcPr>
            <w:tcW w:type="dxa" w:w="6192"/>
            <w:vAlign w:val="top"/>
          </w:tcPr>
          <w:p>
            <w:pPr>
              <w:spacing w:after="0"/>
            </w:pPr>
            <w:r/>
            <w:r>
              <w:rPr>
                <w:b w:val="0"/>
                <w:sz w:val="16"/>
              </w:rPr>
              <w:t>Cross-vendor correlation</w:t>
            </w:r>
          </w:p>
        </w:tc>
      </w:tr>
      <w:tr>
        <w:tc>
          <w:tcPr>
            <w:tcW w:type="dxa" w:w="4608"/>
            <w:vAlign w:val="top"/>
          </w:tcPr>
          <w:p>
            <w:pPr>
              <w:spacing w:after="0"/>
            </w:pPr>
            <w:r/>
            <w:r>
              <w:rPr>
                <w:b w:val="0"/>
                <w:sz w:val="16"/>
              </w:rPr>
              <w:t>INDEX(risk_assessment.rule_id, calculated_at)</w:t>
            </w:r>
          </w:p>
        </w:tc>
        <w:tc>
          <w:tcPr>
            <w:tcW w:type="dxa" w:w="6192"/>
            <w:vAlign w:val="top"/>
          </w:tcPr>
          <w:p>
            <w:pPr>
              <w:spacing w:after="0"/>
            </w:pPr>
            <w:r/>
            <w:r>
              <w:rPr>
                <w:b w:val="0"/>
                <w:sz w:val="16"/>
              </w:rPr>
              <w:t>Risk history lookup</w:t>
            </w:r>
          </w:p>
        </w:tc>
      </w:tr>
      <w:tr>
        <w:tc>
          <w:tcPr>
            <w:tcW w:type="dxa" w:w="4608"/>
            <w:vAlign w:val="top"/>
          </w:tcPr>
          <w:p>
            <w:pPr>
              <w:spacing w:after="0"/>
            </w:pPr>
            <w:r/>
            <w:r>
              <w:rPr>
                <w:b w:val="0"/>
                <w:sz w:val="16"/>
              </w:rPr>
              <w:t>INDEX(cti_indicator.type, value)</w:t>
            </w:r>
          </w:p>
        </w:tc>
        <w:tc>
          <w:tcPr>
            <w:tcW w:type="dxa" w:w="6192"/>
            <w:vAlign w:val="top"/>
          </w:tcPr>
          <w:p>
            <w:pPr>
              <w:spacing w:after="0"/>
            </w:pPr>
            <w:r/>
            <w:r>
              <w:rPr>
                <w:b w:val="0"/>
                <w:sz w:val="16"/>
              </w:rPr>
              <w:t>Indicator deduplication</w:t>
            </w:r>
          </w:p>
        </w:tc>
      </w:tr>
    </w:tbl>
    <w:p/>
    <w:p>
      <w:pPr>
        <w:pStyle w:val="Heading1"/>
      </w:pPr>
      <w:r>
        <w:t>14. Migration and Data Quality Rules</w:t>
      </w:r>
    </w:p>
    <w:p>
      <w:pPr>
        <w:pStyle w:val="ListBullet"/>
      </w:pPr>
      <w:r>
        <w:t>All schema changes must be implemented through Alembic migrations.</w:t>
      </w:r>
    </w:p>
    <w:p>
      <w:pPr>
        <w:pStyle w:val="ListBullet"/>
      </w:pPr>
      <w:r>
        <w:t>Every table must have clear primary keys and foreign keys.</w:t>
      </w:r>
    </w:p>
    <w:p>
      <w:pPr>
        <w:pStyle w:val="ListBullet"/>
      </w:pPr>
      <w:r>
        <w:t>All timestamps must be stored consistently in UTC.</w:t>
      </w:r>
    </w:p>
    <w:p>
      <w:pPr>
        <w:pStyle w:val="ListBullet"/>
      </w:pPr>
      <w:r>
        <w:t>No API secrets may be stored in plain text.</w:t>
      </w:r>
    </w:p>
    <w:p>
      <w:pPr>
        <w:pStyle w:val="ListBullet"/>
      </w:pPr>
      <w:r>
        <w:t>Imported vendor records must preserve source identifiers whenever available.</w:t>
      </w:r>
    </w:p>
    <w:p>
      <w:pPr>
        <w:pStyle w:val="ListBullet"/>
      </w:pPr>
      <w:r>
        <w:t>Validation failures must be logged and attached to ingestion job records.</w:t>
      </w:r>
    </w:p>
    <w:p>
      <w:pPr>
        <w:pStyle w:val="Heading1"/>
      </w:pPr>
      <w:r>
        <w:t>15. Developer Implementation Checklist</w:t>
      </w:r>
    </w:p>
    <w:p>
      <w:pPr>
        <w:pStyle w:val="ListBullet"/>
      </w:pPr>
      <w:r>
        <w:t>Implement PostgreSQL schema v4 migrations.</w:t>
      </w:r>
    </w:p>
    <w:p>
      <w:pPr>
        <w:pStyle w:val="ListBullet"/>
      </w:pPr>
      <w:r>
        <w:t>Extend network_object with ownership fields.</w:t>
      </w:r>
    </w:p>
    <w:p>
      <w:pPr>
        <w:pStyle w:val="ListBullet"/>
      </w:pPr>
      <w:r>
        <w:t>Implement normalized_object and normalized_service correlation tables.</w:t>
      </w:r>
    </w:p>
    <w:p>
      <w:pPr>
        <w:pStyle w:val="ListBullet"/>
      </w:pPr>
      <w:r>
        <w:t>Add risk_assessment, anomaly_execution_log, benchmark_case, benchmark_result, cti_indicator, cti_observation, and llm_report.</w:t>
      </w:r>
    </w:p>
    <w:p>
      <w:pPr>
        <w:pStyle w:val="ListBullet"/>
      </w:pPr>
      <w:r>
        <w:t>Update ORM models and Pydantic schemas.</w:t>
      </w:r>
    </w:p>
    <w:p>
      <w:pPr>
        <w:pStyle w:val="ListBullet"/>
      </w:pPr>
      <w:r>
        <w:t>Add test fixtures for FortiGate and Palo Alto objects with same and conflicting meanings.</w:t>
      </w:r>
    </w:p>
    <w:p>
      <w:pPr>
        <w:pStyle w:val="ListBullet"/>
      </w:pPr>
      <w:r>
        <w:t>Validate that anomaly engine reads normalized repository only.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Engineering Draft | Prepared for LuminaFPM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LuminaFPM Master Specification Package | Volume 5 - Database and Data Model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eastAsia="Consolas"/>
      <w:sz w:val="16"/>
    </w:rPr>
  </w:style>
  <w:style w:type="table" w:customStyle="1" w:styleId="LuminaTable">
    <w:name w:val="Lumina Table"/>
    <w:basedOn w:val="TableGri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