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br/>
        <w:br/>
        <w:t>LUMINA FPM</w:t>
        <w:br/>
        <w:t>MASTER SPECIFICATION PACKAGE</w:t>
      </w:r>
    </w:p>
    <w:p>
      <w:pPr>
        <w:jc w:val="center"/>
      </w:pPr>
      <w:r>
        <w:rPr>
          <w:b/>
          <w:color w:val="2F5496"/>
          <w:sz w:val="36"/>
        </w:rPr>
        <w:t>Volume 8 - Risk Scoring Engine Specification</w:t>
      </w:r>
    </w:p>
    <w:p>
      <w:pPr>
        <w:jc w:val="center"/>
      </w:pPr>
      <w:r>
        <w:rPr>
          <w:sz w:val="24"/>
        </w:rPr>
        <w:t>Authoritative Engineering Blueprint for LuminaFPM</w:t>
      </w:r>
    </w:p>
    <w:p>
      <w:pPr>
        <w:jc w:val="center"/>
      </w:pPr>
      <w:r>
        <w:br/>
        <w:t>Version: Draft 1.0</w:t>
        <w:br/>
        <w:t>Prepared For: Cybersecurity Development / Implementation Company</w:t>
        <w:br/>
        <w:t>Document Type: Risk Engine Specification</w:t>
        <w:br/>
        <w:t>Primary Scope: Rule Risk Formula, Risk Inputs, Tiers, CTI Integration, and Prioritization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pPr>
              <w:spacing w:after="60"/>
            </w:pPr>
            <w:r>
              <w:rPr>
                <w:b/>
                <w:color w:val="1F4E79"/>
                <w:sz w:val="19"/>
              </w:rPr>
              <w:t>Risk Engine Decision</w:t>
            </w:r>
            <w:r>
              <w:br/>
              <w:t>Risk scoring is separate from anomaly detection. An anomaly explains what is wrong. Risk scoring explains what should be fixed first.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Contents</w:t>
      </w:r>
    </w:p>
    <w:p>
      <w:pPr>
        <w:pStyle w:val="ListNumber"/>
      </w:pPr>
      <w:r>
        <w:t>Purpose</w:t>
      </w:r>
    </w:p>
    <w:p>
      <w:pPr>
        <w:pStyle w:val="ListNumber"/>
      </w:pPr>
      <w:r>
        <w:t>Risk Engine Position</w:t>
      </w:r>
    </w:p>
    <w:p>
      <w:pPr>
        <w:pStyle w:val="ListNumber"/>
      </w:pPr>
      <w:r>
        <w:t>Risk Score Range and Tiers</w:t>
      </w:r>
    </w:p>
    <w:p>
      <w:pPr>
        <w:pStyle w:val="ListNumber"/>
      </w:pPr>
      <w:r>
        <w:t>Risk Inputs</w:t>
      </w:r>
    </w:p>
    <w:p>
      <w:pPr>
        <w:pStyle w:val="ListNumber"/>
      </w:pPr>
      <w:r>
        <w:t>Base Formula</w:t>
      </w:r>
    </w:p>
    <w:p>
      <w:pPr>
        <w:pStyle w:val="ListNumber"/>
      </w:pPr>
      <w:r>
        <w:t>Risk Factor Weights</w:t>
      </w:r>
    </w:p>
    <w:p>
      <w:pPr>
        <w:pStyle w:val="ListNumber"/>
      </w:pPr>
      <w:r>
        <w:t>Rule Risk Calculation</w:t>
      </w:r>
    </w:p>
    <w:p>
      <w:pPr>
        <w:pStyle w:val="ListNumber"/>
      </w:pPr>
      <w:r>
        <w:t>Device and Environment Risk</w:t>
      </w:r>
    </w:p>
    <w:p>
      <w:pPr>
        <w:pStyle w:val="ListNumber"/>
      </w:pPr>
      <w:r>
        <w:t>CTI Contribution</w:t>
      </w:r>
    </w:p>
    <w:p>
      <w:pPr>
        <w:pStyle w:val="ListNumber"/>
      </w:pPr>
      <w:r>
        <w:t>Cross-Vendor Risk</w:t>
      </w:r>
    </w:p>
    <w:p>
      <w:pPr>
        <w:pStyle w:val="ListNumber"/>
      </w:pPr>
      <w:r>
        <w:t>Database Model</w:t>
      </w:r>
    </w:p>
    <w:p>
      <w:pPr>
        <w:pStyle w:val="ListNumber"/>
      </w:pPr>
      <w:r>
        <w:t>Recalculation Triggers</w:t>
      </w:r>
    </w:p>
    <w:p>
      <w:pPr>
        <w:pStyle w:val="ListNumber"/>
      </w:pPr>
      <w:r>
        <w:t>Dashboard and Report Output</w:t>
      </w:r>
    </w:p>
    <w:p>
      <w:pPr>
        <w:pStyle w:val="ListNumber"/>
      </w:pPr>
      <w:r>
        <w:t>Developer Checklist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The risk scoring engine prioritizes firewall policy findings. It transforms anomalies, exposure, security posture, CTI evidence, and asset sensitivity into a single actionable score.</w:t>
      </w:r>
    </w:p>
    <w:p>
      <w:pPr>
        <w:pStyle w:val="Heading1"/>
      </w:pPr>
      <w:r>
        <w:t>2. Risk Engine Position</w:t>
      </w:r>
    </w:p>
    <w:p>
      <w:pPr>
        <w:pStyle w:val="CodeBlock"/>
      </w:pPr>
      <w:r>
        <w:rPr>
          <w:rFonts w:ascii="Consolas" w:hAnsi="Consolas" w:eastAsia="Consolas"/>
          <w:sz w:val="16"/>
        </w:rPr>
        <w:t>Anomaly Engine --&gt; rule_anomaly records</w:t>
      </w:r>
      <w:r>
        <w:br/>
      </w:r>
      <w:r>
        <w:rPr>
          <w:rFonts w:ascii="Consolas" w:hAnsi="Consolas" w:eastAsia="Consolas"/>
          <w:sz w:val="16"/>
        </w:rPr>
        <w:t>CTI Engine     --&gt; cti_observation records</w:t>
      </w:r>
      <w:r>
        <w:br/>
      </w:r>
      <w:r>
        <w:rPr>
          <w:rFonts w:ascii="Consolas" w:hAnsi="Consolas" w:eastAsia="Consolas"/>
          <w:sz w:val="16"/>
        </w:rPr>
        <w:t>Inventory      --&gt; device and firmware context</w:t>
      </w:r>
      <w:r>
        <w:br/>
      </w:r>
      <w:r>
        <w:rPr>
          <w:rFonts w:ascii="Consolas" w:hAnsi="Consolas" w:eastAsia="Consolas"/>
          <w:sz w:val="16"/>
        </w:rPr>
        <w:t>Objects        --&gt; asset sensitivity</w:t>
      </w:r>
      <w:r>
        <w:br/>
      </w:r>
      <w:r>
        <w:rPr>
          <w:rFonts w:ascii="Consolas" w:hAnsi="Consolas" w:eastAsia="Consolas"/>
          <w:sz w:val="16"/>
        </w:rPr>
        <w:t xml:space="preserve">        |</w:t>
      </w:r>
      <w:r>
        <w:br/>
      </w:r>
      <w:r>
        <w:rPr>
          <w:rFonts w:ascii="Consolas" w:hAnsi="Consolas" w:eastAsia="Consolas"/>
          <w:sz w:val="16"/>
        </w:rPr>
        <w:t xml:space="preserve">        v</w:t>
      </w:r>
      <w:r>
        <w:br/>
      </w:r>
      <w:r>
        <w:rPr>
          <w:rFonts w:ascii="Consolas" w:hAnsi="Consolas" w:eastAsia="Consolas"/>
          <w:sz w:val="16"/>
        </w:rPr>
        <w:t>Risk Scoring Engine</w:t>
      </w:r>
      <w:r>
        <w:br/>
      </w:r>
      <w:r>
        <w:rPr>
          <w:rFonts w:ascii="Consolas" w:hAnsi="Consolas" w:eastAsia="Consolas"/>
          <w:sz w:val="16"/>
        </w:rPr>
        <w:t xml:space="preserve">        |</w:t>
      </w:r>
      <w:r>
        <w:br/>
      </w:r>
      <w:r>
        <w:rPr>
          <w:rFonts w:ascii="Consolas" w:hAnsi="Consolas" w:eastAsia="Consolas"/>
          <w:sz w:val="16"/>
        </w:rPr>
        <w:t xml:space="preserve">        v</w:t>
      </w:r>
      <w:r>
        <w:br/>
      </w:r>
      <w:r>
        <w:rPr>
          <w:rFonts w:ascii="Consolas" w:hAnsi="Consolas" w:eastAsia="Consolas"/>
          <w:sz w:val="16"/>
        </w:rPr>
        <w:t>risk_assessment records + dashboard priority queue</w:t>
      </w:r>
    </w:p>
    <w:p>
      <w:pPr>
        <w:pStyle w:val="Heading1"/>
      </w:pPr>
      <w:r>
        <w:t>3. Risk Score Range and Tiers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Score Range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Tier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90-100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Immediate review required. High exposure, severe anomaly, or strong CTI match.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70-89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Important remediation candidate.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40-69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Review during normal firewall hygiene cycle.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1-39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Cleanup or documentation issue.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Informational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active risk detected or finding suppressed as accepted risk.</w:t>
            </w:r>
          </w:p>
        </w:tc>
      </w:tr>
    </w:tbl>
    <w:p/>
    <w:p>
      <w:pPr>
        <w:pStyle w:val="Heading1"/>
      </w:pPr>
      <w:r>
        <w:t>4. Risk Inputs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763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Anomaly severity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Severity of all anomalies attached to the rule.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Exposure breadth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How broad the source, destination, and service scope is.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sensitivity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Whether the destination maps to DB, admin, critical server, or sensitive subnet.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inspection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Whether the allow rule has profiles/inspection.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Logging posture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Whether the rule logs activity.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Cross-device inconsistency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Whether equivalent traffic is treated differently across vendors.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 evidence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Known malicious indicator, vulnerability, or campaign relevance.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Rule lifecycle</w:t>
            </w:r>
          </w:p>
        </w:tc>
        <w:tc>
          <w:tcPr>
            <w:tcW w:type="dxa" w:w="763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Age, drift, temporary status, disabled-but-risky state.</w:t>
            </w:r>
          </w:p>
        </w:tc>
      </w:tr>
    </w:tbl>
    <w:p/>
    <w:p>
      <w:pPr>
        <w:pStyle w:val="Heading1"/>
      </w:pPr>
      <w:r>
        <w:t>5. Base Formula</w:t>
      </w:r>
    </w:p>
    <w:p>
      <w:pPr>
        <w:pStyle w:val="CodeBlock"/>
      </w:pPr>
      <w:r>
        <w:rPr>
          <w:rFonts w:ascii="Consolas" w:hAnsi="Consolas" w:eastAsia="Consolas"/>
          <w:sz w:val="16"/>
        </w:rPr>
        <w:t>risk_score = min(100,</w:t>
      </w:r>
      <w:r>
        <w:br/>
      </w:r>
      <w:r>
        <w:rPr>
          <w:rFonts w:ascii="Consolas" w:hAnsi="Consolas" w:eastAsia="Consolas"/>
          <w:sz w:val="16"/>
        </w:rPr>
        <w:t xml:space="preserve">    anomaly_score</w:t>
      </w:r>
      <w:r>
        <w:br/>
      </w:r>
      <w:r>
        <w:rPr>
          <w:rFonts w:ascii="Consolas" w:hAnsi="Consolas" w:eastAsia="Consolas"/>
          <w:sz w:val="16"/>
        </w:rPr>
        <w:t xml:space="preserve">  + exposure_score</w:t>
      </w:r>
      <w:r>
        <w:br/>
      </w:r>
      <w:r>
        <w:rPr>
          <w:rFonts w:ascii="Consolas" w:hAnsi="Consolas" w:eastAsia="Consolas"/>
          <w:sz w:val="16"/>
        </w:rPr>
        <w:t xml:space="preserve">  + asset_sensitivity_score</w:t>
      </w:r>
      <w:r>
        <w:br/>
      </w:r>
      <w:r>
        <w:rPr>
          <w:rFonts w:ascii="Consolas" w:hAnsi="Consolas" w:eastAsia="Consolas"/>
          <w:sz w:val="16"/>
        </w:rPr>
        <w:t xml:space="preserve">  + security_posture_score</w:t>
      </w:r>
      <w:r>
        <w:br/>
      </w:r>
      <w:r>
        <w:rPr>
          <w:rFonts w:ascii="Consolas" w:hAnsi="Consolas" w:eastAsia="Consolas"/>
          <w:sz w:val="16"/>
        </w:rPr>
        <w:t xml:space="preserve">  + logging_score</w:t>
      </w:r>
      <w:r>
        <w:br/>
      </w:r>
      <w:r>
        <w:rPr>
          <w:rFonts w:ascii="Consolas" w:hAnsi="Consolas" w:eastAsia="Consolas"/>
          <w:sz w:val="16"/>
        </w:rPr>
        <w:t xml:space="preserve">  + cross_vendor_score</w:t>
      </w:r>
      <w:r>
        <w:br/>
      </w:r>
      <w:r>
        <w:rPr>
          <w:rFonts w:ascii="Consolas" w:hAnsi="Consolas" w:eastAsia="Consolas"/>
          <w:sz w:val="16"/>
        </w:rPr>
        <w:t xml:space="preserve">  + cti_score</w:t>
      </w:r>
      <w:r>
        <w:br/>
      </w:r>
      <w:r>
        <w:rPr>
          <w:rFonts w:ascii="Consolas" w:hAnsi="Consolas" w:eastAsia="Consolas"/>
          <w:sz w:val="16"/>
        </w:rPr>
        <w:t xml:space="preserve">  + lifecycle_score</w:t>
      </w:r>
      <w:r>
        <w:br/>
      </w:r>
      <w:r>
        <w:rPr>
          <w:rFonts w:ascii="Consolas" w:hAnsi="Consolas" w:eastAsia="Consolas"/>
          <w:sz w:val="16"/>
        </w:rPr>
        <w:t>)</w:t>
      </w:r>
    </w:p>
    <w:p>
      <w:pPr>
        <w:pStyle w:val="Heading1"/>
      </w:pPr>
      <w:r>
        <w:t>6. Risk Factor Weights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Factor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Recommended Range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Critical anomaly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30-45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Conflict, broad unprotected allow, threat exposure.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anomaly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20-30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Shadowing, missing logging on important rule.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 anomaly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10-20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Redundancy, schedule issue, governance issue.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Exposure breadth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0-20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source/destination/all service increases score.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Sensitive asset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0-20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DB, admin, management, identity systems.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security profile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15-25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 rule without inspection.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Logging disabled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10-20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Reduced visibility.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Cross-device inconsistency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15-30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Policy behavior mismatch.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 match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10-40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Depends on confidence and severity.</w:t>
            </w:r>
          </w:p>
        </w:tc>
      </w:tr>
    </w:tbl>
    <w:p/>
    <w:p>
      <w:pPr>
        <w:pStyle w:val="Heading1"/>
      </w:pPr>
      <w:r>
        <w:t>7. Rule Risk Calculation</w:t>
      </w:r>
    </w:p>
    <w:p>
      <w:r>
        <w:t>The engine should calculate risk per rule and store the result with contributing factors. The factor breakdown is required so SOC engineers can understand why a rule is high risk.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3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Example Rule Condition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Risk Impact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source to DB_SERVER with ALL services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exposure and sensitive asset score.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Allow rule with no security profile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Security posture score boost.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Logging disabled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Visibility risk boost.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Related CTI indicator is malicious IP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CTI score boost.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Same traffic denied on another vendor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Cross-vendor inconsistency boost.</w:t>
            </w:r>
          </w:p>
        </w:tc>
      </w:tr>
    </w:tbl>
    <w:p/>
    <w:p>
      <w:pPr>
        <w:pStyle w:val="Heading1"/>
      </w:pPr>
      <w:r>
        <w:t>8. Device and Environment Risk</w:t>
      </w:r>
    </w:p>
    <w:p>
      <w:r>
        <w:t>Device-level risk should aggregate rule risk and threat exposure. It must not hide individual rule evidence.</w:t>
      </w:r>
    </w:p>
    <w:p>
      <w:pPr>
        <w:pStyle w:val="CodeBlock"/>
      </w:pPr>
      <w:r>
        <w:rPr>
          <w:rFonts w:ascii="Consolas" w:hAnsi="Consolas" w:eastAsia="Consolas"/>
          <w:sz w:val="16"/>
        </w:rPr>
        <w:t>device_risk = weighted_average(top_n_rule_risks)</w:t>
      </w:r>
      <w:r>
        <w:br/>
      </w:r>
      <w:r>
        <w:rPr>
          <w:rFonts w:ascii="Consolas" w:hAnsi="Consolas" w:eastAsia="Consolas"/>
          <w:sz w:val="16"/>
        </w:rPr>
        <w:t xml:space="preserve">            + firmware_threat_modifier</w:t>
      </w:r>
      <w:r>
        <w:br/>
      </w:r>
      <w:r>
        <w:rPr>
          <w:rFonts w:ascii="Consolas" w:hAnsi="Consolas" w:eastAsia="Consolas"/>
          <w:sz w:val="16"/>
        </w:rPr>
        <w:t xml:space="preserve">            + stale_poll_modifier</w:t>
      </w:r>
      <w:r>
        <w:br/>
      </w:r>
      <w:r>
        <w:rPr>
          <w:rFonts w:ascii="Consolas" w:hAnsi="Consolas" w:eastAsia="Consolas"/>
          <w:sz w:val="16"/>
        </w:rPr>
        <w:t xml:space="preserve">            + critical_anomaly_count_modifier</w:t>
      </w:r>
    </w:p>
    <w:p>
      <w:pPr>
        <w:pStyle w:val="Heading1"/>
      </w:pPr>
      <w:r>
        <w:t>9. CTI Contribution</w:t>
      </w:r>
    </w:p>
    <w:p>
      <w:r>
        <w:t>CTI does not become a policy anomaly by default. It contributes to risk through threat correlation and CTI observations.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CTI Evidence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Risk Treatment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Low-confidence suspicious IP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Small score increase and SOC review note.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High-confidence malicious IP referenced by allow rule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Major score increase.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Firewall firmware version with relevant CVE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Device-level risk increase.</w:t>
            </w:r>
          </w:p>
        </w:tc>
      </w:tr>
      <w:tr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Threat report mentions exact vendor/version</w:t>
            </w:r>
          </w:p>
        </w:tc>
        <w:tc>
          <w:tcPr>
            <w:tcW w:type="dxa" w:w="619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 relevance and report generation.</w:t>
            </w:r>
          </w:p>
        </w:tc>
      </w:tr>
    </w:tbl>
    <w:p/>
    <w:p>
      <w:pPr>
        <w:pStyle w:val="Heading1"/>
      </w:pPr>
      <w:r>
        <w:t>10. Cross-Vendor Risk</w:t>
      </w:r>
    </w:p>
    <w:p>
      <w:pPr>
        <w:pStyle w:val="ListBullet"/>
      </w:pPr>
      <w:r>
        <w:t>Policy conflict between FortiGate and Palo Alto increases risk.</w:t>
      </w:r>
    </w:p>
    <w:p>
      <w:pPr>
        <w:pStyle w:val="ListBullet"/>
      </w:pPr>
      <w:r>
        <w:t>Equivalent allow with missing inspection on one vendor increases risk.</w:t>
      </w:r>
    </w:p>
    <w:p>
      <w:pPr>
        <w:pStyle w:val="ListBullet"/>
      </w:pPr>
      <w:r>
        <w:t>Equivalent object mapped differently across vendors increases risk when object correlation is enabled.</w:t>
      </w:r>
    </w:p>
    <w:p>
      <w:pPr>
        <w:pStyle w:val="ListBullet"/>
      </w:pPr>
      <w:r>
        <w:t>Cross-vendor risk must include both involved rules in the evidence payload.</w:t>
      </w:r>
    </w:p>
    <w:p>
      <w:pPr>
        <w:pStyle w:val="Heading1"/>
      </w:pPr>
      <w:r>
        <w:t>11. Database Model</w:t>
      </w:r>
    </w:p>
    <w:p>
      <w:pPr>
        <w:pStyle w:val="CodeBlock"/>
      </w:pPr>
      <w:r>
        <w:rPr>
          <w:rFonts w:ascii="Consolas" w:hAnsi="Consolas" w:eastAsia="Consolas"/>
          <w:sz w:val="16"/>
        </w:rPr>
        <w:t>risk_assessment</w:t>
      </w:r>
      <w:r>
        <w:br/>
      </w:r>
      <w:r>
        <w:rPr>
          <w:rFonts w:ascii="Consolas" w:hAnsi="Consolas" w:eastAsia="Consolas"/>
          <w:sz w:val="16"/>
        </w:rPr>
        <w:t xml:space="preserve">  risk_id PK</w:t>
      </w:r>
      <w:r>
        <w:br/>
      </w:r>
      <w:r>
        <w:rPr>
          <w:rFonts w:ascii="Consolas" w:hAnsi="Consolas" w:eastAsia="Consolas"/>
          <w:sz w:val="16"/>
        </w:rPr>
        <w:t xml:space="preserve">  scope_type        -- rule | device | object</w:t>
      </w:r>
      <w:r>
        <w:br/>
      </w:r>
      <w:r>
        <w:rPr>
          <w:rFonts w:ascii="Consolas" w:hAnsi="Consolas" w:eastAsia="Consolas"/>
          <w:sz w:val="16"/>
        </w:rPr>
        <w:t xml:space="preserve">  scope_id</w:t>
      </w:r>
      <w:r>
        <w:br/>
      </w:r>
      <w:r>
        <w:rPr>
          <w:rFonts w:ascii="Consolas" w:hAnsi="Consolas" w:eastAsia="Consolas"/>
          <w:sz w:val="16"/>
        </w:rPr>
        <w:t xml:space="preserve">  risk_score        -- 0 to 100</w:t>
      </w:r>
      <w:r>
        <w:br/>
      </w:r>
      <w:r>
        <w:rPr>
          <w:rFonts w:ascii="Consolas" w:hAnsi="Consolas" w:eastAsia="Consolas"/>
          <w:sz w:val="16"/>
        </w:rPr>
        <w:t xml:space="preserve">  risk_tier         -- critical | high | medium | low | informational</w:t>
      </w:r>
      <w:r>
        <w:br/>
      </w:r>
      <w:r>
        <w:rPr>
          <w:rFonts w:ascii="Consolas" w:hAnsi="Consolas" w:eastAsia="Consolas"/>
          <w:sz w:val="16"/>
        </w:rPr>
        <w:t xml:space="preserve">  factor_breakdown  -- JSONB recommended</w:t>
      </w:r>
      <w:r>
        <w:br/>
      </w:r>
      <w:r>
        <w:rPr>
          <w:rFonts w:ascii="Consolas" w:hAnsi="Consolas" w:eastAsia="Consolas"/>
          <w:sz w:val="16"/>
        </w:rPr>
        <w:t xml:space="preserve">  calculated_at</w:t>
      </w:r>
      <w:r>
        <w:br/>
      </w:r>
      <w:r>
        <w:rPr>
          <w:rFonts w:ascii="Consolas" w:hAnsi="Consolas" w:eastAsia="Consolas"/>
          <w:sz w:val="16"/>
        </w:rPr>
        <w:t xml:space="preserve">  calculation_version</w:t>
      </w:r>
      <w:r>
        <w:br/>
      </w:r>
      <w:r>
        <w:rPr>
          <w:rFonts w:ascii="Consolas" w:hAnsi="Consolas" w:eastAsia="Consolas"/>
          <w:sz w:val="16"/>
        </w:rPr>
        <w:t xml:space="preserve">  analysis_run_id</w:t>
      </w:r>
    </w:p>
    <w:p>
      <w:pPr>
        <w:pStyle w:val="Heading1"/>
      </w:pPr>
      <w:r>
        <w:t>12. Recalculation Triggers</w:t>
      </w:r>
    </w:p>
    <w:tbl>
      <w:tblPr>
        <w:tblStyle w:val="LuminaTable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parser sync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Recalculate affected rule and device risk.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anomaly run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Recalculate rules with changed findings.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CTI observation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Recalculate correlated rules and devices.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Asset sensitivity changed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Recalculate rules involving that object.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Suppression or accepted risk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Recalculate display score but preserve original score history.</w:t>
            </w:r>
          </w:p>
        </w:tc>
      </w:tr>
    </w:tbl>
    <w:p/>
    <w:p>
      <w:pPr>
        <w:pStyle w:val="Heading1"/>
      </w:pPr>
      <w:r>
        <w:t>13. Dashboard and Report Output</w:t>
      </w:r>
    </w:p>
    <w:p>
      <w:pPr>
        <w:pStyle w:val="ListBullet"/>
      </w:pPr>
      <w:r>
        <w:t>Show top risky rules first.</w:t>
      </w:r>
    </w:p>
    <w:p>
      <w:pPr>
        <w:pStyle w:val="ListBullet"/>
      </w:pPr>
      <w:r>
        <w:t>Show score, tier, factor breakdown, and affected devices.</w:t>
      </w:r>
    </w:p>
    <w:p>
      <w:pPr>
        <w:pStyle w:val="ListBullet"/>
      </w:pPr>
      <w:r>
        <w:t>Allow filtering by risk factor type.</w:t>
      </w:r>
    </w:p>
    <w:p>
      <w:pPr>
        <w:pStyle w:val="ListBullet"/>
      </w:pPr>
      <w:r>
        <w:t>Expose risk score history per rule.</w:t>
      </w:r>
    </w:p>
    <w:p>
      <w:pPr>
        <w:pStyle w:val="ListBullet"/>
      </w:pPr>
      <w:r>
        <w:t>Include risk explanation in SOC reports.</w:t>
      </w:r>
    </w:p>
    <w:p>
      <w:pPr>
        <w:pStyle w:val="Heading1"/>
      </w:pPr>
      <w:r>
        <w:t>14. Developer Checklist</w:t>
      </w:r>
    </w:p>
    <w:p>
      <w:pPr>
        <w:pStyle w:val="ListBullet"/>
      </w:pPr>
      <w:r>
        <w:t>Implement risk_assessment table and ORM model.</w:t>
      </w:r>
    </w:p>
    <w:p>
      <w:pPr>
        <w:pStyle w:val="ListBullet"/>
      </w:pPr>
      <w:r>
        <w:t>Implement deterministic scoring function with versioned weights.</w:t>
      </w:r>
    </w:p>
    <w:p>
      <w:pPr>
        <w:pStyle w:val="ListBullet"/>
      </w:pPr>
      <w:r>
        <w:t>Expose risk APIs for rule, device, and dashboard views.</w:t>
      </w:r>
    </w:p>
    <w:p>
      <w:pPr>
        <w:pStyle w:val="ListBullet"/>
      </w:pPr>
      <w:r>
        <w:t>Store factor breakdown as JSONB.</w:t>
      </w:r>
    </w:p>
    <w:p>
      <w:pPr>
        <w:pStyle w:val="ListBullet"/>
      </w:pPr>
      <w:r>
        <w:t>Add unit tests for expected score bands.</w:t>
      </w:r>
    </w:p>
    <w:p>
      <w:pPr>
        <w:pStyle w:val="ListBullet"/>
      </w:pPr>
      <w:r>
        <w:t>Connect risk recalculation to anomaly and CTI pipelines.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Confidential Engineering Draft | Prepared for LuminaFPM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LuminaFPM Master Specification Package | Volume 8 - Risk Scoring Engine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 w:eastAsia="Consolas"/>
      <w:sz w:val="16"/>
    </w:rPr>
  </w:style>
  <w:style w:type="table" w:customStyle="1" w:styleId="LuminaTable">
    <w:name w:val="Lumina Table"/>
    <w:basedOn w:val="TableGri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