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br/>
        <w:t>LUMINA FPM</w:t>
        <w:br/>
        <w:t>MASTER SPECIFICATION PACKAGE</w:t>
      </w:r>
    </w:p>
    <w:p>
      <w:pPr>
        <w:jc w:val="center"/>
      </w:pPr>
      <w:r>
        <w:rPr>
          <w:b/>
          <w:color w:val="2F5496"/>
          <w:sz w:val="36"/>
        </w:rPr>
        <w:t>Volume 9 - Threat Intelligence Engine Specification</w:t>
      </w:r>
    </w:p>
    <w:p>
      <w:pPr>
        <w:jc w:val="center"/>
      </w:pPr>
      <w:r>
        <w:rPr>
          <w:sz w:val="24"/>
        </w:rPr>
        <w:t>Authoritative Engineering Blueprint for LuminaFPM</w:t>
      </w:r>
    </w:p>
    <w:p>
      <w:pPr>
        <w:jc w:val="center"/>
      </w:pPr>
      <w:r>
        <w:br/>
        <w:t>Version: Draft 1.0</w:t>
        <w:br/>
        <w:t>Prepared For: Cybersecurity Development / Implementation Company</w:t>
        <w:br/>
        <w:t>Document Type: CTI Engine Specification</w:t>
        <w:br/>
        <w:t>Primary Scope: API-Based CTI, Indicator Extraction, Correlation, Evidence, and SOC-Focused Enrichment</w:t>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b/>
                <w:color w:val="1F4E79"/>
                <w:sz w:val="19"/>
              </w:rPr>
              <w:t>CTI Direction</w:t>
            </w:r>
            <w:r>
              <w:br/>
              <w:t>LuminaFPM v1 uses legal API-based CTI enrichment as the primary implementation. Uncontrolled dark web scraping is not part of v1. AI assists with query generation and report review, but CTI evidence must come from identifiable sources.</w:t>
            </w:r>
          </w:p>
        </w:tc>
      </w:tr>
    </w:tbl>
    <w:p/>
    <w:p>
      <w:r>
        <w:br w:type="page"/>
      </w:r>
    </w:p>
    <w:p>
      <w:pPr>
        <w:pStyle w:val="Heading1"/>
      </w:pPr>
      <w:r>
        <w:t>Document Contents</w:t>
      </w:r>
    </w:p>
    <w:p>
      <w:pPr>
        <w:pStyle w:val="ListNumber"/>
      </w:pPr>
      <w:r>
        <w:t>Purpose</w:t>
      </w:r>
    </w:p>
    <w:p>
      <w:pPr>
        <w:pStyle w:val="ListNumber"/>
      </w:pPr>
      <w:r>
        <w:t>CTI Position in LuminaFPM</w:t>
      </w:r>
    </w:p>
    <w:p>
      <w:pPr>
        <w:pStyle w:val="ListNumber"/>
      </w:pPr>
      <w:r>
        <w:t>Supported CTI Inputs</w:t>
      </w:r>
    </w:p>
    <w:p>
      <w:pPr>
        <w:pStyle w:val="ListNumber"/>
      </w:pPr>
      <w:r>
        <w:t>Indicator Extraction</w:t>
      </w:r>
    </w:p>
    <w:p>
      <w:pPr>
        <w:pStyle w:val="ListNumber"/>
      </w:pPr>
      <w:r>
        <w:t>LLM-Assisted Query Generation</w:t>
      </w:r>
    </w:p>
    <w:p>
      <w:pPr>
        <w:pStyle w:val="ListNumber"/>
      </w:pPr>
      <w:r>
        <w:t>CTI Provider Abstraction</w:t>
      </w:r>
    </w:p>
    <w:p>
      <w:pPr>
        <w:pStyle w:val="ListNumber"/>
      </w:pPr>
      <w:r>
        <w:t>CTI Observation Model</w:t>
      </w:r>
    </w:p>
    <w:p>
      <w:pPr>
        <w:pStyle w:val="ListNumber"/>
      </w:pPr>
      <w:r>
        <w:t>Threat-to-Rule Correlation</w:t>
      </w:r>
    </w:p>
    <w:p>
      <w:pPr>
        <w:pStyle w:val="ListNumber"/>
      </w:pPr>
      <w:r>
        <w:t>Firmware and Vendor Threat Matching</w:t>
      </w:r>
    </w:p>
    <w:p>
      <w:pPr>
        <w:pStyle w:val="ListNumber"/>
      </w:pPr>
      <w:r>
        <w:t>Risk Integration</w:t>
      </w:r>
    </w:p>
    <w:p>
      <w:pPr>
        <w:pStyle w:val="ListNumber"/>
      </w:pPr>
      <w:r>
        <w:t>Legal and Ethical Constraints</w:t>
      </w:r>
    </w:p>
    <w:p>
      <w:pPr>
        <w:pStyle w:val="ListNumber"/>
      </w:pPr>
      <w:r>
        <w:t>Rate Limiting and Reliability</w:t>
      </w:r>
    </w:p>
    <w:p>
      <w:pPr>
        <w:pStyle w:val="ListNumber"/>
      </w:pPr>
      <w:r>
        <w:t>Reporting Output</w:t>
      </w:r>
    </w:p>
    <w:p>
      <w:pPr>
        <w:pStyle w:val="ListNumber"/>
      </w:pPr>
      <w:r>
        <w:t>Developer Checklist</w:t>
      </w:r>
    </w:p>
    <w:p>
      <w:r>
        <w:br w:type="page"/>
      </w:r>
    </w:p>
    <w:p>
      <w:pPr>
        <w:pStyle w:val="Heading1"/>
      </w:pPr>
      <w:r>
        <w:t>1. Purpose</w:t>
      </w:r>
    </w:p>
    <w:p>
      <w:r>
        <w:t>This volume defines the CTI engine. The engine enriches firewall policies with threat context while remaining separate from deterministic policy anomaly detection.</w:t>
      </w:r>
    </w:p>
    <w:p>
      <w:pPr>
        <w:pStyle w:val="Heading1"/>
      </w:pPr>
      <w:r>
        <w:t>2. CTI Position in LuminaFPM</w:t>
      </w:r>
    </w:p>
    <w:p>
      <w:pPr>
        <w:pStyle w:val="CodeBlock"/>
      </w:pPr>
      <w:r>
        <w:rPr>
          <w:rFonts w:ascii="Consolas" w:hAnsi="Consolas" w:eastAsia="Consolas"/>
          <w:sz w:val="16"/>
        </w:rPr>
        <w:t>Normalized Policies + Inventory</w:t>
      </w:r>
      <w:r>
        <w:br/>
      </w:r>
      <w:r>
        <w:rPr>
          <w:rFonts w:ascii="Consolas" w:hAnsi="Consolas" w:eastAsia="Consolas"/>
          <w:sz w:val="16"/>
        </w:rPr>
        <w:t xml:space="preserve">        |</w:t>
      </w:r>
      <w:r>
        <w:br/>
      </w:r>
      <w:r>
        <w:rPr>
          <w:rFonts w:ascii="Consolas" w:hAnsi="Consolas" w:eastAsia="Consolas"/>
          <w:sz w:val="16"/>
        </w:rPr>
        <w:t xml:space="preserve">        v</w:t>
      </w:r>
      <w:r>
        <w:br/>
      </w:r>
      <w:r>
        <w:rPr>
          <w:rFonts w:ascii="Consolas" w:hAnsi="Consolas" w:eastAsia="Consolas"/>
          <w:sz w:val="16"/>
        </w:rPr>
        <w:t>Indicator Extraction</w:t>
      </w:r>
      <w:r>
        <w:br/>
      </w:r>
      <w:r>
        <w:rPr>
          <w:rFonts w:ascii="Consolas" w:hAnsi="Consolas" w:eastAsia="Consolas"/>
          <w:sz w:val="16"/>
        </w:rPr>
        <w:t xml:space="preserve">        |</w:t>
      </w:r>
      <w:r>
        <w:br/>
      </w:r>
      <w:r>
        <w:rPr>
          <w:rFonts w:ascii="Consolas" w:hAnsi="Consolas" w:eastAsia="Consolas"/>
          <w:sz w:val="16"/>
        </w:rPr>
        <w:t xml:space="preserve">        +--&gt; Public IPs and FQDNs from rules</w:t>
      </w:r>
      <w:r>
        <w:br/>
      </w:r>
      <w:r>
        <w:rPr>
          <w:rFonts w:ascii="Consolas" w:hAnsi="Consolas" w:eastAsia="Consolas"/>
          <w:sz w:val="16"/>
        </w:rPr>
        <w:t xml:space="preserve">        +--&gt; Firmware versions from devices</w:t>
      </w:r>
      <w:r>
        <w:br/>
      </w:r>
      <w:r>
        <w:rPr>
          <w:rFonts w:ascii="Consolas" w:hAnsi="Consolas" w:eastAsia="Consolas"/>
          <w:sz w:val="16"/>
        </w:rPr>
        <w:t xml:space="preserve">        +--&gt; Vendor/version search context</w:t>
      </w:r>
      <w:r>
        <w:br/>
      </w:r>
      <w:r>
        <w:rPr>
          <w:rFonts w:ascii="Consolas" w:hAnsi="Consolas" w:eastAsia="Consolas"/>
          <w:sz w:val="16"/>
        </w:rPr>
        <w:t xml:space="preserve">        |</w:t>
      </w:r>
      <w:r>
        <w:br/>
      </w:r>
      <w:r>
        <w:rPr>
          <w:rFonts w:ascii="Consolas" w:hAnsi="Consolas" w:eastAsia="Consolas"/>
          <w:sz w:val="16"/>
        </w:rPr>
        <w:t xml:space="preserve">        v</w:t>
      </w:r>
      <w:r>
        <w:br/>
      </w:r>
      <w:r>
        <w:rPr>
          <w:rFonts w:ascii="Consolas" w:hAnsi="Consolas" w:eastAsia="Consolas"/>
          <w:sz w:val="16"/>
        </w:rPr>
        <w:t>CTI APIs + LLM Query Generation</w:t>
      </w:r>
      <w:r>
        <w:br/>
      </w:r>
      <w:r>
        <w:rPr>
          <w:rFonts w:ascii="Consolas" w:hAnsi="Consolas" w:eastAsia="Consolas"/>
          <w:sz w:val="16"/>
        </w:rPr>
        <w:t xml:space="preserve">        |</w:t>
      </w:r>
      <w:r>
        <w:br/>
      </w:r>
      <w:r>
        <w:rPr>
          <w:rFonts w:ascii="Consolas" w:hAnsi="Consolas" w:eastAsia="Consolas"/>
          <w:sz w:val="16"/>
        </w:rPr>
        <w:t xml:space="preserve">        v</w:t>
      </w:r>
      <w:r>
        <w:br/>
      </w:r>
      <w:r>
        <w:rPr>
          <w:rFonts w:ascii="Consolas" w:hAnsi="Consolas" w:eastAsia="Consolas"/>
          <w:sz w:val="16"/>
        </w:rPr>
        <w:t>Threat Observations + Correlations</w:t>
      </w:r>
      <w:r>
        <w:br/>
      </w:r>
      <w:r>
        <w:rPr>
          <w:rFonts w:ascii="Consolas" w:hAnsi="Consolas" w:eastAsia="Consolas"/>
          <w:sz w:val="16"/>
        </w:rPr>
        <w:t xml:space="preserve">        |</w:t>
      </w:r>
      <w:r>
        <w:br/>
      </w:r>
      <w:r>
        <w:rPr>
          <w:rFonts w:ascii="Consolas" w:hAnsi="Consolas" w:eastAsia="Consolas"/>
          <w:sz w:val="16"/>
        </w:rPr>
        <w:t xml:space="preserve">        v</w:t>
      </w:r>
      <w:r>
        <w:br/>
      </w:r>
      <w:r>
        <w:rPr>
          <w:rFonts w:ascii="Consolas" w:hAnsi="Consolas" w:eastAsia="Consolas"/>
          <w:sz w:val="16"/>
        </w:rPr>
        <w:t>Risk Engine + SOC Report Generator</w:t>
      </w:r>
    </w:p>
    <w:p>
      <w:pPr>
        <w:pStyle w:val="Heading1"/>
      </w:pPr>
      <w:r>
        <w:t>3. Supported CTI Inputs</w:t>
      </w:r>
    </w:p>
    <w:tbl>
      <w:tblPr>
        <w:tblStyle w:val="LuminaTable"/>
        <w:tblW w:type="auto" w:w="0"/>
        <w:jc w:val="center"/>
        <w:tblLook w:firstColumn="1" w:firstRow="1" w:lastColumn="0" w:lastRow="0" w:noHBand="0" w:noVBand="1" w:val="04A0"/>
      </w:tblPr>
      <w:tblGrid>
        <w:gridCol w:w="3360"/>
        <w:gridCol w:w="3360"/>
        <w:gridCol w:w="3360"/>
      </w:tblGrid>
      <w:tr>
        <w:tc>
          <w:tcPr>
            <w:tcW w:type="dxa" w:w="3024"/>
            <w:shd w:fill="1F4E79"/>
            <w:vAlign w:val="center"/>
          </w:tcPr>
          <w:p>
            <w:pPr>
              <w:spacing w:after="0"/>
            </w:pPr>
            <w:r/>
            <w:r>
              <w:rPr>
                <w:b/>
                <w:color w:val="FFFFFF"/>
                <w:sz w:val="16"/>
              </w:rPr>
              <w:t>Input Type</w:t>
            </w:r>
          </w:p>
        </w:tc>
        <w:tc>
          <w:tcPr>
            <w:tcW w:type="dxa" w:w="3456"/>
            <w:shd w:fill="1F4E79"/>
            <w:vAlign w:val="center"/>
          </w:tcPr>
          <w:p>
            <w:pPr>
              <w:spacing w:after="0"/>
            </w:pPr>
            <w:r/>
            <w:r>
              <w:rPr>
                <w:b/>
                <w:color w:val="FFFFFF"/>
                <w:sz w:val="16"/>
              </w:rPr>
              <w:t>Example</w:t>
            </w:r>
          </w:p>
        </w:tc>
        <w:tc>
          <w:tcPr>
            <w:tcW w:type="dxa" w:w="4320"/>
            <w:shd w:fill="1F4E79"/>
            <w:vAlign w:val="center"/>
          </w:tcPr>
          <w:p>
            <w:pPr>
              <w:spacing w:after="0"/>
            </w:pPr>
            <w:r/>
            <w:r>
              <w:rPr>
                <w:b/>
                <w:color w:val="FFFFFF"/>
                <w:sz w:val="16"/>
              </w:rPr>
              <w:t>Purpose</w:t>
            </w:r>
          </w:p>
        </w:tc>
      </w:tr>
      <w:tr>
        <w:tc>
          <w:tcPr>
            <w:tcW w:type="dxa" w:w="3024"/>
            <w:vAlign w:val="top"/>
          </w:tcPr>
          <w:p>
            <w:pPr>
              <w:spacing w:after="0"/>
            </w:pPr>
            <w:r/>
            <w:r>
              <w:rPr>
                <w:b w:val="0"/>
                <w:sz w:val="16"/>
              </w:rPr>
              <w:t>IP address</w:t>
            </w:r>
          </w:p>
        </w:tc>
        <w:tc>
          <w:tcPr>
            <w:tcW w:type="dxa" w:w="3456"/>
            <w:vAlign w:val="top"/>
          </w:tcPr>
          <w:p>
            <w:pPr>
              <w:spacing w:after="0"/>
            </w:pPr>
            <w:r/>
            <w:r>
              <w:rPr>
                <w:b w:val="0"/>
                <w:sz w:val="16"/>
              </w:rPr>
              <w:t>203.0.113.10</w:t>
            </w:r>
          </w:p>
        </w:tc>
        <w:tc>
          <w:tcPr>
            <w:tcW w:type="dxa" w:w="4320"/>
            <w:vAlign w:val="top"/>
          </w:tcPr>
          <w:p>
            <w:pPr>
              <w:spacing w:after="0"/>
            </w:pPr>
            <w:r/>
            <w:r>
              <w:rPr>
                <w:b w:val="0"/>
                <w:sz w:val="16"/>
              </w:rPr>
              <w:t>Check malicious reputation.</w:t>
            </w:r>
          </w:p>
        </w:tc>
      </w:tr>
      <w:tr>
        <w:tc>
          <w:tcPr>
            <w:tcW w:type="dxa" w:w="3024"/>
            <w:vAlign w:val="top"/>
          </w:tcPr>
          <w:p>
            <w:pPr>
              <w:spacing w:after="0"/>
            </w:pPr>
            <w:r/>
            <w:r>
              <w:rPr>
                <w:b w:val="0"/>
                <w:sz w:val="16"/>
              </w:rPr>
              <w:t>FQDN</w:t>
            </w:r>
          </w:p>
        </w:tc>
        <w:tc>
          <w:tcPr>
            <w:tcW w:type="dxa" w:w="3456"/>
            <w:vAlign w:val="top"/>
          </w:tcPr>
          <w:p>
            <w:pPr>
              <w:spacing w:after="0"/>
            </w:pPr>
            <w:r/>
            <w:r>
              <w:rPr>
                <w:b w:val="0"/>
                <w:sz w:val="16"/>
              </w:rPr>
              <w:t>example-c2.domain</w:t>
            </w:r>
          </w:p>
        </w:tc>
        <w:tc>
          <w:tcPr>
            <w:tcW w:type="dxa" w:w="4320"/>
            <w:vAlign w:val="top"/>
          </w:tcPr>
          <w:p>
            <w:pPr>
              <w:spacing w:after="0"/>
            </w:pPr>
            <w:r/>
            <w:r>
              <w:rPr>
                <w:b w:val="0"/>
                <w:sz w:val="16"/>
              </w:rPr>
              <w:t>Check domain reputation.</w:t>
            </w:r>
          </w:p>
        </w:tc>
      </w:tr>
      <w:tr>
        <w:tc>
          <w:tcPr>
            <w:tcW w:type="dxa" w:w="3024"/>
            <w:vAlign w:val="top"/>
          </w:tcPr>
          <w:p>
            <w:pPr>
              <w:spacing w:after="0"/>
            </w:pPr>
            <w:r/>
            <w:r>
              <w:rPr>
                <w:b w:val="0"/>
                <w:sz w:val="16"/>
              </w:rPr>
              <w:t>URL</w:t>
            </w:r>
          </w:p>
        </w:tc>
        <w:tc>
          <w:tcPr>
            <w:tcW w:type="dxa" w:w="3456"/>
            <w:vAlign w:val="top"/>
          </w:tcPr>
          <w:p>
            <w:pPr>
              <w:spacing w:after="0"/>
            </w:pPr>
            <w:r/>
            <w:r>
              <w:rPr>
                <w:b w:val="0"/>
                <w:sz w:val="16"/>
              </w:rPr>
              <w:t>https://example/path</w:t>
            </w:r>
          </w:p>
        </w:tc>
        <w:tc>
          <w:tcPr>
            <w:tcW w:type="dxa" w:w="4320"/>
            <w:vAlign w:val="top"/>
          </w:tcPr>
          <w:p>
            <w:pPr>
              <w:spacing w:after="0"/>
            </w:pPr>
            <w:r/>
            <w:r>
              <w:rPr>
                <w:b w:val="0"/>
                <w:sz w:val="16"/>
              </w:rPr>
              <w:t>Check URL reputation where supported.</w:t>
            </w:r>
          </w:p>
        </w:tc>
      </w:tr>
      <w:tr>
        <w:tc>
          <w:tcPr>
            <w:tcW w:type="dxa" w:w="3024"/>
            <w:vAlign w:val="top"/>
          </w:tcPr>
          <w:p>
            <w:pPr>
              <w:spacing w:after="0"/>
            </w:pPr>
            <w:r/>
            <w:r>
              <w:rPr>
                <w:b w:val="0"/>
                <w:sz w:val="16"/>
              </w:rPr>
              <w:t>CVE</w:t>
            </w:r>
          </w:p>
        </w:tc>
        <w:tc>
          <w:tcPr>
            <w:tcW w:type="dxa" w:w="3456"/>
            <w:vAlign w:val="top"/>
          </w:tcPr>
          <w:p>
            <w:pPr>
              <w:spacing w:after="0"/>
            </w:pPr>
            <w:r/>
            <w:r>
              <w:rPr>
                <w:b w:val="0"/>
                <w:sz w:val="16"/>
              </w:rPr>
              <w:t>CVE-YYYY-NNNN</w:t>
            </w:r>
          </w:p>
        </w:tc>
        <w:tc>
          <w:tcPr>
            <w:tcW w:type="dxa" w:w="4320"/>
            <w:vAlign w:val="top"/>
          </w:tcPr>
          <w:p>
            <w:pPr>
              <w:spacing w:after="0"/>
            </w:pPr>
            <w:r/>
            <w:r>
              <w:rPr>
                <w:b w:val="0"/>
                <w:sz w:val="16"/>
              </w:rPr>
              <w:t>Match firewall firmware vulnerabilities.</w:t>
            </w:r>
          </w:p>
        </w:tc>
      </w:tr>
      <w:tr>
        <w:tc>
          <w:tcPr>
            <w:tcW w:type="dxa" w:w="3024"/>
            <w:vAlign w:val="top"/>
          </w:tcPr>
          <w:p>
            <w:pPr>
              <w:spacing w:after="0"/>
            </w:pPr>
            <w:r/>
            <w:r>
              <w:rPr>
                <w:b w:val="0"/>
                <w:sz w:val="16"/>
              </w:rPr>
              <w:t>Vendor/version keyword</w:t>
            </w:r>
          </w:p>
        </w:tc>
        <w:tc>
          <w:tcPr>
            <w:tcW w:type="dxa" w:w="3456"/>
            <w:vAlign w:val="top"/>
          </w:tcPr>
          <w:p>
            <w:pPr>
              <w:spacing w:after="0"/>
            </w:pPr>
            <w:r/>
            <w:r>
              <w:rPr>
                <w:b w:val="0"/>
                <w:sz w:val="16"/>
              </w:rPr>
              <w:t>PAN-OS 11.1.6 exploit</w:t>
            </w:r>
          </w:p>
        </w:tc>
        <w:tc>
          <w:tcPr>
            <w:tcW w:type="dxa" w:w="4320"/>
            <w:vAlign w:val="top"/>
          </w:tcPr>
          <w:p>
            <w:pPr>
              <w:spacing w:after="0"/>
            </w:pPr>
            <w:r/>
            <w:r>
              <w:rPr>
                <w:b w:val="0"/>
                <w:sz w:val="16"/>
              </w:rPr>
              <w:t>Generate targeted threat queries.</w:t>
            </w:r>
          </w:p>
        </w:tc>
      </w:tr>
      <w:tr>
        <w:tc>
          <w:tcPr>
            <w:tcW w:type="dxa" w:w="3024"/>
            <w:vAlign w:val="top"/>
          </w:tcPr>
          <w:p>
            <w:pPr>
              <w:spacing w:after="0"/>
            </w:pPr>
            <w:r/>
            <w:r>
              <w:rPr>
                <w:b w:val="0"/>
                <w:sz w:val="16"/>
              </w:rPr>
              <w:t>Firewall firmware</w:t>
            </w:r>
          </w:p>
        </w:tc>
        <w:tc>
          <w:tcPr>
            <w:tcW w:type="dxa" w:w="3456"/>
            <w:vAlign w:val="top"/>
          </w:tcPr>
          <w:p>
            <w:pPr>
              <w:spacing w:after="0"/>
            </w:pPr>
            <w:r/>
            <w:r>
              <w:rPr>
                <w:b w:val="0"/>
                <w:sz w:val="16"/>
              </w:rPr>
              <w:t>FortiOS 7.0.5</w:t>
            </w:r>
          </w:p>
        </w:tc>
        <w:tc>
          <w:tcPr>
            <w:tcW w:type="dxa" w:w="4320"/>
            <w:vAlign w:val="top"/>
          </w:tcPr>
          <w:p>
            <w:pPr>
              <w:spacing w:after="0"/>
            </w:pPr>
            <w:r/>
            <w:r>
              <w:rPr>
                <w:b w:val="0"/>
                <w:sz w:val="16"/>
              </w:rPr>
              <w:t>Match vendor advisories and exploit discussion.</w:t>
            </w:r>
          </w:p>
        </w:tc>
      </w:tr>
    </w:tbl>
    <w:p/>
    <w:p>
      <w:pPr>
        <w:pStyle w:val="Heading1"/>
      </w:pPr>
      <w:r>
        <w:t>4. Indicator Extraction</w:t>
      </w:r>
    </w:p>
    <w:p>
      <w:r>
        <w:t>The engine must extract public indicators from normalized objects. Private RFC1918 ranges should not be sent to external CTI providers unless explicitly configured for internal-only correlation.</w:t>
      </w:r>
    </w:p>
    <w:p>
      <w:pPr>
        <w:pStyle w:val="CodeBlock"/>
      </w:pPr>
      <w:r>
        <w:rPr>
          <w:rFonts w:ascii="Consolas" w:hAnsi="Consolas" w:eastAsia="Consolas"/>
          <w:sz w:val="16"/>
        </w:rPr>
        <w:t>for object in normalized_objects:</w:t>
      </w:r>
      <w:r>
        <w:br/>
      </w:r>
      <w:r>
        <w:rPr>
          <w:rFonts w:ascii="Consolas" w:hAnsi="Consolas" w:eastAsia="Consolas"/>
          <w:sz w:val="16"/>
        </w:rPr>
        <w:t xml:space="preserve">    if object.type in ['ip_address', 'cidr', 'fqdn', 'url']:</w:t>
      </w:r>
      <w:r>
        <w:br/>
      </w:r>
      <w:r>
        <w:rPr>
          <w:rFonts w:ascii="Consolas" w:hAnsi="Consolas" w:eastAsia="Consolas"/>
          <w:sz w:val="16"/>
        </w:rPr>
        <w:t xml:space="preserve">        if is_public_indicator(object.value):</w:t>
      </w:r>
      <w:r>
        <w:br/>
      </w:r>
      <w:r>
        <w:rPr>
          <w:rFonts w:ascii="Consolas" w:hAnsi="Consolas" w:eastAsia="Consolas"/>
          <w:sz w:val="16"/>
        </w:rPr>
        <w:t xml:space="preserve">            create_cti_indicator(object.value)</w:t>
      </w:r>
      <w:r>
        <w:br/>
      </w:r>
      <w:r>
        <w:rPr>
          <w:rFonts w:ascii="Consolas" w:hAnsi="Consolas" w:eastAsia="Consolas"/>
          <w:sz w:val="16"/>
        </w:rPr>
      </w:r>
      <w:r>
        <w:br/>
      </w:r>
      <w:r>
        <w:rPr>
          <w:rFonts w:ascii="Consolas" w:hAnsi="Consolas" w:eastAsia="Consolas"/>
          <w:sz w:val="16"/>
        </w:rPr>
        <w:t>for device in firewall_device:</w:t>
      </w:r>
      <w:r>
        <w:br/>
      </w:r>
      <w:r>
        <w:rPr>
          <w:rFonts w:ascii="Consolas" w:hAnsi="Consolas" w:eastAsia="Consolas"/>
          <w:sz w:val="16"/>
        </w:rPr>
        <w:t xml:space="preserve">    create_vendor_version_context(device.vendor, device.firmware_version)</w:t>
      </w:r>
    </w:p>
    <w:p>
      <w:pPr>
        <w:pStyle w:val="Heading1"/>
      </w:pPr>
      <w:r>
        <w:t>5. LLM-Assisted Query Generation</w:t>
      </w:r>
    </w:p>
    <w:p>
      <w:r>
        <w:t>The LLM generates search phrases and analyst-friendly queries from inventory context. It does not decide whether a threat is real without CTI evidence.</w:t>
      </w:r>
    </w:p>
    <w:tbl>
      <w:tblPr>
        <w:tblStyle w:val="LuminaTable"/>
        <w:tblW w:type="auto" w:w="0"/>
        <w:jc w:val="center"/>
        <w:tblLook w:firstColumn="1" w:firstRow="1" w:lastColumn="0" w:lastRow="0" w:noHBand="0" w:noVBand="1" w:val="04A0"/>
      </w:tblPr>
      <w:tblGrid>
        <w:gridCol w:w="5040"/>
        <w:gridCol w:w="5040"/>
      </w:tblGrid>
      <w:tr>
        <w:tc>
          <w:tcPr>
            <w:tcW w:type="dxa" w:w="3600"/>
            <w:shd w:fill="1F4E79"/>
            <w:vAlign w:val="center"/>
          </w:tcPr>
          <w:p>
            <w:pPr>
              <w:spacing w:after="0"/>
            </w:pPr>
            <w:r/>
            <w:r>
              <w:rPr>
                <w:b/>
                <w:color w:val="FFFFFF"/>
                <w:sz w:val="16"/>
              </w:rPr>
              <w:t>Context</w:t>
            </w:r>
          </w:p>
        </w:tc>
        <w:tc>
          <w:tcPr>
            <w:tcW w:type="dxa" w:w="7200"/>
            <w:shd w:fill="1F4E79"/>
            <w:vAlign w:val="center"/>
          </w:tcPr>
          <w:p>
            <w:pPr>
              <w:spacing w:after="0"/>
            </w:pPr>
            <w:r/>
            <w:r>
              <w:rPr>
                <w:b/>
                <w:color w:val="FFFFFF"/>
                <w:sz w:val="16"/>
              </w:rPr>
              <w:t>Generated Query Examples</w:t>
            </w:r>
          </w:p>
        </w:tc>
      </w:tr>
      <w:tr>
        <w:tc>
          <w:tcPr>
            <w:tcW w:type="dxa" w:w="3600"/>
            <w:vAlign w:val="top"/>
          </w:tcPr>
          <w:p>
            <w:pPr>
              <w:spacing w:after="0"/>
            </w:pPr>
            <w:r/>
            <w:r>
              <w:rPr>
                <w:b w:val="0"/>
                <w:sz w:val="16"/>
              </w:rPr>
              <w:t>PAN-OS 11.1.6</w:t>
            </w:r>
          </w:p>
        </w:tc>
        <w:tc>
          <w:tcPr>
            <w:tcW w:type="dxa" w:w="7200"/>
            <w:vAlign w:val="top"/>
          </w:tcPr>
          <w:p>
            <w:pPr>
              <w:spacing w:after="0"/>
            </w:pPr>
            <w:r/>
            <w:r>
              <w:rPr>
                <w:b w:val="0"/>
                <w:sz w:val="16"/>
              </w:rPr>
              <w:t>PAN-OS 11.1.6 exploit, PAN-OS 11.1.6 CVE, Palo Alto 11.1.6 vulnerability</w:t>
            </w:r>
          </w:p>
        </w:tc>
      </w:tr>
      <w:tr>
        <w:tc>
          <w:tcPr>
            <w:tcW w:type="dxa" w:w="3600"/>
            <w:vAlign w:val="top"/>
          </w:tcPr>
          <w:p>
            <w:pPr>
              <w:spacing w:after="0"/>
            </w:pPr>
            <w:r/>
            <w:r>
              <w:rPr>
                <w:b w:val="0"/>
                <w:sz w:val="16"/>
              </w:rPr>
              <w:t>FortiOS 7.0.5</w:t>
            </w:r>
          </w:p>
        </w:tc>
        <w:tc>
          <w:tcPr>
            <w:tcW w:type="dxa" w:w="7200"/>
            <w:vAlign w:val="top"/>
          </w:tcPr>
          <w:p>
            <w:pPr>
              <w:spacing w:after="0"/>
            </w:pPr>
            <w:r/>
            <w:r>
              <w:rPr>
                <w:b w:val="0"/>
                <w:sz w:val="16"/>
              </w:rPr>
              <w:t>FortiOS 7.0.5 exploit, FortiGate 7.0.5 CVE, Fortinet 7.0.5 advisory</w:t>
            </w:r>
          </w:p>
        </w:tc>
      </w:tr>
      <w:tr>
        <w:tc>
          <w:tcPr>
            <w:tcW w:type="dxa" w:w="3600"/>
            <w:vAlign w:val="top"/>
          </w:tcPr>
          <w:p>
            <w:pPr>
              <w:spacing w:after="0"/>
            </w:pPr>
            <w:r/>
            <w:r>
              <w:rPr>
                <w:b w:val="0"/>
                <w:sz w:val="16"/>
              </w:rPr>
              <w:t>MALICIOUS_IP object</w:t>
            </w:r>
          </w:p>
        </w:tc>
        <w:tc>
          <w:tcPr>
            <w:tcW w:type="dxa" w:w="7200"/>
            <w:vAlign w:val="top"/>
          </w:tcPr>
          <w:p>
            <w:pPr>
              <w:spacing w:after="0"/>
            </w:pPr>
            <w:r/>
            <w:r>
              <w:rPr>
                <w:b w:val="0"/>
                <w:sz w:val="16"/>
              </w:rPr>
              <w:t>IP reputation query, threat actor infrastructure query, abuse report query</w:t>
            </w:r>
          </w:p>
        </w:tc>
      </w:tr>
    </w:tbl>
    <w:p/>
    <w:p>
      <w:pPr>
        <w:pStyle w:val="Heading1"/>
      </w:pPr>
      <w:r>
        <w:t>6. CTI Provider Abstraction</w:t>
      </w:r>
    </w:p>
    <w:p>
      <w:pPr>
        <w:pStyle w:val="CodeBlock"/>
      </w:pPr>
      <w:r>
        <w:rPr>
          <w:rFonts w:ascii="Consolas" w:hAnsi="Consolas" w:eastAsia="Consolas"/>
          <w:sz w:val="16"/>
        </w:rPr>
        <w:t>CTIProvider</w:t>
      </w:r>
      <w:r>
        <w:br/>
      </w:r>
      <w:r>
        <w:rPr>
          <w:rFonts w:ascii="Consolas" w:hAnsi="Consolas" w:eastAsia="Consolas"/>
          <w:sz w:val="16"/>
        </w:rPr>
        <w:t xml:space="preserve">  lookup_ip(indicator)</w:t>
      </w:r>
      <w:r>
        <w:br/>
      </w:r>
      <w:r>
        <w:rPr>
          <w:rFonts w:ascii="Consolas" w:hAnsi="Consolas" w:eastAsia="Consolas"/>
          <w:sz w:val="16"/>
        </w:rPr>
        <w:t xml:space="preserve">  lookup_domain(indicator)</w:t>
      </w:r>
      <w:r>
        <w:br/>
      </w:r>
      <w:r>
        <w:rPr>
          <w:rFonts w:ascii="Consolas" w:hAnsi="Consolas" w:eastAsia="Consolas"/>
          <w:sz w:val="16"/>
        </w:rPr>
        <w:t xml:space="preserve">  lookup_url(indicator)</w:t>
      </w:r>
      <w:r>
        <w:br/>
      </w:r>
      <w:r>
        <w:rPr>
          <w:rFonts w:ascii="Consolas" w:hAnsi="Consolas" w:eastAsia="Consolas"/>
          <w:sz w:val="16"/>
        </w:rPr>
        <w:t xml:space="preserve">  lookup_cve(cve)</w:t>
      </w:r>
      <w:r>
        <w:br/>
      </w:r>
      <w:r>
        <w:rPr>
          <w:rFonts w:ascii="Consolas" w:hAnsi="Consolas" w:eastAsia="Consolas"/>
          <w:sz w:val="16"/>
        </w:rPr>
        <w:t xml:space="preserve">  search_keyword(query)</w:t>
      </w:r>
      <w:r>
        <w:br/>
      </w:r>
      <w:r>
        <w:rPr>
          <w:rFonts w:ascii="Consolas" w:hAnsi="Consolas" w:eastAsia="Consolas"/>
          <w:sz w:val="16"/>
        </w:rPr>
      </w:r>
      <w:r>
        <w:br/>
      </w:r>
      <w:r>
        <w:rPr>
          <w:rFonts w:ascii="Consolas" w:hAnsi="Consolas" w:eastAsia="Consolas"/>
          <w:sz w:val="16"/>
        </w:rPr>
        <w:t>Implementations:</w:t>
      </w:r>
      <w:r>
        <w:br/>
      </w:r>
      <w:r>
        <w:rPr>
          <w:rFonts w:ascii="Consolas" w:hAnsi="Consolas" w:eastAsia="Consolas"/>
          <w:sz w:val="16"/>
        </w:rPr>
        <w:t xml:space="preserve">  AbuseIPDBProvider</w:t>
      </w:r>
      <w:r>
        <w:br/>
      </w:r>
      <w:r>
        <w:rPr>
          <w:rFonts w:ascii="Consolas" w:hAnsi="Consolas" w:eastAsia="Consolas"/>
          <w:sz w:val="16"/>
        </w:rPr>
        <w:t xml:space="preserve">  OTXProvider</w:t>
      </w:r>
      <w:r>
        <w:br/>
      </w:r>
      <w:r>
        <w:rPr>
          <w:rFonts w:ascii="Consolas" w:hAnsi="Consolas" w:eastAsia="Consolas"/>
          <w:sz w:val="16"/>
        </w:rPr>
        <w:t xml:space="preserve">  VirusTotalProvider</w:t>
      </w:r>
      <w:r>
        <w:br/>
      </w:r>
      <w:r>
        <w:rPr>
          <w:rFonts w:ascii="Consolas" w:hAnsi="Consolas" w:eastAsia="Consolas"/>
          <w:sz w:val="16"/>
        </w:rPr>
        <w:t xml:space="preserve">  VendorAdvisoryProvider</w:t>
      </w:r>
      <w:r>
        <w:br/>
      </w:r>
      <w:r>
        <w:rPr>
          <w:rFonts w:ascii="Consolas" w:hAnsi="Consolas" w:eastAsia="Consolas"/>
          <w:sz w:val="16"/>
        </w:rPr>
        <w:t xml:space="preserve">  NVDProvider or CVEProvider</w:t>
      </w:r>
    </w:p>
    <w:p>
      <w:pPr>
        <w:pStyle w:val="Heading1"/>
      </w:pPr>
      <w:r>
        <w:t>7. CTI Observation Model</w:t>
      </w:r>
    </w:p>
    <w:tbl>
      <w:tblPr>
        <w:tblStyle w:val="LuminaTable"/>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
              <w:rPr>
                <w:b/>
                <w:color w:val="FFFFFF"/>
                <w:sz w:val="16"/>
              </w:rPr>
              <w:t>Field</w:t>
            </w:r>
          </w:p>
        </w:tc>
        <w:tc>
          <w:tcPr>
            <w:tcW w:type="dxa" w:w="7632"/>
            <w:shd w:fill="1F4E79"/>
            <w:vAlign w:val="center"/>
          </w:tcPr>
          <w:p>
            <w:pPr>
              <w:spacing w:after="0"/>
            </w:pPr>
            <w:r/>
            <w:r>
              <w:rPr>
                <w:b/>
                <w:color w:val="FFFFFF"/>
                <w:sz w:val="16"/>
              </w:rPr>
              <w:t>Purpose</w:t>
            </w:r>
          </w:p>
        </w:tc>
      </w:tr>
      <w:tr>
        <w:tc>
          <w:tcPr>
            <w:tcW w:type="dxa" w:w="3168"/>
            <w:vAlign w:val="top"/>
          </w:tcPr>
          <w:p>
            <w:pPr>
              <w:spacing w:after="0"/>
            </w:pPr>
            <w:r/>
            <w:r>
              <w:rPr>
                <w:b w:val="0"/>
                <w:sz w:val="16"/>
              </w:rPr>
              <w:t>indicator_id</w:t>
            </w:r>
          </w:p>
        </w:tc>
        <w:tc>
          <w:tcPr>
            <w:tcW w:type="dxa" w:w="7632"/>
            <w:vAlign w:val="top"/>
          </w:tcPr>
          <w:p>
            <w:pPr>
              <w:spacing w:after="0"/>
            </w:pPr>
            <w:r/>
            <w:r>
              <w:rPr>
                <w:b w:val="0"/>
                <w:sz w:val="16"/>
              </w:rPr>
              <w:t>Links to cti_indicator.</w:t>
            </w:r>
          </w:p>
        </w:tc>
      </w:tr>
      <w:tr>
        <w:tc>
          <w:tcPr>
            <w:tcW w:type="dxa" w:w="3168"/>
            <w:vAlign w:val="top"/>
          </w:tcPr>
          <w:p>
            <w:pPr>
              <w:spacing w:after="0"/>
            </w:pPr>
            <w:r/>
            <w:r>
              <w:rPr>
                <w:b w:val="0"/>
                <w:sz w:val="16"/>
              </w:rPr>
              <w:t>provider</w:t>
            </w:r>
          </w:p>
        </w:tc>
        <w:tc>
          <w:tcPr>
            <w:tcW w:type="dxa" w:w="7632"/>
            <w:vAlign w:val="top"/>
          </w:tcPr>
          <w:p>
            <w:pPr>
              <w:spacing w:after="0"/>
            </w:pPr>
            <w:r/>
            <w:r>
              <w:rPr>
                <w:b w:val="0"/>
                <w:sz w:val="16"/>
              </w:rPr>
              <w:t>Source provider name.</w:t>
            </w:r>
          </w:p>
        </w:tc>
      </w:tr>
      <w:tr>
        <w:tc>
          <w:tcPr>
            <w:tcW w:type="dxa" w:w="3168"/>
            <w:vAlign w:val="top"/>
          </w:tcPr>
          <w:p>
            <w:pPr>
              <w:spacing w:after="0"/>
            </w:pPr>
            <w:r/>
            <w:r>
              <w:rPr>
                <w:b w:val="0"/>
                <w:sz w:val="16"/>
              </w:rPr>
              <w:t>provider_reference</w:t>
            </w:r>
          </w:p>
        </w:tc>
        <w:tc>
          <w:tcPr>
            <w:tcW w:type="dxa" w:w="7632"/>
            <w:vAlign w:val="top"/>
          </w:tcPr>
          <w:p>
            <w:pPr>
              <w:spacing w:after="0"/>
            </w:pPr>
            <w:r/>
            <w:r>
              <w:rPr>
                <w:b w:val="0"/>
                <w:sz w:val="16"/>
              </w:rPr>
              <w:t>Provider-specific record ID or URL.</w:t>
            </w:r>
          </w:p>
        </w:tc>
      </w:tr>
      <w:tr>
        <w:tc>
          <w:tcPr>
            <w:tcW w:type="dxa" w:w="3168"/>
            <w:vAlign w:val="top"/>
          </w:tcPr>
          <w:p>
            <w:pPr>
              <w:spacing w:after="0"/>
            </w:pPr>
            <w:r/>
            <w:r>
              <w:rPr>
                <w:b w:val="0"/>
                <w:sz w:val="16"/>
              </w:rPr>
              <w:t>severity</w:t>
            </w:r>
          </w:p>
        </w:tc>
        <w:tc>
          <w:tcPr>
            <w:tcW w:type="dxa" w:w="7632"/>
            <w:vAlign w:val="top"/>
          </w:tcPr>
          <w:p>
            <w:pPr>
              <w:spacing w:after="0"/>
            </w:pPr>
            <w:r/>
            <w:r>
              <w:rPr>
                <w:b w:val="0"/>
                <w:sz w:val="16"/>
              </w:rPr>
              <w:t>Provider severity or normalized severity.</w:t>
            </w:r>
          </w:p>
        </w:tc>
      </w:tr>
      <w:tr>
        <w:tc>
          <w:tcPr>
            <w:tcW w:type="dxa" w:w="3168"/>
            <w:vAlign w:val="top"/>
          </w:tcPr>
          <w:p>
            <w:pPr>
              <w:spacing w:after="0"/>
            </w:pPr>
            <w:r/>
            <w:r>
              <w:rPr>
                <w:b w:val="0"/>
                <w:sz w:val="16"/>
              </w:rPr>
              <w:t>confidence</w:t>
            </w:r>
          </w:p>
        </w:tc>
        <w:tc>
          <w:tcPr>
            <w:tcW w:type="dxa" w:w="7632"/>
            <w:vAlign w:val="top"/>
          </w:tcPr>
          <w:p>
            <w:pPr>
              <w:spacing w:after="0"/>
            </w:pPr>
            <w:r/>
            <w:r>
              <w:rPr>
                <w:b w:val="0"/>
                <w:sz w:val="16"/>
              </w:rPr>
              <w:t>0.00-1.00 normalized confidence.</w:t>
            </w:r>
          </w:p>
        </w:tc>
      </w:tr>
      <w:tr>
        <w:tc>
          <w:tcPr>
            <w:tcW w:type="dxa" w:w="3168"/>
            <w:vAlign w:val="top"/>
          </w:tcPr>
          <w:p>
            <w:pPr>
              <w:spacing w:after="0"/>
            </w:pPr>
            <w:r/>
            <w:r>
              <w:rPr>
                <w:b w:val="0"/>
                <w:sz w:val="16"/>
              </w:rPr>
              <w:t>threat_type</w:t>
            </w:r>
          </w:p>
        </w:tc>
        <w:tc>
          <w:tcPr>
            <w:tcW w:type="dxa" w:w="7632"/>
            <w:vAlign w:val="top"/>
          </w:tcPr>
          <w:p>
            <w:pPr>
              <w:spacing w:after="0"/>
            </w:pPr>
            <w:r/>
            <w:r>
              <w:rPr>
                <w:b w:val="0"/>
                <w:sz w:val="16"/>
              </w:rPr>
              <w:t>malware, C2, scanner, exploit, botnet, vulnerability, etc.</w:t>
            </w:r>
          </w:p>
        </w:tc>
      </w:tr>
      <w:tr>
        <w:tc>
          <w:tcPr>
            <w:tcW w:type="dxa" w:w="3168"/>
            <w:vAlign w:val="top"/>
          </w:tcPr>
          <w:p>
            <w:pPr>
              <w:spacing w:after="0"/>
            </w:pPr>
            <w:r/>
            <w:r>
              <w:rPr>
                <w:b w:val="0"/>
                <w:sz w:val="16"/>
              </w:rPr>
              <w:t>summary</w:t>
            </w:r>
          </w:p>
        </w:tc>
        <w:tc>
          <w:tcPr>
            <w:tcW w:type="dxa" w:w="7632"/>
            <w:vAlign w:val="top"/>
          </w:tcPr>
          <w:p>
            <w:pPr>
              <w:spacing w:after="0"/>
            </w:pPr>
            <w:r/>
            <w:r>
              <w:rPr>
                <w:b w:val="0"/>
                <w:sz w:val="16"/>
              </w:rPr>
              <w:t>Provider result summary.</w:t>
            </w:r>
          </w:p>
        </w:tc>
      </w:tr>
      <w:tr>
        <w:tc>
          <w:tcPr>
            <w:tcW w:type="dxa" w:w="3168"/>
            <w:vAlign w:val="top"/>
          </w:tcPr>
          <w:p>
            <w:pPr>
              <w:spacing w:after="0"/>
            </w:pPr>
            <w:r/>
            <w:r>
              <w:rPr>
                <w:b w:val="0"/>
                <w:sz w:val="16"/>
              </w:rPr>
              <w:t>raw_response_hash</w:t>
            </w:r>
          </w:p>
        </w:tc>
        <w:tc>
          <w:tcPr>
            <w:tcW w:type="dxa" w:w="7632"/>
            <w:vAlign w:val="top"/>
          </w:tcPr>
          <w:p>
            <w:pPr>
              <w:spacing w:after="0"/>
            </w:pPr>
            <w:r/>
            <w:r>
              <w:rPr>
                <w:b w:val="0"/>
                <w:sz w:val="16"/>
              </w:rPr>
              <w:t>Traceability without storing sensitive raw body if not desired.</w:t>
            </w:r>
          </w:p>
        </w:tc>
      </w:tr>
      <w:tr>
        <w:tc>
          <w:tcPr>
            <w:tcW w:type="dxa" w:w="3168"/>
            <w:vAlign w:val="top"/>
          </w:tcPr>
          <w:p>
            <w:pPr>
              <w:spacing w:after="0"/>
            </w:pPr>
            <w:r/>
            <w:r>
              <w:rPr>
                <w:b w:val="0"/>
                <w:sz w:val="16"/>
              </w:rPr>
              <w:t>observed_at</w:t>
            </w:r>
          </w:p>
        </w:tc>
        <w:tc>
          <w:tcPr>
            <w:tcW w:type="dxa" w:w="7632"/>
            <w:vAlign w:val="top"/>
          </w:tcPr>
          <w:p>
            <w:pPr>
              <w:spacing w:after="0"/>
            </w:pPr>
            <w:r/>
            <w:r>
              <w:rPr>
                <w:b w:val="0"/>
                <w:sz w:val="16"/>
              </w:rPr>
              <w:t>Lookup timestamp.</w:t>
            </w:r>
          </w:p>
        </w:tc>
      </w:tr>
    </w:tbl>
    <w:p/>
    <w:p>
      <w:pPr>
        <w:pStyle w:val="Heading1"/>
      </w:pPr>
      <w:r>
        <w:t>8. Threat-to-Rule Correlation</w:t>
      </w:r>
    </w:p>
    <w:p>
      <w:pPr>
        <w:pStyle w:val="CodeBlock"/>
      </w:pPr>
      <w:r>
        <w:rPr>
          <w:rFonts w:ascii="Consolas" w:hAnsi="Consolas" w:eastAsia="Consolas"/>
          <w:sz w:val="16"/>
        </w:rPr>
        <w:t>if cti_indicator.value appears in rule.sources or rule.destinations:</w:t>
      </w:r>
      <w:r>
        <w:br/>
      </w:r>
      <w:r>
        <w:rPr>
          <w:rFonts w:ascii="Consolas" w:hAnsi="Consolas" w:eastAsia="Consolas"/>
          <w:sz w:val="16"/>
        </w:rPr>
        <w:t xml:space="preserve">    create_threat_correlation(rule_id, indicator_id, match_strength, confidence)</w:t>
      </w:r>
      <w:r>
        <w:br/>
      </w:r>
      <w:r>
        <w:rPr>
          <w:rFonts w:ascii="Consolas" w:hAnsi="Consolas" w:eastAsia="Consolas"/>
          <w:sz w:val="16"/>
        </w:rPr>
      </w:r>
      <w:r>
        <w:br/>
      </w:r>
      <w:r>
        <w:rPr>
          <w:rFonts w:ascii="Consolas" w:hAnsi="Consolas" w:eastAsia="Consolas"/>
          <w:sz w:val="16"/>
        </w:rPr>
        <w:t>if device.firmware_version matches threat.target_version:</w:t>
      </w:r>
      <w:r>
        <w:br/>
      </w:r>
      <w:r>
        <w:rPr>
          <w:rFonts w:ascii="Consolas" w:hAnsi="Consolas" w:eastAsia="Consolas"/>
          <w:sz w:val="16"/>
        </w:rPr>
        <w:t xml:space="preserve">    create_device_threat_observation(device_id, threat_id)</w:t>
      </w:r>
      <w:r>
        <w:br/>
      </w:r>
      <w:r>
        <w:rPr>
          <w:rFonts w:ascii="Consolas" w:hAnsi="Consolas" w:eastAsia="Consolas"/>
          <w:sz w:val="16"/>
        </w:rPr>
      </w:r>
      <w:r>
        <w:br/>
      </w:r>
      <w:r>
        <w:rPr>
          <w:rFonts w:ascii="Consolas" w:hAnsi="Consolas" w:eastAsia="Consolas"/>
          <w:sz w:val="16"/>
        </w:rPr>
        <w:t>if rule allows traffic to/from high-confidence malicious indicator:</w:t>
      </w:r>
      <w:r>
        <w:br/>
      </w:r>
      <w:r>
        <w:rPr>
          <w:rFonts w:ascii="Consolas" w:hAnsi="Consolas" w:eastAsia="Consolas"/>
          <w:sz w:val="16"/>
        </w:rPr>
        <w:t xml:space="preserve">    send risk update event</w:t>
      </w:r>
    </w:p>
    <w:p>
      <w:pPr>
        <w:pStyle w:val="Heading1"/>
      </w:pPr>
      <w:r>
        <w:t>9. Firmware and Vendor Threat Matching</w:t>
      </w:r>
    </w:p>
    <w:p>
      <w:r>
        <w:t>The CTI engine must use actual inventory context. The firmware_version field from firewall_device is important because it allows targeted CTI searches instead of generic threat hunting.</w:t>
      </w:r>
    </w:p>
    <w:tbl>
      <w:tblPr>
        <w:tblStyle w:val="LuminaTable"/>
        <w:tblW w:type="auto" w:w="0"/>
        <w:jc w:val="center"/>
        <w:tblLook w:firstColumn="1" w:firstRow="1" w:lastColumn="0" w:lastRow="0" w:noHBand="0" w:noVBand="1" w:val="04A0"/>
      </w:tblPr>
      <w:tblGrid>
        <w:gridCol w:w="5040"/>
        <w:gridCol w:w="5040"/>
      </w:tblGrid>
      <w:tr>
        <w:tc>
          <w:tcPr>
            <w:tcW w:type="dxa" w:w="3456"/>
            <w:shd w:fill="1F4E79"/>
            <w:vAlign w:val="center"/>
          </w:tcPr>
          <w:p>
            <w:pPr>
              <w:spacing w:after="0"/>
            </w:pPr>
            <w:r/>
            <w:r>
              <w:rPr>
                <w:b/>
                <w:color w:val="FFFFFF"/>
                <w:sz w:val="16"/>
              </w:rPr>
              <w:t>Inventory Field</w:t>
            </w:r>
          </w:p>
        </w:tc>
        <w:tc>
          <w:tcPr>
            <w:tcW w:type="dxa" w:w="7344"/>
            <w:shd w:fill="1F4E79"/>
            <w:vAlign w:val="center"/>
          </w:tcPr>
          <w:p>
            <w:pPr>
              <w:spacing w:after="0"/>
            </w:pPr>
            <w:r/>
            <w:r>
              <w:rPr>
                <w:b/>
                <w:color w:val="FFFFFF"/>
                <w:sz w:val="16"/>
              </w:rPr>
              <w:t>CTI Use</w:t>
            </w:r>
          </w:p>
        </w:tc>
      </w:tr>
      <w:tr>
        <w:tc>
          <w:tcPr>
            <w:tcW w:type="dxa" w:w="3456"/>
            <w:vAlign w:val="top"/>
          </w:tcPr>
          <w:p>
            <w:pPr>
              <w:spacing w:after="0"/>
            </w:pPr>
            <w:r/>
            <w:r>
              <w:rPr>
                <w:b w:val="0"/>
                <w:sz w:val="16"/>
              </w:rPr>
              <w:t>vendor name</w:t>
            </w:r>
          </w:p>
        </w:tc>
        <w:tc>
          <w:tcPr>
            <w:tcW w:type="dxa" w:w="7344"/>
            <w:vAlign w:val="top"/>
          </w:tcPr>
          <w:p>
            <w:pPr>
              <w:spacing w:after="0"/>
            </w:pPr>
            <w:r/>
            <w:r>
              <w:rPr>
                <w:b w:val="0"/>
                <w:sz w:val="16"/>
              </w:rPr>
              <w:t>Generate vendor-focused queries and advisory lookups.</w:t>
            </w:r>
          </w:p>
        </w:tc>
      </w:tr>
      <w:tr>
        <w:tc>
          <w:tcPr>
            <w:tcW w:type="dxa" w:w="3456"/>
            <w:vAlign w:val="top"/>
          </w:tcPr>
          <w:p>
            <w:pPr>
              <w:spacing w:after="0"/>
            </w:pPr>
            <w:r/>
            <w:r>
              <w:rPr>
                <w:b w:val="0"/>
                <w:sz w:val="16"/>
              </w:rPr>
              <w:t>firmware_version</w:t>
            </w:r>
          </w:p>
        </w:tc>
        <w:tc>
          <w:tcPr>
            <w:tcW w:type="dxa" w:w="7344"/>
            <w:vAlign w:val="top"/>
          </w:tcPr>
          <w:p>
            <w:pPr>
              <w:spacing w:after="0"/>
            </w:pPr>
            <w:r/>
            <w:r>
              <w:rPr>
                <w:b w:val="0"/>
                <w:sz w:val="16"/>
              </w:rPr>
              <w:t>Match CVEs, advisories, and exploit reports.</w:t>
            </w:r>
          </w:p>
        </w:tc>
      </w:tr>
      <w:tr>
        <w:tc>
          <w:tcPr>
            <w:tcW w:type="dxa" w:w="3456"/>
            <w:vAlign w:val="top"/>
          </w:tcPr>
          <w:p>
            <w:pPr>
              <w:spacing w:after="0"/>
            </w:pPr>
            <w:r/>
            <w:r>
              <w:rPr>
                <w:b w:val="0"/>
                <w:sz w:val="16"/>
              </w:rPr>
              <w:t>management exposure metadata</w:t>
            </w:r>
          </w:p>
        </w:tc>
        <w:tc>
          <w:tcPr>
            <w:tcW w:type="dxa" w:w="7344"/>
            <w:vAlign w:val="top"/>
          </w:tcPr>
          <w:p>
            <w:pPr>
              <w:spacing w:after="0"/>
            </w:pPr>
            <w:r/>
            <w:r>
              <w:rPr>
                <w:b w:val="0"/>
                <w:sz w:val="16"/>
              </w:rPr>
              <w:t>Future score modifier if management interface is internet-exposed.</w:t>
            </w:r>
          </w:p>
        </w:tc>
      </w:tr>
      <w:tr>
        <w:tc>
          <w:tcPr>
            <w:tcW w:type="dxa" w:w="3456"/>
            <w:vAlign w:val="top"/>
          </w:tcPr>
          <w:p>
            <w:pPr>
              <w:spacing w:after="0"/>
            </w:pPr>
            <w:r/>
            <w:r>
              <w:rPr>
                <w:b w:val="0"/>
                <w:sz w:val="16"/>
              </w:rPr>
              <w:t>device role</w:t>
            </w:r>
          </w:p>
        </w:tc>
        <w:tc>
          <w:tcPr>
            <w:tcW w:type="dxa" w:w="7344"/>
            <w:vAlign w:val="top"/>
          </w:tcPr>
          <w:p>
            <w:pPr>
              <w:spacing w:after="0"/>
            </w:pPr>
            <w:r/>
            <w:r>
              <w:rPr>
                <w:b w:val="0"/>
                <w:sz w:val="16"/>
              </w:rPr>
              <w:t>Prioritize edge/perimeter devices higher than lab-only devices.</w:t>
            </w:r>
          </w:p>
        </w:tc>
      </w:tr>
    </w:tbl>
    <w:p/>
    <w:p>
      <w:pPr>
        <w:pStyle w:val="Heading1"/>
      </w:pPr>
      <w:r>
        <w:t>10. Risk Integration</w:t>
      </w:r>
    </w:p>
    <w:p>
      <w:pPr>
        <w:pStyle w:val="ListBullet"/>
      </w:pPr>
      <w:r>
        <w:t>CTI findings are not automatically policy anomalies.</w:t>
      </w:r>
    </w:p>
    <w:p>
      <w:pPr>
        <w:pStyle w:val="ListBullet"/>
      </w:pPr>
      <w:r>
        <w:t>CTI findings contribute to risk_assessment.</w:t>
      </w:r>
    </w:p>
    <w:p>
      <w:pPr>
        <w:pStyle w:val="ListBullet"/>
      </w:pPr>
      <w:r>
        <w:t>Threat exposure anomaly may be created when a policy directly permits known malicious indicators.</w:t>
      </w:r>
    </w:p>
    <w:p>
      <w:pPr>
        <w:pStyle w:val="ListBullet"/>
      </w:pPr>
      <w:r>
        <w:t>All CTI-driven risk must include provider evidence and confidence.</w:t>
      </w:r>
    </w:p>
    <w:p>
      <w:pPr>
        <w:pStyle w:val="Heading1"/>
      </w:pPr>
      <w:r>
        <w:t>11. Legal and Ethical Constraints</w:t>
      </w:r>
    </w:p>
    <w:p>
      <w:pPr>
        <w:pStyle w:val="ListBullet"/>
      </w:pPr>
      <w:r>
        <w:t>Use authorized APIs and legally accessible intelligence sources.</w:t>
      </w:r>
    </w:p>
    <w:p>
      <w:pPr>
        <w:pStyle w:val="ListBullet"/>
      </w:pPr>
      <w:r>
        <w:t>Do not implement uncontrolled scraping of illicit marketplaces in v1.</w:t>
      </w:r>
    </w:p>
    <w:p>
      <w:pPr>
        <w:pStyle w:val="ListBullet"/>
      </w:pPr>
      <w:r>
        <w:t>Do not store sensitive third-party data beyond provider terms.</w:t>
      </w:r>
    </w:p>
    <w:p>
      <w:pPr>
        <w:pStyle w:val="ListBullet"/>
      </w:pPr>
      <w:r>
        <w:t>Do not send internal private IPs or confidential hostnames to external providers unless explicitly configured.</w:t>
      </w:r>
    </w:p>
    <w:p>
      <w:pPr>
        <w:pStyle w:val="ListBullet"/>
      </w:pPr>
      <w:r>
        <w:t>Separate lab/test indicators from production indicators.</w:t>
      </w:r>
    </w:p>
    <w:p>
      <w:pPr>
        <w:pStyle w:val="Heading1"/>
      </w:pPr>
      <w:r>
        <w:t>12. Rate Limiting and Reliability</w:t>
      </w:r>
    </w:p>
    <w:tbl>
      <w:tblPr>
        <w:tblStyle w:val="LuminaTable"/>
        <w:tblW w:type="auto" w:w="0"/>
        <w:jc w:val="center"/>
        <w:tblLook w:firstColumn="1" w:firstRow="1" w:lastColumn="0" w:lastRow="0" w:noHBand="0" w:noVBand="1" w:val="04A0"/>
      </w:tblPr>
      <w:tblGrid>
        <w:gridCol w:w="5040"/>
        <w:gridCol w:w="5040"/>
      </w:tblGrid>
      <w:tr>
        <w:tc>
          <w:tcPr>
            <w:tcW w:type="dxa" w:w="3312"/>
            <w:shd w:fill="1F4E79"/>
            <w:vAlign w:val="center"/>
          </w:tcPr>
          <w:p>
            <w:pPr>
              <w:spacing w:after="0"/>
            </w:pPr>
            <w:r/>
            <w:r>
              <w:rPr>
                <w:b/>
                <w:color w:val="FFFFFF"/>
                <w:sz w:val="16"/>
              </w:rPr>
              <w:t>Requirement</w:t>
            </w:r>
          </w:p>
        </w:tc>
        <w:tc>
          <w:tcPr>
            <w:tcW w:type="dxa" w:w="7488"/>
            <w:shd w:fill="1F4E79"/>
            <w:vAlign w:val="center"/>
          </w:tcPr>
          <w:p>
            <w:pPr>
              <w:spacing w:after="0"/>
            </w:pPr>
            <w:r/>
            <w:r>
              <w:rPr>
                <w:b/>
                <w:color w:val="FFFFFF"/>
                <w:sz w:val="16"/>
              </w:rPr>
              <w:t>Implementation</w:t>
            </w:r>
          </w:p>
        </w:tc>
      </w:tr>
      <w:tr>
        <w:tc>
          <w:tcPr>
            <w:tcW w:type="dxa" w:w="3312"/>
            <w:vAlign w:val="top"/>
          </w:tcPr>
          <w:p>
            <w:pPr>
              <w:spacing w:after="0"/>
            </w:pPr>
            <w:r/>
            <w:r>
              <w:rPr>
                <w:b w:val="0"/>
                <w:sz w:val="16"/>
              </w:rPr>
              <w:t>Provider rate limits</w:t>
            </w:r>
          </w:p>
        </w:tc>
        <w:tc>
          <w:tcPr>
            <w:tcW w:type="dxa" w:w="7488"/>
            <w:vAlign w:val="top"/>
          </w:tcPr>
          <w:p>
            <w:pPr>
              <w:spacing w:after="0"/>
            </w:pPr>
            <w:r/>
            <w:r>
              <w:rPr>
                <w:b w:val="0"/>
                <w:sz w:val="16"/>
              </w:rPr>
              <w:t>Queue lookups and back off on 429 responses.</w:t>
            </w:r>
          </w:p>
        </w:tc>
      </w:tr>
      <w:tr>
        <w:tc>
          <w:tcPr>
            <w:tcW w:type="dxa" w:w="3312"/>
            <w:vAlign w:val="top"/>
          </w:tcPr>
          <w:p>
            <w:pPr>
              <w:spacing w:after="0"/>
            </w:pPr>
            <w:r/>
            <w:r>
              <w:rPr>
                <w:b w:val="0"/>
                <w:sz w:val="16"/>
              </w:rPr>
              <w:t>Caching</w:t>
            </w:r>
          </w:p>
        </w:tc>
        <w:tc>
          <w:tcPr>
            <w:tcW w:type="dxa" w:w="7488"/>
            <w:vAlign w:val="top"/>
          </w:tcPr>
          <w:p>
            <w:pPr>
              <w:spacing w:after="0"/>
            </w:pPr>
            <w:r/>
            <w:r>
              <w:rPr>
                <w:b w:val="0"/>
                <w:sz w:val="16"/>
              </w:rPr>
              <w:t>Cache indicator results with TTL.</w:t>
            </w:r>
          </w:p>
        </w:tc>
      </w:tr>
      <w:tr>
        <w:tc>
          <w:tcPr>
            <w:tcW w:type="dxa" w:w="3312"/>
            <w:vAlign w:val="top"/>
          </w:tcPr>
          <w:p>
            <w:pPr>
              <w:spacing w:after="0"/>
            </w:pPr>
            <w:r/>
            <w:r>
              <w:rPr>
                <w:b w:val="0"/>
                <w:sz w:val="16"/>
              </w:rPr>
              <w:t>Retries</w:t>
            </w:r>
          </w:p>
        </w:tc>
        <w:tc>
          <w:tcPr>
            <w:tcW w:type="dxa" w:w="7488"/>
            <w:vAlign w:val="top"/>
          </w:tcPr>
          <w:p>
            <w:pPr>
              <w:spacing w:after="0"/>
            </w:pPr>
            <w:r/>
            <w:r>
              <w:rPr>
                <w:b w:val="0"/>
                <w:sz w:val="16"/>
              </w:rPr>
              <w:t>Retry transient failures with exponential backoff.</w:t>
            </w:r>
          </w:p>
        </w:tc>
      </w:tr>
      <w:tr>
        <w:tc>
          <w:tcPr>
            <w:tcW w:type="dxa" w:w="3312"/>
            <w:vAlign w:val="top"/>
          </w:tcPr>
          <w:p>
            <w:pPr>
              <w:spacing w:after="0"/>
            </w:pPr>
            <w:r/>
            <w:r>
              <w:rPr>
                <w:b w:val="0"/>
                <w:sz w:val="16"/>
              </w:rPr>
              <w:t>Provider errors</w:t>
            </w:r>
          </w:p>
        </w:tc>
        <w:tc>
          <w:tcPr>
            <w:tcW w:type="dxa" w:w="7488"/>
            <w:vAlign w:val="top"/>
          </w:tcPr>
          <w:p>
            <w:pPr>
              <w:spacing w:after="0"/>
            </w:pPr>
            <w:r/>
            <w:r>
              <w:rPr>
                <w:b w:val="0"/>
                <w:sz w:val="16"/>
              </w:rPr>
              <w:t>Record partial_success instead of failing entire CTI run.</w:t>
            </w:r>
          </w:p>
        </w:tc>
      </w:tr>
      <w:tr>
        <w:tc>
          <w:tcPr>
            <w:tcW w:type="dxa" w:w="3312"/>
            <w:vAlign w:val="top"/>
          </w:tcPr>
          <w:p>
            <w:pPr>
              <w:spacing w:after="0"/>
            </w:pPr>
            <w:r/>
            <w:r>
              <w:rPr>
                <w:b w:val="0"/>
                <w:sz w:val="16"/>
              </w:rPr>
              <w:t>Evidence freshness</w:t>
            </w:r>
          </w:p>
        </w:tc>
        <w:tc>
          <w:tcPr>
            <w:tcW w:type="dxa" w:w="7488"/>
            <w:vAlign w:val="top"/>
          </w:tcPr>
          <w:p>
            <w:pPr>
              <w:spacing w:after="0"/>
            </w:pPr>
            <w:r/>
            <w:r>
              <w:rPr>
                <w:b w:val="0"/>
                <w:sz w:val="16"/>
              </w:rPr>
              <w:t>Store last_seen and observation timestamp.</w:t>
            </w:r>
          </w:p>
        </w:tc>
      </w:tr>
    </w:tbl>
    <w:p/>
    <w:p>
      <w:pPr>
        <w:pStyle w:val="Heading1"/>
      </w:pPr>
      <w:r>
        <w:t>13. Reporting Output</w:t>
      </w:r>
    </w:p>
    <w:p>
      <w:pPr>
        <w:pStyle w:val="ListBullet"/>
      </w:pPr>
      <w:r>
        <w:t>Threat Center must show indicators, providers, confidence, affected rules, and risk impact.</w:t>
      </w:r>
    </w:p>
    <w:p>
      <w:pPr>
        <w:pStyle w:val="ListBullet"/>
      </w:pPr>
      <w:r>
        <w:t>SOC report must summarize evidence and recommended manual review steps.</w:t>
      </w:r>
    </w:p>
    <w:p>
      <w:pPr>
        <w:pStyle w:val="ListBullet"/>
      </w:pPr>
      <w:r>
        <w:t>Reports must separate confirmed provider evidence from LLM-generated explanation.</w:t>
      </w:r>
    </w:p>
    <w:p>
      <w:pPr>
        <w:pStyle w:val="ListBullet"/>
      </w:pPr>
      <w:r>
        <w:t>Every CTI observation must be traceable to a provider and lookup time.</w:t>
      </w:r>
    </w:p>
    <w:p>
      <w:pPr>
        <w:pStyle w:val="Heading1"/>
      </w:pPr>
      <w:r>
        <w:t>14. Developer Checklist</w:t>
      </w:r>
    </w:p>
    <w:p>
      <w:pPr>
        <w:pStyle w:val="ListBullet"/>
      </w:pPr>
      <w:r>
        <w:t>Implement CTI provider interface and at least one provider adapter.</w:t>
      </w:r>
    </w:p>
    <w:p>
      <w:pPr>
        <w:pStyle w:val="ListBullet"/>
      </w:pPr>
      <w:r>
        <w:t>Implement indicator extraction from normalized objects and device firmware.</w:t>
      </w:r>
    </w:p>
    <w:p>
      <w:pPr>
        <w:pStyle w:val="ListBullet"/>
      </w:pPr>
      <w:r>
        <w:t>Implement cti_indicator and cti_observation tables.</w:t>
      </w:r>
    </w:p>
    <w:p>
      <w:pPr>
        <w:pStyle w:val="ListBullet"/>
      </w:pPr>
      <w:r>
        <w:t>Implement provider response normalization.</w:t>
      </w:r>
    </w:p>
    <w:p>
      <w:pPr>
        <w:pStyle w:val="ListBullet"/>
      </w:pPr>
      <w:r>
        <w:t>Connect CTI correlations to risk engine.</w:t>
      </w:r>
    </w:p>
    <w:p>
      <w:pPr>
        <w:pStyle w:val="ListBullet"/>
      </w:pPr>
      <w:r>
        <w:t>Add LLM query-generation step with evidence-based report output.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Engineering Draft | Prepared for LuminaFPM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LuminaFPM Master Specification Package | Volume 9 - Threat Intelligence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eastAsia="Consolas"/>
      <w:sz w:val="16"/>
    </w:rPr>
  </w:style>
  <w:style w:type="table" w:customStyle="1" w:styleId="LuminaTable">
    <w:name w:val="Lumina 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