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6E992" w14:textId="77777777" w:rsidR="00852587" w:rsidRDefault="00000000">
      <w:pPr>
        <w:pBdr>
          <w:top w:val="nil"/>
          <w:left w:val="nil"/>
          <w:bottom w:val="nil"/>
          <w:right w:val="nil"/>
          <w:between w:val="nil"/>
        </w:pBdr>
        <w:spacing w:line="276" w:lineRule="auto"/>
      </w:pPr>
      <w:r>
        <w:pict w14:anchorId="651B7760">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_x0000_s1026" type="#_x0000_t98" style="position:absolute;margin-left:0;margin-top:0;width:50pt;height:50pt;z-index:251657728;visibility:hidden">
            <o:lock v:ext="edit" selection="t"/>
          </v:shape>
        </w:pict>
      </w:r>
    </w:p>
    <w:p w14:paraId="778B736E" w14:textId="77777777" w:rsidR="00852587" w:rsidRDefault="004C4A96">
      <w:pPr>
        <w:tabs>
          <w:tab w:val="left" w:pos="6473"/>
        </w:tabs>
        <w:spacing w:after="240" w:line="276" w:lineRule="auto"/>
        <w:jc w:val="center"/>
        <w:rPr>
          <w:b/>
          <w:sz w:val="42"/>
          <w:szCs w:val="42"/>
        </w:rPr>
      </w:pPr>
      <w:r>
        <w:rPr>
          <w:b/>
          <w:sz w:val="42"/>
          <w:szCs w:val="42"/>
        </w:rPr>
        <w:t>Dakar Institute of Technology</w:t>
      </w:r>
    </w:p>
    <w:p w14:paraId="3BD84AA8" w14:textId="77777777" w:rsidR="00852587" w:rsidRDefault="004C4A96">
      <w:pPr>
        <w:tabs>
          <w:tab w:val="left" w:pos="6473"/>
        </w:tabs>
        <w:spacing w:before="240" w:after="240" w:line="276" w:lineRule="auto"/>
        <w:jc w:val="center"/>
        <w:rPr>
          <w:b/>
          <w:sz w:val="32"/>
          <w:szCs w:val="32"/>
        </w:rPr>
      </w:pPr>
      <w:r>
        <w:rPr>
          <w:b/>
          <w:noProof/>
          <w:sz w:val="32"/>
          <w:szCs w:val="32"/>
          <w:lang w:val="en-US"/>
        </w:rPr>
        <w:drawing>
          <wp:inline distT="114300" distB="114300" distL="114300" distR="114300" wp14:anchorId="427E4AE1" wp14:editId="020B5F93">
            <wp:extent cx="2343150" cy="998282"/>
            <wp:effectExtent l="0" t="0" r="0" b="0"/>
            <wp:docPr id="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343150" cy="998282"/>
                    </a:xfrm>
                    <a:prstGeom prst="rect">
                      <a:avLst/>
                    </a:prstGeom>
                    <a:ln/>
                  </pic:spPr>
                </pic:pic>
              </a:graphicData>
            </a:graphic>
          </wp:inline>
        </w:drawing>
      </w:r>
    </w:p>
    <w:p w14:paraId="73B4E712" w14:textId="786152C9" w:rsidR="00852587" w:rsidRDefault="00867AFC">
      <w:pPr>
        <w:spacing w:before="240" w:after="240" w:line="276" w:lineRule="auto"/>
        <w:jc w:val="center"/>
        <w:rPr>
          <w:b/>
          <w:sz w:val="28"/>
          <w:szCs w:val="28"/>
        </w:rPr>
      </w:pPr>
      <w:r w:rsidRPr="00867AFC">
        <w:rPr>
          <w:b/>
          <w:sz w:val="28"/>
          <w:szCs w:val="28"/>
        </w:rPr>
        <w:t>AUTORISATION D'EXTENSION</w:t>
      </w:r>
      <w:r>
        <w:rPr>
          <w:b/>
          <w:sz w:val="28"/>
          <w:szCs w:val="28"/>
        </w:rPr>
        <w:t xml:space="preserve"> </w:t>
      </w:r>
      <w:r w:rsidR="004C4A96">
        <w:rPr>
          <w:b/>
          <w:sz w:val="28"/>
          <w:szCs w:val="28"/>
        </w:rPr>
        <w:t>n°</w:t>
      </w:r>
      <w:r>
        <w:rPr>
          <w:b/>
          <w:sz w:val="28"/>
          <w:szCs w:val="28"/>
        </w:rPr>
        <w:t xml:space="preserve"> </w:t>
      </w:r>
      <w:r w:rsidRPr="00867AFC">
        <w:rPr>
          <w:b/>
          <w:sz w:val="28"/>
          <w:szCs w:val="28"/>
        </w:rPr>
        <w:t>3386 Ext.10 /2024</w:t>
      </w:r>
    </w:p>
    <w:p w14:paraId="7E1187C9" w14:textId="77777777" w:rsidR="00852587" w:rsidRDefault="004C4A96">
      <w:pPr>
        <w:tabs>
          <w:tab w:val="left" w:pos="6473"/>
        </w:tabs>
        <w:spacing w:before="240" w:after="240" w:line="276" w:lineRule="auto"/>
        <w:jc w:val="center"/>
        <w:rPr>
          <w:b/>
          <w:sz w:val="28"/>
          <w:szCs w:val="28"/>
        </w:rPr>
      </w:pPr>
      <w:r>
        <w:rPr>
          <w:b/>
          <w:sz w:val="28"/>
          <w:szCs w:val="28"/>
        </w:rPr>
        <w:t>Domaine : Sciences et Technologies</w:t>
      </w:r>
    </w:p>
    <w:p w14:paraId="019319BE" w14:textId="1FB72189" w:rsidR="00852587" w:rsidRDefault="004C4A96">
      <w:pPr>
        <w:tabs>
          <w:tab w:val="left" w:pos="6473"/>
        </w:tabs>
        <w:spacing w:before="240" w:after="240" w:line="276" w:lineRule="auto"/>
        <w:jc w:val="center"/>
        <w:rPr>
          <w:b/>
          <w:sz w:val="28"/>
          <w:szCs w:val="28"/>
        </w:rPr>
      </w:pPr>
      <w:r>
        <w:rPr>
          <w:b/>
          <w:sz w:val="28"/>
          <w:szCs w:val="28"/>
        </w:rPr>
        <w:t>Département :  Informatique</w:t>
      </w:r>
      <w:r w:rsidR="008C0E33">
        <w:rPr>
          <w:b/>
          <w:sz w:val="28"/>
          <w:szCs w:val="28"/>
        </w:rPr>
        <w:t xml:space="preserve"> appliquée</w:t>
      </w:r>
    </w:p>
    <w:p w14:paraId="034F3AE9" w14:textId="6DFF6086" w:rsidR="00852587" w:rsidRDefault="004C4A96">
      <w:pPr>
        <w:tabs>
          <w:tab w:val="left" w:pos="6473"/>
        </w:tabs>
        <w:spacing w:before="240" w:after="240" w:line="276" w:lineRule="auto"/>
        <w:jc w:val="center"/>
        <w:rPr>
          <w:b/>
          <w:sz w:val="28"/>
          <w:szCs w:val="28"/>
        </w:rPr>
      </w:pPr>
      <w:r>
        <w:rPr>
          <w:b/>
          <w:sz w:val="28"/>
          <w:szCs w:val="28"/>
        </w:rPr>
        <w:t xml:space="preserve">Spécialité : </w:t>
      </w:r>
      <w:r w:rsidR="008C0E33">
        <w:rPr>
          <w:b/>
          <w:sz w:val="28"/>
          <w:szCs w:val="28"/>
        </w:rPr>
        <w:t>Finance Digitale</w:t>
      </w:r>
    </w:p>
    <w:p w14:paraId="1193A88F" w14:textId="77777777" w:rsidR="00852587" w:rsidRDefault="004C4A96">
      <w:pPr>
        <w:tabs>
          <w:tab w:val="left" w:pos="6473"/>
        </w:tabs>
        <w:spacing w:before="240" w:line="276" w:lineRule="auto"/>
        <w:jc w:val="center"/>
        <w:rPr>
          <w:b/>
          <w:sz w:val="32"/>
          <w:szCs w:val="32"/>
        </w:rPr>
      </w:pPr>
      <w:r>
        <w:rPr>
          <w:b/>
          <w:sz w:val="32"/>
          <w:szCs w:val="32"/>
        </w:rPr>
        <w:t>MÉMOIRE</w:t>
      </w:r>
    </w:p>
    <w:p w14:paraId="68B61F7E" w14:textId="77777777" w:rsidR="00852587" w:rsidRDefault="004C4A96">
      <w:pPr>
        <w:tabs>
          <w:tab w:val="left" w:pos="6473"/>
        </w:tabs>
        <w:spacing w:before="240" w:line="276" w:lineRule="auto"/>
        <w:jc w:val="center"/>
        <w:rPr>
          <w:sz w:val="32"/>
          <w:szCs w:val="32"/>
        </w:rPr>
      </w:pPr>
      <w:r>
        <w:rPr>
          <w:sz w:val="32"/>
          <w:szCs w:val="32"/>
        </w:rPr>
        <w:t>Présenté par</w:t>
      </w:r>
    </w:p>
    <w:p w14:paraId="2DE31667" w14:textId="77777777" w:rsidR="00852587" w:rsidRDefault="004C4A96">
      <w:pPr>
        <w:tabs>
          <w:tab w:val="left" w:pos="6473"/>
        </w:tabs>
        <w:spacing w:before="240" w:line="276" w:lineRule="auto"/>
        <w:jc w:val="center"/>
        <w:rPr>
          <w:b/>
          <w:sz w:val="32"/>
          <w:szCs w:val="32"/>
        </w:rPr>
      </w:pPr>
      <w:r>
        <w:rPr>
          <w:b/>
          <w:sz w:val="32"/>
          <w:szCs w:val="32"/>
        </w:rPr>
        <w:t>………………………………………</w:t>
      </w:r>
    </w:p>
    <w:p w14:paraId="7BDF45AE" w14:textId="77777777" w:rsidR="00852587" w:rsidRDefault="004C4A96">
      <w:pPr>
        <w:tabs>
          <w:tab w:val="left" w:pos="6473"/>
        </w:tabs>
        <w:spacing w:before="240" w:line="276" w:lineRule="auto"/>
        <w:jc w:val="center"/>
        <w:rPr>
          <w:sz w:val="32"/>
          <w:szCs w:val="32"/>
        </w:rPr>
      </w:pPr>
      <w:r>
        <w:rPr>
          <w:sz w:val="32"/>
          <w:szCs w:val="32"/>
        </w:rPr>
        <w:t>Pour l’obtention du diplôme de</w:t>
      </w:r>
    </w:p>
    <w:p w14:paraId="3F81235D" w14:textId="77777777" w:rsidR="00852587" w:rsidRDefault="004C4A96">
      <w:pPr>
        <w:tabs>
          <w:tab w:val="left" w:pos="6473"/>
        </w:tabs>
        <w:spacing w:before="240" w:line="276" w:lineRule="auto"/>
        <w:jc w:val="center"/>
        <w:rPr>
          <w:b/>
          <w:sz w:val="32"/>
          <w:szCs w:val="32"/>
        </w:rPr>
      </w:pPr>
      <w:r>
        <w:rPr>
          <w:b/>
          <w:sz w:val="32"/>
          <w:szCs w:val="32"/>
        </w:rPr>
        <w:t>Master en Informatique (Option : Intelligence Artificielle)</w:t>
      </w:r>
    </w:p>
    <w:p w14:paraId="58368A10" w14:textId="77777777" w:rsidR="00852587" w:rsidRDefault="004C4A96">
      <w:pPr>
        <w:tabs>
          <w:tab w:val="left" w:pos="6473"/>
        </w:tabs>
        <w:spacing w:before="240" w:line="276" w:lineRule="auto"/>
        <w:jc w:val="center"/>
        <w:rPr>
          <w:b/>
          <w:sz w:val="44"/>
          <w:szCs w:val="44"/>
        </w:rPr>
      </w:pPr>
      <w:r>
        <w:rPr>
          <w:b/>
          <w:sz w:val="44"/>
          <w:szCs w:val="44"/>
        </w:rPr>
        <w:t>SUJET :</w:t>
      </w:r>
    </w:p>
    <w:p w14:paraId="3F5B7B81" w14:textId="77777777" w:rsidR="00852587" w:rsidRDefault="004C4A96">
      <w:pPr>
        <w:tabs>
          <w:tab w:val="left" w:pos="6473"/>
        </w:tabs>
        <w:spacing w:before="240" w:line="276" w:lineRule="auto"/>
        <w:jc w:val="center"/>
        <w:rPr>
          <w:b/>
          <w:sz w:val="44"/>
          <w:szCs w:val="44"/>
        </w:rPr>
      </w:pPr>
      <w:r>
        <w:rPr>
          <w:b/>
          <w:sz w:val="44"/>
          <w:szCs w:val="44"/>
        </w:rPr>
        <w:t>………………………………………………..</w:t>
      </w:r>
    </w:p>
    <w:p w14:paraId="339DC8B9" w14:textId="77777777" w:rsidR="00852587" w:rsidRDefault="004C4A96">
      <w:pPr>
        <w:tabs>
          <w:tab w:val="left" w:pos="6473"/>
        </w:tabs>
        <w:spacing w:before="240" w:after="240" w:line="276" w:lineRule="auto"/>
        <w:jc w:val="center"/>
        <w:rPr>
          <w:b/>
          <w:color w:val="FF0000"/>
          <w:sz w:val="16"/>
          <w:szCs w:val="16"/>
        </w:rPr>
      </w:pPr>
      <w:r>
        <w:rPr>
          <w:b/>
          <w:sz w:val="24"/>
          <w:szCs w:val="24"/>
        </w:rPr>
        <w:t>Soutenu à……… le .../.../... devant le jury composé de :</w:t>
      </w:r>
    </w:p>
    <w:tbl>
      <w:tblPr>
        <w:tblStyle w:val="a0"/>
        <w:tblW w:w="91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200"/>
        <w:gridCol w:w="3240"/>
        <w:gridCol w:w="1665"/>
      </w:tblGrid>
      <w:tr w:rsidR="00852587" w14:paraId="78FE2B54" w14:textId="77777777">
        <w:trPr>
          <w:trHeight w:val="390"/>
        </w:trPr>
        <w:tc>
          <w:tcPr>
            <w:tcW w:w="42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72A3846" w14:textId="77777777" w:rsidR="00852587" w:rsidRDefault="004C4A96">
            <w:pPr>
              <w:spacing w:line="276" w:lineRule="auto"/>
              <w:jc w:val="center"/>
              <w:rPr>
                <w:b/>
                <w:sz w:val="16"/>
                <w:szCs w:val="16"/>
              </w:rPr>
            </w:pPr>
            <w:r>
              <w:rPr>
                <w:b/>
                <w:sz w:val="16"/>
                <w:szCs w:val="16"/>
              </w:rPr>
              <w:t>Prénom &amp; Nom</w:t>
            </w:r>
          </w:p>
        </w:tc>
        <w:tc>
          <w:tcPr>
            <w:tcW w:w="3240" w:type="dxa"/>
            <w:tcBorders>
              <w:top w:val="single" w:sz="8" w:space="0" w:color="000000"/>
              <w:bottom w:val="single" w:sz="8" w:space="0" w:color="000000"/>
              <w:right w:val="single" w:sz="8" w:space="0" w:color="000000"/>
            </w:tcBorders>
            <w:tcMar>
              <w:top w:w="0" w:type="dxa"/>
              <w:left w:w="100" w:type="dxa"/>
              <w:bottom w:w="0" w:type="dxa"/>
              <w:right w:w="100" w:type="dxa"/>
            </w:tcMar>
          </w:tcPr>
          <w:p w14:paraId="39BDB1D1" w14:textId="77777777" w:rsidR="00852587" w:rsidRDefault="004C4A96">
            <w:pPr>
              <w:spacing w:line="276" w:lineRule="auto"/>
              <w:jc w:val="center"/>
              <w:rPr>
                <w:b/>
                <w:sz w:val="16"/>
                <w:szCs w:val="16"/>
              </w:rPr>
            </w:pPr>
            <w:r>
              <w:rPr>
                <w:b/>
                <w:sz w:val="16"/>
                <w:szCs w:val="16"/>
              </w:rPr>
              <w:t>Grade / Titre</w:t>
            </w:r>
          </w:p>
        </w:tc>
        <w:tc>
          <w:tcPr>
            <w:tcW w:w="1665" w:type="dxa"/>
            <w:tcBorders>
              <w:top w:val="single" w:sz="8" w:space="0" w:color="000000"/>
              <w:bottom w:val="single" w:sz="8" w:space="0" w:color="000000"/>
              <w:right w:val="single" w:sz="8" w:space="0" w:color="000000"/>
            </w:tcBorders>
            <w:tcMar>
              <w:top w:w="0" w:type="dxa"/>
              <w:left w:w="100" w:type="dxa"/>
              <w:bottom w:w="0" w:type="dxa"/>
              <w:right w:w="100" w:type="dxa"/>
            </w:tcMar>
          </w:tcPr>
          <w:p w14:paraId="3D5B7757" w14:textId="77777777" w:rsidR="00852587" w:rsidRDefault="004C4A96">
            <w:pPr>
              <w:spacing w:line="276" w:lineRule="auto"/>
              <w:jc w:val="center"/>
              <w:rPr>
                <w:b/>
                <w:sz w:val="16"/>
                <w:szCs w:val="16"/>
              </w:rPr>
            </w:pPr>
            <w:r>
              <w:rPr>
                <w:b/>
                <w:sz w:val="16"/>
                <w:szCs w:val="16"/>
              </w:rPr>
              <w:t>Structure de rattachement</w:t>
            </w:r>
          </w:p>
        </w:tc>
      </w:tr>
      <w:tr w:rsidR="00852587" w14:paraId="2DE88F2B" w14:textId="77777777">
        <w:trPr>
          <w:trHeight w:val="390"/>
        </w:trPr>
        <w:tc>
          <w:tcPr>
            <w:tcW w:w="42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9D136D7" w14:textId="77777777" w:rsidR="00852587" w:rsidRDefault="004C4A96">
            <w:pPr>
              <w:spacing w:line="276" w:lineRule="auto"/>
              <w:rPr>
                <w:b/>
                <w:i/>
                <w:sz w:val="16"/>
                <w:szCs w:val="16"/>
              </w:rPr>
            </w:pPr>
            <w:r>
              <w:rPr>
                <w:b/>
                <w:sz w:val="16"/>
                <w:szCs w:val="16"/>
              </w:rPr>
              <w:t xml:space="preserve">Président : </w:t>
            </w:r>
            <w:r>
              <w:rPr>
                <w:b/>
                <w:i/>
                <w:sz w:val="16"/>
                <w:szCs w:val="16"/>
              </w:rPr>
              <w:t xml:space="preserve"> Prénom &amp; Nom</w:t>
            </w:r>
          </w:p>
        </w:tc>
        <w:tc>
          <w:tcPr>
            <w:tcW w:w="3240" w:type="dxa"/>
            <w:tcBorders>
              <w:bottom w:val="single" w:sz="8" w:space="0" w:color="000000"/>
              <w:right w:val="single" w:sz="8" w:space="0" w:color="000000"/>
            </w:tcBorders>
            <w:tcMar>
              <w:top w:w="0" w:type="dxa"/>
              <w:left w:w="100" w:type="dxa"/>
              <w:bottom w:w="0" w:type="dxa"/>
              <w:right w:w="100" w:type="dxa"/>
            </w:tcMar>
          </w:tcPr>
          <w:p w14:paraId="7A31C3B9" w14:textId="77777777" w:rsidR="00852587" w:rsidRDefault="00852587">
            <w:pPr>
              <w:spacing w:line="276" w:lineRule="auto"/>
              <w:jc w:val="center"/>
              <w:rPr>
                <w:b/>
                <w:sz w:val="16"/>
                <w:szCs w:val="16"/>
              </w:rPr>
            </w:pPr>
          </w:p>
        </w:tc>
        <w:tc>
          <w:tcPr>
            <w:tcW w:w="1665" w:type="dxa"/>
            <w:tcBorders>
              <w:bottom w:val="single" w:sz="8" w:space="0" w:color="000000"/>
              <w:right w:val="single" w:sz="8" w:space="0" w:color="000000"/>
            </w:tcBorders>
            <w:tcMar>
              <w:top w:w="0" w:type="dxa"/>
              <w:left w:w="100" w:type="dxa"/>
              <w:bottom w:w="0" w:type="dxa"/>
              <w:right w:w="100" w:type="dxa"/>
            </w:tcMar>
          </w:tcPr>
          <w:p w14:paraId="622E8671" w14:textId="77777777" w:rsidR="00852587" w:rsidRDefault="00852587">
            <w:pPr>
              <w:spacing w:line="276" w:lineRule="auto"/>
              <w:jc w:val="center"/>
              <w:rPr>
                <w:b/>
                <w:sz w:val="16"/>
                <w:szCs w:val="16"/>
              </w:rPr>
            </w:pPr>
          </w:p>
        </w:tc>
      </w:tr>
      <w:tr w:rsidR="00852587" w14:paraId="3503AE65" w14:textId="77777777">
        <w:trPr>
          <w:trHeight w:val="390"/>
        </w:trPr>
        <w:tc>
          <w:tcPr>
            <w:tcW w:w="42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DC93099" w14:textId="77777777" w:rsidR="00852587" w:rsidRDefault="004C4A96">
            <w:pPr>
              <w:spacing w:line="276" w:lineRule="auto"/>
              <w:rPr>
                <w:b/>
                <w:i/>
                <w:sz w:val="16"/>
                <w:szCs w:val="16"/>
              </w:rPr>
            </w:pPr>
            <w:r>
              <w:rPr>
                <w:b/>
                <w:sz w:val="16"/>
                <w:szCs w:val="16"/>
              </w:rPr>
              <w:t xml:space="preserve">Superviseur  : </w:t>
            </w:r>
            <w:r>
              <w:rPr>
                <w:b/>
                <w:i/>
                <w:sz w:val="16"/>
                <w:szCs w:val="16"/>
              </w:rPr>
              <w:t>Prénom &amp; Nom</w:t>
            </w:r>
          </w:p>
        </w:tc>
        <w:tc>
          <w:tcPr>
            <w:tcW w:w="3240" w:type="dxa"/>
            <w:tcBorders>
              <w:bottom w:val="single" w:sz="8" w:space="0" w:color="000000"/>
              <w:right w:val="single" w:sz="8" w:space="0" w:color="000000"/>
            </w:tcBorders>
            <w:tcMar>
              <w:top w:w="0" w:type="dxa"/>
              <w:left w:w="100" w:type="dxa"/>
              <w:bottom w:w="0" w:type="dxa"/>
              <w:right w:w="100" w:type="dxa"/>
            </w:tcMar>
          </w:tcPr>
          <w:p w14:paraId="3A5A3E77" w14:textId="77777777" w:rsidR="00852587" w:rsidRDefault="00852587">
            <w:pPr>
              <w:spacing w:line="276" w:lineRule="auto"/>
              <w:jc w:val="center"/>
              <w:rPr>
                <w:b/>
                <w:sz w:val="16"/>
                <w:szCs w:val="16"/>
              </w:rPr>
            </w:pPr>
          </w:p>
        </w:tc>
        <w:tc>
          <w:tcPr>
            <w:tcW w:w="1665" w:type="dxa"/>
            <w:tcBorders>
              <w:bottom w:val="single" w:sz="8" w:space="0" w:color="000000"/>
              <w:right w:val="single" w:sz="8" w:space="0" w:color="000000"/>
            </w:tcBorders>
            <w:tcMar>
              <w:top w:w="0" w:type="dxa"/>
              <w:left w:w="100" w:type="dxa"/>
              <w:bottom w:w="0" w:type="dxa"/>
              <w:right w:w="100" w:type="dxa"/>
            </w:tcMar>
          </w:tcPr>
          <w:p w14:paraId="331B2FC0" w14:textId="77777777" w:rsidR="00852587" w:rsidRDefault="00852587">
            <w:pPr>
              <w:spacing w:line="276" w:lineRule="auto"/>
              <w:jc w:val="center"/>
              <w:rPr>
                <w:b/>
                <w:sz w:val="16"/>
                <w:szCs w:val="16"/>
              </w:rPr>
            </w:pPr>
          </w:p>
        </w:tc>
      </w:tr>
      <w:tr w:rsidR="00852587" w14:paraId="3864C050" w14:textId="77777777">
        <w:trPr>
          <w:trHeight w:val="390"/>
        </w:trPr>
        <w:tc>
          <w:tcPr>
            <w:tcW w:w="42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94623C4" w14:textId="77777777" w:rsidR="00852587" w:rsidRDefault="004C4A96">
            <w:pPr>
              <w:spacing w:line="276" w:lineRule="auto"/>
              <w:rPr>
                <w:b/>
                <w:i/>
                <w:sz w:val="16"/>
                <w:szCs w:val="16"/>
              </w:rPr>
            </w:pPr>
            <w:r>
              <w:rPr>
                <w:b/>
                <w:sz w:val="16"/>
                <w:szCs w:val="16"/>
              </w:rPr>
              <w:t xml:space="preserve">Co-encadreur : </w:t>
            </w:r>
            <w:r>
              <w:rPr>
                <w:b/>
                <w:i/>
                <w:sz w:val="16"/>
                <w:szCs w:val="16"/>
              </w:rPr>
              <w:t>Prénom &amp; Nom</w:t>
            </w:r>
          </w:p>
        </w:tc>
        <w:tc>
          <w:tcPr>
            <w:tcW w:w="3240" w:type="dxa"/>
            <w:tcBorders>
              <w:bottom w:val="single" w:sz="8" w:space="0" w:color="000000"/>
              <w:right w:val="single" w:sz="8" w:space="0" w:color="000000"/>
            </w:tcBorders>
            <w:tcMar>
              <w:top w:w="0" w:type="dxa"/>
              <w:left w:w="100" w:type="dxa"/>
              <w:bottom w:w="0" w:type="dxa"/>
              <w:right w:w="100" w:type="dxa"/>
            </w:tcMar>
          </w:tcPr>
          <w:p w14:paraId="42D7168E" w14:textId="77777777" w:rsidR="00852587" w:rsidRDefault="00852587">
            <w:pPr>
              <w:spacing w:line="276" w:lineRule="auto"/>
              <w:jc w:val="center"/>
              <w:rPr>
                <w:b/>
                <w:sz w:val="16"/>
                <w:szCs w:val="16"/>
              </w:rPr>
            </w:pPr>
          </w:p>
        </w:tc>
        <w:tc>
          <w:tcPr>
            <w:tcW w:w="1665" w:type="dxa"/>
            <w:tcBorders>
              <w:bottom w:val="single" w:sz="8" w:space="0" w:color="000000"/>
              <w:right w:val="single" w:sz="8" w:space="0" w:color="000000"/>
            </w:tcBorders>
            <w:tcMar>
              <w:top w:w="0" w:type="dxa"/>
              <w:left w:w="100" w:type="dxa"/>
              <w:bottom w:w="0" w:type="dxa"/>
              <w:right w:w="100" w:type="dxa"/>
            </w:tcMar>
          </w:tcPr>
          <w:p w14:paraId="50892532" w14:textId="77777777" w:rsidR="00852587" w:rsidRDefault="00852587">
            <w:pPr>
              <w:spacing w:line="276" w:lineRule="auto"/>
              <w:jc w:val="center"/>
              <w:rPr>
                <w:b/>
                <w:sz w:val="16"/>
                <w:szCs w:val="16"/>
              </w:rPr>
            </w:pPr>
          </w:p>
        </w:tc>
      </w:tr>
      <w:tr w:rsidR="00852587" w14:paraId="6F3A38B5" w14:textId="77777777">
        <w:trPr>
          <w:trHeight w:val="390"/>
        </w:trPr>
        <w:tc>
          <w:tcPr>
            <w:tcW w:w="42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C328C0A" w14:textId="77777777" w:rsidR="00852587" w:rsidRDefault="004C4A96">
            <w:pPr>
              <w:spacing w:line="276" w:lineRule="auto"/>
              <w:rPr>
                <w:b/>
                <w:i/>
                <w:sz w:val="16"/>
                <w:szCs w:val="16"/>
              </w:rPr>
            </w:pPr>
            <w:r>
              <w:rPr>
                <w:b/>
                <w:sz w:val="16"/>
                <w:szCs w:val="16"/>
              </w:rPr>
              <w:t xml:space="preserve">Examinateur 1 : </w:t>
            </w:r>
            <w:r>
              <w:rPr>
                <w:b/>
                <w:i/>
                <w:sz w:val="16"/>
                <w:szCs w:val="16"/>
              </w:rPr>
              <w:t>Prénom &amp; Nom</w:t>
            </w:r>
          </w:p>
        </w:tc>
        <w:tc>
          <w:tcPr>
            <w:tcW w:w="3240" w:type="dxa"/>
            <w:tcBorders>
              <w:bottom w:val="single" w:sz="8" w:space="0" w:color="000000"/>
              <w:right w:val="single" w:sz="8" w:space="0" w:color="000000"/>
            </w:tcBorders>
            <w:tcMar>
              <w:top w:w="0" w:type="dxa"/>
              <w:left w:w="100" w:type="dxa"/>
              <w:bottom w:w="0" w:type="dxa"/>
              <w:right w:w="100" w:type="dxa"/>
            </w:tcMar>
          </w:tcPr>
          <w:p w14:paraId="0A332058" w14:textId="77777777" w:rsidR="00852587" w:rsidRDefault="00852587">
            <w:pPr>
              <w:spacing w:line="276" w:lineRule="auto"/>
              <w:jc w:val="center"/>
              <w:rPr>
                <w:b/>
                <w:sz w:val="16"/>
                <w:szCs w:val="16"/>
              </w:rPr>
            </w:pPr>
          </w:p>
        </w:tc>
        <w:tc>
          <w:tcPr>
            <w:tcW w:w="1665" w:type="dxa"/>
            <w:tcBorders>
              <w:bottom w:val="single" w:sz="8" w:space="0" w:color="000000"/>
              <w:right w:val="single" w:sz="8" w:space="0" w:color="000000"/>
            </w:tcBorders>
            <w:tcMar>
              <w:top w:w="0" w:type="dxa"/>
              <w:left w:w="100" w:type="dxa"/>
              <w:bottom w:w="0" w:type="dxa"/>
              <w:right w:w="100" w:type="dxa"/>
            </w:tcMar>
          </w:tcPr>
          <w:p w14:paraId="666C9919" w14:textId="77777777" w:rsidR="00852587" w:rsidRDefault="00852587">
            <w:pPr>
              <w:spacing w:line="276" w:lineRule="auto"/>
              <w:jc w:val="center"/>
              <w:rPr>
                <w:b/>
                <w:sz w:val="16"/>
                <w:szCs w:val="16"/>
              </w:rPr>
            </w:pPr>
          </w:p>
        </w:tc>
      </w:tr>
      <w:tr w:rsidR="00852587" w14:paraId="41D3B949" w14:textId="77777777">
        <w:trPr>
          <w:trHeight w:val="390"/>
        </w:trPr>
        <w:tc>
          <w:tcPr>
            <w:tcW w:w="42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79E75C9" w14:textId="77777777" w:rsidR="00852587" w:rsidRDefault="004C4A96">
            <w:pPr>
              <w:spacing w:line="276" w:lineRule="auto"/>
              <w:rPr>
                <w:b/>
                <w:i/>
                <w:sz w:val="16"/>
                <w:szCs w:val="16"/>
              </w:rPr>
            </w:pPr>
            <w:r>
              <w:rPr>
                <w:b/>
                <w:sz w:val="16"/>
                <w:szCs w:val="16"/>
              </w:rPr>
              <w:t xml:space="preserve">Examinateur 2 : </w:t>
            </w:r>
            <w:r>
              <w:rPr>
                <w:b/>
                <w:i/>
                <w:sz w:val="16"/>
                <w:szCs w:val="16"/>
              </w:rPr>
              <w:t>Prénom &amp; Nom</w:t>
            </w:r>
          </w:p>
        </w:tc>
        <w:tc>
          <w:tcPr>
            <w:tcW w:w="3240" w:type="dxa"/>
            <w:tcBorders>
              <w:bottom w:val="single" w:sz="8" w:space="0" w:color="000000"/>
              <w:right w:val="single" w:sz="8" w:space="0" w:color="000000"/>
            </w:tcBorders>
            <w:tcMar>
              <w:top w:w="0" w:type="dxa"/>
              <w:left w:w="100" w:type="dxa"/>
              <w:bottom w:w="0" w:type="dxa"/>
              <w:right w:w="100" w:type="dxa"/>
            </w:tcMar>
          </w:tcPr>
          <w:p w14:paraId="05196794" w14:textId="77777777" w:rsidR="00852587" w:rsidRDefault="00852587">
            <w:pPr>
              <w:spacing w:line="276" w:lineRule="auto"/>
              <w:jc w:val="center"/>
              <w:rPr>
                <w:b/>
                <w:sz w:val="16"/>
                <w:szCs w:val="16"/>
              </w:rPr>
            </w:pPr>
          </w:p>
        </w:tc>
        <w:tc>
          <w:tcPr>
            <w:tcW w:w="1665" w:type="dxa"/>
            <w:tcBorders>
              <w:bottom w:val="single" w:sz="8" w:space="0" w:color="000000"/>
              <w:right w:val="single" w:sz="8" w:space="0" w:color="000000"/>
            </w:tcBorders>
            <w:tcMar>
              <w:top w:w="0" w:type="dxa"/>
              <w:left w:w="100" w:type="dxa"/>
              <w:bottom w:w="0" w:type="dxa"/>
              <w:right w:w="100" w:type="dxa"/>
            </w:tcMar>
          </w:tcPr>
          <w:p w14:paraId="3AA75E26" w14:textId="77777777" w:rsidR="00852587" w:rsidRDefault="00852587">
            <w:pPr>
              <w:spacing w:line="276" w:lineRule="auto"/>
              <w:jc w:val="center"/>
              <w:rPr>
                <w:b/>
                <w:sz w:val="16"/>
                <w:szCs w:val="16"/>
              </w:rPr>
            </w:pPr>
          </w:p>
        </w:tc>
      </w:tr>
    </w:tbl>
    <w:p w14:paraId="72780B6B" w14:textId="77777777" w:rsidR="00852587" w:rsidRDefault="00852587">
      <w:pPr>
        <w:pBdr>
          <w:top w:val="nil"/>
          <w:left w:val="nil"/>
          <w:bottom w:val="nil"/>
          <w:right w:val="nil"/>
          <w:between w:val="nil"/>
        </w:pBdr>
        <w:spacing w:line="276" w:lineRule="auto"/>
        <w:ind w:right="2060"/>
        <w:jc w:val="center"/>
        <w:rPr>
          <w:b/>
          <w:sz w:val="24"/>
          <w:szCs w:val="24"/>
        </w:rPr>
      </w:pPr>
    </w:p>
    <w:p w14:paraId="025B0947" w14:textId="768A8093" w:rsidR="00852587" w:rsidRDefault="004C4A96">
      <w:pPr>
        <w:pBdr>
          <w:top w:val="nil"/>
          <w:left w:val="nil"/>
          <w:bottom w:val="nil"/>
          <w:right w:val="nil"/>
          <w:between w:val="nil"/>
        </w:pBdr>
        <w:spacing w:line="276" w:lineRule="auto"/>
        <w:ind w:right="2060"/>
        <w:jc w:val="center"/>
        <w:rPr>
          <w:b/>
          <w:color w:val="000000"/>
          <w:sz w:val="24"/>
          <w:szCs w:val="24"/>
        </w:rPr>
        <w:sectPr w:rsidR="00852587">
          <w:footerReference w:type="default" r:id="rId9"/>
          <w:pgSz w:w="11910" w:h="16840"/>
          <w:pgMar w:top="1360" w:right="1180" w:bottom="1240" w:left="1340" w:header="720" w:footer="1055" w:gutter="0"/>
          <w:pgNumType w:start="1"/>
          <w:cols w:space="720"/>
        </w:sectPr>
      </w:pPr>
      <w:r>
        <w:rPr>
          <w:b/>
          <w:sz w:val="24"/>
          <w:szCs w:val="24"/>
        </w:rPr>
        <w:t xml:space="preserve">                                     </w:t>
      </w:r>
      <w:r>
        <w:rPr>
          <w:b/>
          <w:color w:val="000000"/>
          <w:sz w:val="24"/>
          <w:szCs w:val="24"/>
        </w:rPr>
        <w:t xml:space="preserve">Année Académique : </w:t>
      </w:r>
      <w:r w:rsidR="000E36EC">
        <w:rPr>
          <w:b/>
          <w:sz w:val="24"/>
          <w:szCs w:val="24"/>
        </w:rPr>
        <w:t>202</w:t>
      </w:r>
      <w:r w:rsidR="0035369C">
        <w:rPr>
          <w:b/>
          <w:sz w:val="24"/>
          <w:szCs w:val="24"/>
        </w:rPr>
        <w:t>5</w:t>
      </w:r>
      <w:r w:rsidR="000E36EC">
        <w:rPr>
          <w:b/>
          <w:sz w:val="24"/>
          <w:szCs w:val="24"/>
        </w:rPr>
        <w:t xml:space="preserve"> - 202</w:t>
      </w:r>
      <w:r w:rsidR="0035369C">
        <w:rPr>
          <w:b/>
          <w:sz w:val="24"/>
          <w:szCs w:val="24"/>
        </w:rPr>
        <w:t>6</w:t>
      </w:r>
    </w:p>
    <w:p w14:paraId="797F9094" w14:textId="77777777" w:rsidR="00852587" w:rsidRDefault="00852587">
      <w:pPr>
        <w:pBdr>
          <w:top w:val="nil"/>
          <w:left w:val="nil"/>
          <w:bottom w:val="nil"/>
          <w:right w:val="nil"/>
          <w:between w:val="nil"/>
        </w:pBdr>
        <w:spacing w:before="5" w:line="360" w:lineRule="auto"/>
        <w:rPr>
          <w:color w:val="000000"/>
          <w:sz w:val="24"/>
          <w:szCs w:val="24"/>
        </w:rPr>
      </w:pPr>
    </w:p>
    <w:p w14:paraId="2DDA68EB" w14:textId="77777777" w:rsidR="00852587" w:rsidRDefault="004C4A96">
      <w:pPr>
        <w:pStyle w:val="Titre1"/>
        <w:spacing w:before="88" w:line="360" w:lineRule="auto"/>
        <w:ind w:left="0" w:right="2065"/>
      </w:pPr>
      <w:bookmarkStart w:id="0" w:name="_heading=h.1fob9te" w:colFirst="0" w:colLast="0"/>
      <w:bookmarkEnd w:id="0"/>
      <w:r>
        <w:rPr>
          <w:color w:val="2E5395"/>
        </w:rPr>
        <w:t>DÉDICACE</w:t>
      </w:r>
    </w:p>
    <w:p w14:paraId="2EF7C02F" w14:textId="77777777" w:rsidR="00852587" w:rsidRDefault="00852587">
      <w:pPr>
        <w:pBdr>
          <w:top w:val="nil"/>
          <w:left w:val="nil"/>
          <w:bottom w:val="nil"/>
          <w:right w:val="nil"/>
          <w:between w:val="nil"/>
        </w:pBdr>
        <w:spacing w:line="360" w:lineRule="auto"/>
        <w:rPr>
          <w:b/>
          <w:color w:val="000000"/>
          <w:sz w:val="20"/>
          <w:szCs w:val="20"/>
        </w:rPr>
      </w:pPr>
    </w:p>
    <w:p w14:paraId="7194A97B" w14:textId="77777777" w:rsidR="00852587" w:rsidRDefault="00852587">
      <w:pPr>
        <w:pBdr>
          <w:top w:val="nil"/>
          <w:left w:val="nil"/>
          <w:bottom w:val="nil"/>
          <w:right w:val="nil"/>
          <w:between w:val="nil"/>
        </w:pBdr>
        <w:spacing w:line="360" w:lineRule="auto"/>
        <w:rPr>
          <w:i/>
          <w:sz w:val="24"/>
          <w:szCs w:val="24"/>
        </w:rPr>
      </w:pPr>
    </w:p>
    <w:p w14:paraId="6F36CECA" w14:textId="77777777" w:rsidR="00852587" w:rsidRDefault="00852587">
      <w:pPr>
        <w:pBdr>
          <w:top w:val="nil"/>
          <w:left w:val="nil"/>
          <w:bottom w:val="nil"/>
          <w:right w:val="nil"/>
          <w:between w:val="nil"/>
        </w:pBdr>
        <w:spacing w:line="360" w:lineRule="auto"/>
        <w:rPr>
          <w:i/>
          <w:sz w:val="24"/>
          <w:szCs w:val="24"/>
        </w:rPr>
      </w:pPr>
    </w:p>
    <w:p w14:paraId="24A80602" w14:textId="77777777" w:rsidR="00852587" w:rsidRDefault="00852587">
      <w:pPr>
        <w:pBdr>
          <w:top w:val="nil"/>
          <w:left w:val="nil"/>
          <w:bottom w:val="nil"/>
          <w:right w:val="nil"/>
          <w:between w:val="nil"/>
        </w:pBdr>
        <w:spacing w:line="360" w:lineRule="auto"/>
        <w:rPr>
          <w:i/>
          <w:sz w:val="24"/>
          <w:szCs w:val="24"/>
        </w:rPr>
      </w:pPr>
    </w:p>
    <w:p w14:paraId="5CFB407C" w14:textId="77777777" w:rsidR="00852587" w:rsidRDefault="00852587">
      <w:pPr>
        <w:pBdr>
          <w:top w:val="nil"/>
          <w:left w:val="nil"/>
          <w:bottom w:val="nil"/>
          <w:right w:val="nil"/>
          <w:between w:val="nil"/>
        </w:pBdr>
        <w:spacing w:line="360" w:lineRule="auto"/>
        <w:rPr>
          <w:i/>
          <w:sz w:val="24"/>
          <w:szCs w:val="24"/>
        </w:rPr>
      </w:pPr>
    </w:p>
    <w:p w14:paraId="2DE5B302" w14:textId="77777777" w:rsidR="00852587" w:rsidRDefault="00852587">
      <w:pPr>
        <w:pBdr>
          <w:top w:val="nil"/>
          <w:left w:val="nil"/>
          <w:bottom w:val="nil"/>
          <w:right w:val="nil"/>
          <w:between w:val="nil"/>
        </w:pBdr>
        <w:spacing w:line="360" w:lineRule="auto"/>
        <w:rPr>
          <w:i/>
          <w:sz w:val="24"/>
          <w:szCs w:val="24"/>
        </w:rPr>
      </w:pPr>
    </w:p>
    <w:p w14:paraId="60112506" w14:textId="77777777" w:rsidR="00852587" w:rsidRDefault="00852587">
      <w:pPr>
        <w:pBdr>
          <w:top w:val="nil"/>
          <w:left w:val="nil"/>
          <w:bottom w:val="nil"/>
          <w:right w:val="nil"/>
          <w:between w:val="nil"/>
        </w:pBdr>
        <w:spacing w:line="360" w:lineRule="auto"/>
        <w:rPr>
          <w:i/>
          <w:sz w:val="24"/>
          <w:szCs w:val="24"/>
        </w:rPr>
      </w:pPr>
    </w:p>
    <w:p w14:paraId="0CC63418" w14:textId="77777777" w:rsidR="00852587" w:rsidRDefault="00852587">
      <w:pPr>
        <w:pBdr>
          <w:top w:val="nil"/>
          <w:left w:val="nil"/>
          <w:bottom w:val="nil"/>
          <w:right w:val="nil"/>
          <w:between w:val="nil"/>
        </w:pBdr>
        <w:spacing w:line="360" w:lineRule="auto"/>
        <w:rPr>
          <w:i/>
          <w:sz w:val="24"/>
          <w:szCs w:val="24"/>
        </w:rPr>
      </w:pPr>
    </w:p>
    <w:p w14:paraId="2AC93930" w14:textId="77777777" w:rsidR="00852587" w:rsidRDefault="00852587">
      <w:pPr>
        <w:pBdr>
          <w:top w:val="nil"/>
          <w:left w:val="nil"/>
          <w:bottom w:val="nil"/>
          <w:right w:val="nil"/>
          <w:between w:val="nil"/>
        </w:pBdr>
        <w:spacing w:line="360" w:lineRule="auto"/>
        <w:rPr>
          <w:i/>
          <w:sz w:val="24"/>
          <w:szCs w:val="24"/>
        </w:rPr>
      </w:pPr>
    </w:p>
    <w:p w14:paraId="04A3B052" w14:textId="77777777" w:rsidR="00852587" w:rsidRDefault="00852587">
      <w:pPr>
        <w:pBdr>
          <w:top w:val="nil"/>
          <w:left w:val="nil"/>
          <w:bottom w:val="nil"/>
          <w:right w:val="nil"/>
          <w:between w:val="nil"/>
        </w:pBdr>
        <w:spacing w:line="360" w:lineRule="auto"/>
        <w:rPr>
          <w:i/>
          <w:sz w:val="24"/>
          <w:szCs w:val="24"/>
        </w:rPr>
      </w:pPr>
    </w:p>
    <w:p w14:paraId="16AFF104" w14:textId="77777777" w:rsidR="00852587" w:rsidRDefault="00852587">
      <w:pPr>
        <w:pBdr>
          <w:top w:val="nil"/>
          <w:left w:val="nil"/>
          <w:bottom w:val="nil"/>
          <w:right w:val="nil"/>
          <w:between w:val="nil"/>
        </w:pBdr>
        <w:spacing w:line="360" w:lineRule="auto"/>
        <w:rPr>
          <w:i/>
          <w:sz w:val="24"/>
          <w:szCs w:val="24"/>
        </w:rPr>
      </w:pPr>
    </w:p>
    <w:p w14:paraId="76BDD4E8" w14:textId="77777777" w:rsidR="00852587" w:rsidRDefault="00852587">
      <w:pPr>
        <w:pBdr>
          <w:top w:val="nil"/>
          <w:left w:val="nil"/>
          <w:bottom w:val="nil"/>
          <w:right w:val="nil"/>
          <w:between w:val="nil"/>
        </w:pBdr>
        <w:spacing w:line="360" w:lineRule="auto"/>
        <w:rPr>
          <w:i/>
          <w:sz w:val="24"/>
          <w:szCs w:val="24"/>
        </w:rPr>
      </w:pPr>
    </w:p>
    <w:p w14:paraId="6B9DB9CC" w14:textId="77777777" w:rsidR="00852587" w:rsidRDefault="00852587">
      <w:pPr>
        <w:pBdr>
          <w:top w:val="nil"/>
          <w:left w:val="nil"/>
          <w:bottom w:val="nil"/>
          <w:right w:val="nil"/>
          <w:between w:val="nil"/>
        </w:pBdr>
        <w:spacing w:line="360" w:lineRule="auto"/>
        <w:rPr>
          <w:i/>
          <w:sz w:val="24"/>
          <w:szCs w:val="24"/>
        </w:rPr>
      </w:pPr>
    </w:p>
    <w:p w14:paraId="1CEDA825" w14:textId="77777777" w:rsidR="00852587" w:rsidRDefault="00852587">
      <w:pPr>
        <w:pBdr>
          <w:top w:val="nil"/>
          <w:left w:val="nil"/>
          <w:bottom w:val="nil"/>
          <w:right w:val="nil"/>
          <w:between w:val="nil"/>
        </w:pBdr>
        <w:spacing w:line="360" w:lineRule="auto"/>
        <w:rPr>
          <w:i/>
          <w:sz w:val="24"/>
          <w:szCs w:val="24"/>
        </w:rPr>
      </w:pPr>
    </w:p>
    <w:p w14:paraId="64584F9B" w14:textId="77777777" w:rsidR="00852587" w:rsidRDefault="00852587">
      <w:pPr>
        <w:pBdr>
          <w:top w:val="nil"/>
          <w:left w:val="nil"/>
          <w:bottom w:val="nil"/>
          <w:right w:val="nil"/>
          <w:between w:val="nil"/>
        </w:pBdr>
        <w:spacing w:line="360" w:lineRule="auto"/>
        <w:rPr>
          <w:i/>
          <w:sz w:val="24"/>
          <w:szCs w:val="24"/>
        </w:rPr>
      </w:pPr>
    </w:p>
    <w:p w14:paraId="2AF2E80B" w14:textId="77777777" w:rsidR="00852587" w:rsidRDefault="00852587">
      <w:pPr>
        <w:pBdr>
          <w:top w:val="nil"/>
          <w:left w:val="nil"/>
          <w:bottom w:val="nil"/>
          <w:right w:val="nil"/>
          <w:between w:val="nil"/>
        </w:pBdr>
        <w:spacing w:line="360" w:lineRule="auto"/>
        <w:rPr>
          <w:i/>
          <w:sz w:val="24"/>
          <w:szCs w:val="24"/>
        </w:rPr>
      </w:pPr>
    </w:p>
    <w:p w14:paraId="43BCB5B4" w14:textId="77777777" w:rsidR="00852587" w:rsidRDefault="00852587">
      <w:pPr>
        <w:pBdr>
          <w:top w:val="nil"/>
          <w:left w:val="nil"/>
          <w:bottom w:val="nil"/>
          <w:right w:val="nil"/>
          <w:between w:val="nil"/>
        </w:pBdr>
        <w:spacing w:line="360" w:lineRule="auto"/>
        <w:rPr>
          <w:i/>
          <w:sz w:val="24"/>
          <w:szCs w:val="24"/>
        </w:rPr>
      </w:pPr>
    </w:p>
    <w:p w14:paraId="39938DB6" w14:textId="77777777" w:rsidR="00852587" w:rsidRDefault="00852587">
      <w:pPr>
        <w:pBdr>
          <w:top w:val="nil"/>
          <w:left w:val="nil"/>
          <w:bottom w:val="nil"/>
          <w:right w:val="nil"/>
          <w:between w:val="nil"/>
        </w:pBdr>
        <w:spacing w:line="360" w:lineRule="auto"/>
        <w:rPr>
          <w:i/>
          <w:sz w:val="24"/>
          <w:szCs w:val="24"/>
        </w:rPr>
      </w:pPr>
    </w:p>
    <w:p w14:paraId="6CB0585B" w14:textId="77777777" w:rsidR="00852587" w:rsidRDefault="00852587">
      <w:pPr>
        <w:pBdr>
          <w:top w:val="nil"/>
          <w:left w:val="nil"/>
          <w:bottom w:val="nil"/>
          <w:right w:val="nil"/>
          <w:between w:val="nil"/>
        </w:pBdr>
        <w:spacing w:line="360" w:lineRule="auto"/>
        <w:rPr>
          <w:i/>
          <w:sz w:val="24"/>
          <w:szCs w:val="24"/>
        </w:rPr>
      </w:pPr>
    </w:p>
    <w:p w14:paraId="443A81B6" w14:textId="77777777" w:rsidR="00852587" w:rsidRDefault="00852587">
      <w:pPr>
        <w:pBdr>
          <w:top w:val="nil"/>
          <w:left w:val="nil"/>
          <w:bottom w:val="nil"/>
          <w:right w:val="nil"/>
          <w:between w:val="nil"/>
        </w:pBdr>
        <w:spacing w:line="360" w:lineRule="auto"/>
        <w:rPr>
          <w:i/>
          <w:sz w:val="24"/>
          <w:szCs w:val="24"/>
        </w:rPr>
      </w:pPr>
    </w:p>
    <w:p w14:paraId="138EF744" w14:textId="77777777" w:rsidR="00852587" w:rsidRDefault="00852587">
      <w:pPr>
        <w:pBdr>
          <w:top w:val="nil"/>
          <w:left w:val="nil"/>
          <w:bottom w:val="nil"/>
          <w:right w:val="nil"/>
          <w:between w:val="nil"/>
        </w:pBdr>
        <w:spacing w:line="360" w:lineRule="auto"/>
        <w:rPr>
          <w:i/>
          <w:sz w:val="24"/>
          <w:szCs w:val="24"/>
        </w:rPr>
      </w:pPr>
    </w:p>
    <w:p w14:paraId="6EB09E81" w14:textId="77777777" w:rsidR="00852587" w:rsidRDefault="00852587">
      <w:pPr>
        <w:pBdr>
          <w:top w:val="nil"/>
          <w:left w:val="nil"/>
          <w:bottom w:val="nil"/>
          <w:right w:val="nil"/>
          <w:between w:val="nil"/>
        </w:pBdr>
        <w:spacing w:line="360" w:lineRule="auto"/>
        <w:rPr>
          <w:i/>
          <w:sz w:val="24"/>
          <w:szCs w:val="24"/>
        </w:rPr>
      </w:pPr>
    </w:p>
    <w:p w14:paraId="08BD9A8D" w14:textId="77777777" w:rsidR="00852587" w:rsidRDefault="00852587">
      <w:pPr>
        <w:pBdr>
          <w:top w:val="nil"/>
          <w:left w:val="nil"/>
          <w:bottom w:val="nil"/>
          <w:right w:val="nil"/>
          <w:between w:val="nil"/>
        </w:pBdr>
        <w:spacing w:line="360" w:lineRule="auto"/>
        <w:rPr>
          <w:i/>
          <w:sz w:val="24"/>
          <w:szCs w:val="24"/>
        </w:rPr>
      </w:pPr>
    </w:p>
    <w:p w14:paraId="6CDEC50C" w14:textId="77777777" w:rsidR="00852587" w:rsidRDefault="00852587">
      <w:pPr>
        <w:pBdr>
          <w:top w:val="nil"/>
          <w:left w:val="nil"/>
          <w:bottom w:val="nil"/>
          <w:right w:val="nil"/>
          <w:between w:val="nil"/>
        </w:pBdr>
        <w:spacing w:line="360" w:lineRule="auto"/>
        <w:rPr>
          <w:i/>
          <w:color w:val="000000"/>
          <w:sz w:val="24"/>
          <w:szCs w:val="24"/>
        </w:rPr>
      </w:pPr>
    </w:p>
    <w:p w14:paraId="393A558C" w14:textId="77777777" w:rsidR="00852587" w:rsidRDefault="00852587">
      <w:pPr>
        <w:pBdr>
          <w:top w:val="nil"/>
          <w:left w:val="nil"/>
          <w:bottom w:val="nil"/>
          <w:right w:val="nil"/>
          <w:between w:val="nil"/>
        </w:pBdr>
        <w:spacing w:line="360" w:lineRule="auto"/>
        <w:rPr>
          <w:i/>
          <w:color w:val="000000"/>
          <w:sz w:val="24"/>
          <w:szCs w:val="24"/>
        </w:rPr>
      </w:pPr>
    </w:p>
    <w:p w14:paraId="0DF09CD3" w14:textId="77777777" w:rsidR="00852587" w:rsidRDefault="00852587">
      <w:pPr>
        <w:spacing w:line="360" w:lineRule="auto"/>
        <w:ind w:left="100"/>
        <w:jc w:val="both"/>
        <w:rPr>
          <w:i/>
          <w:sz w:val="24"/>
          <w:szCs w:val="24"/>
        </w:rPr>
      </w:pPr>
    </w:p>
    <w:p w14:paraId="62BD10A2" w14:textId="77777777" w:rsidR="00852587" w:rsidRDefault="00852587">
      <w:pPr>
        <w:spacing w:line="360" w:lineRule="auto"/>
        <w:jc w:val="both"/>
        <w:rPr>
          <w:i/>
          <w:sz w:val="24"/>
          <w:szCs w:val="24"/>
        </w:rPr>
      </w:pPr>
    </w:p>
    <w:p w14:paraId="0A3409B8" w14:textId="77777777" w:rsidR="00852587" w:rsidRDefault="00852587">
      <w:pPr>
        <w:spacing w:line="360" w:lineRule="auto"/>
        <w:jc w:val="both"/>
        <w:rPr>
          <w:i/>
          <w:sz w:val="24"/>
          <w:szCs w:val="24"/>
        </w:rPr>
      </w:pPr>
    </w:p>
    <w:p w14:paraId="09659CC8" w14:textId="77777777" w:rsidR="00852587" w:rsidRDefault="00852587">
      <w:pPr>
        <w:spacing w:line="360" w:lineRule="auto"/>
        <w:jc w:val="both"/>
        <w:rPr>
          <w:i/>
          <w:sz w:val="24"/>
          <w:szCs w:val="24"/>
        </w:rPr>
      </w:pPr>
    </w:p>
    <w:p w14:paraId="1A3C5C55" w14:textId="77777777" w:rsidR="00852587" w:rsidRDefault="00852587">
      <w:pPr>
        <w:spacing w:line="360" w:lineRule="auto"/>
        <w:rPr>
          <w:sz w:val="24"/>
          <w:szCs w:val="24"/>
        </w:rPr>
      </w:pPr>
    </w:p>
    <w:p w14:paraId="18AEDAC9" w14:textId="77777777" w:rsidR="00852587" w:rsidRDefault="00852587">
      <w:pPr>
        <w:spacing w:line="360" w:lineRule="auto"/>
        <w:rPr>
          <w:sz w:val="24"/>
          <w:szCs w:val="24"/>
        </w:rPr>
      </w:pPr>
    </w:p>
    <w:p w14:paraId="070C0373" w14:textId="77777777" w:rsidR="00852587" w:rsidRDefault="00852587">
      <w:pPr>
        <w:spacing w:line="360" w:lineRule="auto"/>
        <w:rPr>
          <w:sz w:val="24"/>
          <w:szCs w:val="24"/>
        </w:rPr>
      </w:pPr>
    </w:p>
    <w:p w14:paraId="72ED0F9E" w14:textId="77777777" w:rsidR="00852587" w:rsidRDefault="004C4A96">
      <w:pPr>
        <w:pStyle w:val="Titre1"/>
        <w:spacing w:before="88" w:line="360" w:lineRule="auto"/>
        <w:ind w:left="0" w:right="2060"/>
        <w:rPr>
          <w:sz w:val="24"/>
          <w:szCs w:val="24"/>
        </w:rPr>
      </w:pPr>
      <w:bookmarkStart w:id="1" w:name="_heading=h.2et92p0" w:colFirst="0" w:colLast="0"/>
      <w:bookmarkEnd w:id="1"/>
      <w:r>
        <w:rPr>
          <w:color w:val="2E5395"/>
          <w:sz w:val="24"/>
          <w:szCs w:val="24"/>
        </w:rPr>
        <w:lastRenderedPageBreak/>
        <w:t>REMERCIEMENTS</w:t>
      </w:r>
    </w:p>
    <w:p w14:paraId="0B7D0D1F" w14:textId="77777777" w:rsidR="00852587" w:rsidRDefault="004C4A96">
      <w:pPr>
        <w:spacing w:line="360" w:lineRule="auto"/>
        <w:rPr>
          <w:b/>
          <w:sz w:val="23"/>
          <w:szCs w:val="23"/>
        </w:rPr>
      </w:pPr>
      <w:r>
        <w:br w:type="page"/>
      </w:r>
    </w:p>
    <w:p w14:paraId="576D2751" w14:textId="77777777" w:rsidR="00852587" w:rsidRDefault="004C4A96">
      <w:pPr>
        <w:pStyle w:val="Titre1"/>
        <w:ind w:left="0"/>
        <w:rPr>
          <w:color w:val="0070C0"/>
        </w:rPr>
      </w:pPr>
      <w:bookmarkStart w:id="2" w:name="_heading=h.17dp8vu" w:colFirst="0" w:colLast="0"/>
      <w:bookmarkEnd w:id="2"/>
      <w:r>
        <w:rPr>
          <w:color w:val="0070C0"/>
        </w:rPr>
        <w:lastRenderedPageBreak/>
        <w:t>GLOSSAIRE</w:t>
      </w:r>
    </w:p>
    <w:p w14:paraId="118A2C17" w14:textId="77777777" w:rsidR="00852587" w:rsidRDefault="00852587">
      <w:pPr>
        <w:pStyle w:val="Titre1"/>
        <w:spacing w:line="360" w:lineRule="auto"/>
        <w:ind w:left="0" w:right="2060"/>
        <w:jc w:val="left"/>
        <w:rPr>
          <w:color w:val="2E5395"/>
        </w:rPr>
      </w:pPr>
      <w:bookmarkStart w:id="3" w:name="_heading=h.cl01tavwkdf0" w:colFirst="0" w:colLast="0"/>
      <w:bookmarkEnd w:id="3"/>
    </w:p>
    <w:p w14:paraId="7CCA23C7" w14:textId="77777777" w:rsidR="00852587" w:rsidRDefault="00852587"/>
    <w:p w14:paraId="71CB76B0" w14:textId="77777777" w:rsidR="00852587" w:rsidRDefault="00852587"/>
    <w:p w14:paraId="25951F45" w14:textId="77777777" w:rsidR="00852587" w:rsidRDefault="00852587"/>
    <w:p w14:paraId="64DD721B" w14:textId="77777777" w:rsidR="00852587" w:rsidRDefault="00852587"/>
    <w:p w14:paraId="1E6F600F" w14:textId="77777777" w:rsidR="00852587" w:rsidRDefault="00852587"/>
    <w:p w14:paraId="31C4E8A8" w14:textId="77777777" w:rsidR="00852587" w:rsidRDefault="00852587"/>
    <w:p w14:paraId="6A1E3A43" w14:textId="77777777" w:rsidR="00852587" w:rsidRDefault="00852587"/>
    <w:p w14:paraId="24AE1640" w14:textId="77777777" w:rsidR="00852587" w:rsidRDefault="00852587"/>
    <w:p w14:paraId="45985D08" w14:textId="77777777" w:rsidR="00852587" w:rsidRDefault="00852587"/>
    <w:p w14:paraId="0135D633" w14:textId="77777777" w:rsidR="00852587" w:rsidRDefault="00852587"/>
    <w:p w14:paraId="09671149" w14:textId="77777777" w:rsidR="00852587" w:rsidRDefault="00852587"/>
    <w:p w14:paraId="520EDE2F" w14:textId="77777777" w:rsidR="00852587" w:rsidRDefault="00852587"/>
    <w:p w14:paraId="1F6E8D0D" w14:textId="77777777" w:rsidR="00852587" w:rsidRDefault="00852587"/>
    <w:p w14:paraId="6F25F0F4" w14:textId="77777777" w:rsidR="00852587" w:rsidRDefault="00852587"/>
    <w:p w14:paraId="1D99BA8D" w14:textId="77777777" w:rsidR="00852587" w:rsidRDefault="00852587"/>
    <w:p w14:paraId="2D967B15" w14:textId="77777777" w:rsidR="00852587" w:rsidRDefault="00852587">
      <w:pPr>
        <w:pStyle w:val="Titre1"/>
        <w:spacing w:line="360" w:lineRule="auto"/>
        <w:ind w:left="0" w:right="2060"/>
        <w:rPr>
          <w:color w:val="2E5395"/>
        </w:rPr>
      </w:pPr>
      <w:bookmarkStart w:id="4" w:name="_heading=h.yc8znibo3mfs" w:colFirst="0" w:colLast="0"/>
      <w:bookmarkEnd w:id="4"/>
    </w:p>
    <w:p w14:paraId="00FC8F87" w14:textId="77777777" w:rsidR="00852587" w:rsidRDefault="00852587">
      <w:pPr>
        <w:pStyle w:val="Titre1"/>
        <w:spacing w:line="360" w:lineRule="auto"/>
        <w:ind w:left="0" w:right="2060"/>
        <w:rPr>
          <w:color w:val="2E5395"/>
        </w:rPr>
      </w:pPr>
      <w:bookmarkStart w:id="5" w:name="_heading=h.7h5fbwrwt3eu" w:colFirst="0" w:colLast="0"/>
      <w:bookmarkEnd w:id="5"/>
    </w:p>
    <w:p w14:paraId="741AD8AD" w14:textId="77777777" w:rsidR="00852587" w:rsidRDefault="00852587">
      <w:pPr>
        <w:pStyle w:val="Titre1"/>
        <w:spacing w:line="360" w:lineRule="auto"/>
        <w:ind w:left="0" w:right="2060"/>
        <w:rPr>
          <w:color w:val="2E5395"/>
        </w:rPr>
      </w:pPr>
      <w:bookmarkStart w:id="6" w:name="_heading=h.v5qqwsgyxvfe" w:colFirst="0" w:colLast="0"/>
      <w:bookmarkEnd w:id="6"/>
    </w:p>
    <w:p w14:paraId="44F74C40" w14:textId="77777777" w:rsidR="00852587" w:rsidRDefault="00852587">
      <w:pPr>
        <w:pStyle w:val="Titre1"/>
        <w:spacing w:line="360" w:lineRule="auto"/>
        <w:ind w:left="0" w:right="2060"/>
        <w:rPr>
          <w:color w:val="2E5395"/>
        </w:rPr>
      </w:pPr>
      <w:bookmarkStart w:id="7" w:name="_heading=h.ilqyst83h0jl" w:colFirst="0" w:colLast="0"/>
      <w:bookmarkEnd w:id="7"/>
    </w:p>
    <w:p w14:paraId="5E350BBD" w14:textId="77777777" w:rsidR="00852587" w:rsidRDefault="00852587">
      <w:pPr>
        <w:pStyle w:val="Titre1"/>
        <w:spacing w:line="360" w:lineRule="auto"/>
        <w:ind w:left="0" w:right="2060"/>
        <w:rPr>
          <w:color w:val="2E5395"/>
        </w:rPr>
      </w:pPr>
      <w:bookmarkStart w:id="8" w:name="_heading=h.x0hljpicf57d" w:colFirst="0" w:colLast="0"/>
      <w:bookmarkEnd w:id="8"/>
    </w:p>
    <w:p w14:paraId="34103F5B" w14:textId="77777777" w:rsidR="00852587" w:rsidRDefault="00852587">
      <w:pPr>
        <w:pStyle w:val="Titre1"/>
        <w:spacing w:line="360" w:lineRule="auto"/>
        <w:ind w:left="0" w:right="2060"/>
        <w:rPr>
          <w:color w:val="2E5395"/>
        </w:rPr>
      </w:pPr>
      <w:bookmarkStart w:id="9" w:name="_heading=h.d3cflp89jnvp" w:colFirst="0" w:colLast="0"/>
      <w:bookmarkEnd w:id="9"/>
    </w:p>
    <w:p w14:paraId="6E5B5CE6" w14:textId="77777777" w:rsidR="00852587" w:rsidRDefault="00852587">
      <w:pPr>
        <w:pStyle w:val="Titre1"/>
        <w:spacing w:line="360" w:lineRule="auto"/>
        <w:ind w:left="0" w:right="2060"/>
        <w:rPr>
          <w:color w:val="2E5395"/>
        </w:rPr>
      </w:pPr>
      <w:bookmarkStart w:id="10" w:name="_heading=h.8h4svsf5c5oz" w:colFirst="0" w:colLast="0"/>
      <w:bookmarkEnd w:id="10"/>
    </w:p>
    <w:p w14:paraId="4207D166" w14:textId="77777777" w:rsidR="00852587" w:rsidRDefault="00852587">
      <w:pPr>
        <w:pStyle w:val="Titre1"/>
        <w:spacing w:line="360" w:lineRule="auto"/>
        <w:ind w:left="0" w:right="2060"/>
        <w:rPr>
          <w:color w:val="2E5395"/>
        </w:rPr>
      </w:pPr>
      <w:bookmarkStart w:id="11" w:name="_heading=h.52wfe1oo8qbk" w:colFirst="0" w:colLast="0"/>
      <w:bookmarkEnd w:id="11"/>
    </w:p>
    <w:p w14:paraId="40F91AFC" w14:textId="77777777" w:rsidR="00852587" w:rsidRDefault="00852587">
      <w:pPr>
        <w:pStyle w:val="Titre1"/>
        <w:spacing w:line="360" w:lineRule="auto"/>
        <w:ind w:left="0" w:right="2060"/>
        <w:rPr>
          <w:color w:val="2E5395"/>
        </w:rPr>
      </w:pPr>
      <w:bookmarkStart w:id="12" w:name="_heading=h.c2mpzoltn1p9" w:colFirst="0" w:colLast="0"/>
      <w:bookmarkEnd w:id="12"/>
    </w:p>
    <w:p w14:paraId="2F8D02B9" w14:textId="77777777" w:rsidR="00852587" w:rsidRDefault="00852587">
      <w:pPr>
        <w:pStyle w:val="Titre1"/>
        <w:spacing w:line="360" w:lineRule="auto"/>
        <w:ind w:left="0" w:right="2060"/>
        <w:rPr>
          <w:color w:val="2E5395"/>
        </w:rPr>
      </w:pPr>
      <w:bookmarkStart w:id="13" w:name="_heading=h.7dnhphlhw2iz" w:colFirst="0" w:colLast="0"/>
      <w:bookmarkEnd w:id="13"/>
    </w:p>
    <w:p w14:paraId="4FAE507E" w14:textId="77777777" w:rsidR="00852587" w:rsidRDefault="00852587">
      <w:pPr>
        <w:pStyle w:val="Titre1"/>
        <w:spacing w:line="360" w:lineRule="auto"/>
        <w:ind w:left="0" w:right="2060"/>
        <w:rPr>
          <w:color w:val="2E5395"/>
        </w:rPr>
      </w:pPr>
      <w:bookmarkStart w:id="14" w:name="_heading=h.w1vz9gni7u1" w:colFirst="0" w:colLast="0"/>
      <w:bookmarkEnd w:id="14"/>
    </w:p>
    <w:p w14:paraId="6D52D114" w14:textId="77777777" w:rsidR="00852587" w:rsidRDefault="00852587">
      <w:pPr>
        <w:pStyle w:val="Titre1"/>
        <w:spacing w:line="360" w:lineRule="auto"/>
        <w:ind w:left="0" w:right="2060"/>
        <w:rPr>
          <w:color w:val="2E5395"/>
        </w:rPr>
      </w:pPr>
      <w:bookmarkStart w:id="15" w:name="_heading=h.pqmhp7gho30x" w:colFirst="0" w:colLast="0"/>
      <w:bookmarkEnd w:id="15"/>
    </w:p>
    <w:p w14:paraId="1D2BEE45" w14:textId="77777777" w:rsidR="00852587" w:rsidRDefault="00852587">
      <w:pPr>
        <w:pStyle w:val="Titre1"/>
        <w:spacing w:line="360" w:lineRule="auto"/>
        <w:ind w:left="0" w:right="2060"/>
        <w:rPr>
          <w:color w:val="2E5395"/>
        </w:rPr>
      </w:pPr>
      <w:bookmarkStart w:id="16" w:name="_heading=h.peefyfjb4wv5" w:colFirst="0" w:colLast="0"/>
      <w:bookmarkEnd w:id="16"/>
    </w:p>
    <w:p w14:paraId="3960863D" w14:textId="77777777" w:rsidR="00852587" w:rsidRDefault="00852587">
      <w:pPr>
        <w:pStyle w:val="Titre1"/>
        <w:spacing w:line="360" w:lineRule="auto"/>
        <w:ind w:left="0" w:right="2060"/>
        <w:rPr>
          <w:color w:val="2E5395"/>
        </w:rPr>
      </w:pPr>
      <w:bookmarkStart w:id="17" w:name="_heading=h.jcjqc173zfzi" w:colFirst="0" w:colLast="0"/>
      <w:bookmarkEnd w:id="17"/>
    </w:p>
    <w:p w14:paraId="470A9C57" w14:textId="77777777" w:rsidR="00852587" w:rsidRDefault="00852587">
      <w:pPr>
        <w:pStyle w:val="Titre1"/>
        <w:spacing w:line="360" w:lineRule="auto"/>
        <w:ind w:left="0" w:right="2060"/>
        <w:rPr>
          <w:color w:val="2E5395"/>
        </w:rPr>
      </w:pPr>
      <w:bookmarkStart w:id="18" w:name="_heading=h.chehetk3ejv" w:colFirst="0" w:colLast="0"/>
      <w:bookmarkEnd w:id="18"/>
    </w:p>
    <w:p w14:paraId="7D1C88B3" w14:textId="77777777" w:rsidR="00852587" w:rsidRDefault="00852587">
      <w:pPr>
        <w:pStyle w:val="Titre1"/>
        <w:spacing w:line="360" w:lineRule="auto"/>
        <w:ind w:left="0" w:right="2060"/>
        <w:rPr>
          <w:color w:val="2E5395"/>
        </w:rPr>
      </w:pPr>
      <w:bookmarkStart w:id="19" w:name="_heading=h.63rkn094jdak" w:colFirst="0" w:colLast="0"/>
      <w:bookmarkEnd w:id="19"/>
    </w:p>
    <w:p w14:paraId="4AB525BA" w14:textId="77777777" w:rsidR="00852587" w:rsidRDefault="00852587">
      <w:pPr>
        <w:pStyle w:val="Titre1"/>
        <w:spacing w:line="360" w:lineRule="auto"/>
        <w:ind w:left="0" w:right="2060"/>
        <w:rPr>
          <w:color w:val="2E5395"/>
        </w:rPr>
      </w:pPr>
      <w:bookmarkStart w:id="20" w:name="_heading=h.i7l1dkfjrwsw" w:colFirst="0" w:colLast="0"/>
      <w:bookmarkEnd w:id="20"/>
    </w:p>
    <w:p w14:paraId="22751D39" w14:textId="77777777" w:rsidR="00852587" w:rsidRDefault="004C4A96">
      <w:pPr>
        <w:pStyle w:val="Titre1"/>
        <w:spacing w:line="360" w:lineRule="auto"/>
        <w:ind w:left="0" w:right="2060"/>
        <w:rPr>
          <w:color w:val="2E5395"/>
        </w:rPr>
      </w:pPr>
      <w:bookmarkStart w:id="21" w:name="_heading=h.eapdb2fu5tt5" w:colFirst="0" w:colLast="0"/>
      <w:bookmarkEnd w:id="21"/>
      <w:r>
        <w:rPr>
          <w:color w:val="2E5395"/>
        </w:rPr>
        <w:lastRenderedPageBreak/>
        <w:t>LISTE DES FIGURES</w:t>
      </w:r>
    </w:p>
    <w:p w14:paraId="01EEE695" w14:textId="77777777" w:rsidR="00852587" w:rsidRDefault="00852587">
      <w:pPr>
        <w:pStyle w:val="Titre1"/>
        <w:spacing w:line="360" w:lineRule="auto"/>
        <w:ind w:right="2060" w:firstLine="1901"/>
        <w:rPr>
          <w:sz w:val="24"/>
          <w:szCs w:val="24"/>
        </w:rPr>
      </w:pPr>
    </w:p>
    <w:p w14:paraId="4510918F" w14:textId="77777777" w:rsidR="00852587" w:rsidRDefault="00852587">
      <w:pPr>
        <w:rPr>
          <w:i/>
          <w:sz w:val="24"/>
          <w:szCs w:val="24"/>
        </w:rPr>
      </w:pPr>
    </w:p>
    <w:p w14:paraId="27ACF3F8" w14:textId="77777777" w:rsidR="00852587" w:rsidRDefault="00852587">
      <w:pPr>
        <w:spacing w:line="360" w:lineRule="auto"/>
        <w:rPr>
          <w:sz w:val="24"/>
          <w:szCs w:val="24"/>
        </w:rPr>
      </w:pPr>
    </w:p>
    <w:p w14:paraId="3118337B" w14:textId="77777777" w:rsidR="00852587" w:rsidRDefault="00852587">
      <w:pPr>
        <w:spacing w:line="360" w:lineRule="auto"/>
      </w:pPr>
    </w:p>
    <w:p w14:paraId="087BCCFB" w14:textId="77777777" w:rsidR="00852587" w:rsidRDefault="00852587">
      <w:pPr>
        <w:spacing w:line="360" w:lineRule="auto"/>
      </w:pPr>
    </w:p>
    <w:p w14:paraId="10735DC0" w14:textId="77777777" w:rsidR="00852587" w:rsidRDefault="00852587">
      <w:pPr>
        <w:spacing w:line="360" w:lineRule="auto"/>
      </w:pPr>
    </w:p>
    <w:p w14:paraId="34E05ACE" w14:textId="77777777" w:rsidR="00852587" w:rsidRDefault="00852587">
      <w:pPr>
        <w:spacing w:line="360" w:lineRule="auto"/>
      </w:pPr>
    </w:p>
    <w:p w14:paraId="1E085253" w14:textId="77777777" w:rsidR="00852587" w:rsidRDefault="00852587">
      <w:pPr>
        <w:spacing w:line="360" w:lineRule="auto"/>
      </w:pPr>
    </w:p>
    <w:p w14:paraId="404B0A8D" w14:textId="77777777" w:rsidR="00852587" w:rsidRDefault="00852587">
      <w:pPr>
        <w:spacing w:line="360" w:lineRule="auto"/>
      </w:pPr>
    </w:p>
    <w:p w14:paraId="19E0993E" w14:textId="77777777" w:rsidR="00852587" w:rsidRDefault="00852587">
      <w:pPr>
        <w:spacing w:line="360" w:lineRule="auto"/>
      </w:pPr>
    </w:p>
    <w:p w14:paraId="5863A714" w14:textId="77777777" w:rsidR="00852587" w:rsidRDefault="00852587">
      <w:pPr>
        <w:spacing w:line="360" w:lineRule="auto"/>
      </w:pPr>
    </w:p>
    <w:p w14:paraId="020D9604" w14:textId="77777777" w:rsidR="00852587" w:rsidRDefault="00852587">
      <w:pPr>
        <w:spacing w:line="360" w:lineRule="auto"/>
      </w:pPr>
    </w:p>
    <w:p w14:paraId="5E40D292" w14:textId="77777777" w:rsidR="00852587" w:rsidRDefault="00852587">
      <w:pPr>
        <w:spacing w:line="360" w:lineRule="auto"/>
      </w:pPr>
    </w:p>
    <w:p w14:paraId="77DB10F1" w14:textId="77777777" w:rsidR="00852587" w:rsidRDefault="00852587">
      <w:pPr>
        <w:spacing w:line="360" w:lineRule="auto"/>
      </w:pPr>
    </w:p>
    <w:p w14:paraId="2A25DF98" w14:textId="77777777" w:rsidR="00852587" w:rsidRDefault="00852587">
      <w:pPr>
        <w:spacing w:line="360" w:lineRule="auto"/>
      </w:pPr>
    </w:p>
    <w:p w14:paraId="09FF8F62" w14:textId="77777777" w:rsidR="00852587" w:rsidRDefault="00852587">
      <w:pPr>
        <w:spacing w:line="360" w:lineRule="auto"/>
      </w:pPr>
    </w:p>
    <w:p w14:paraId="2C2C48D1" w14:textId="77777777" w:rsidR="00852587" w:rsidRDefault="00852587">
      <w:pPr>
        <w:spacing w:line="360" w:lineRule="auto"/>
      </w:pPr>
    </w:p>
    <w:p w14:paraId="39F245D4" w14:textId="77777777" w:rsidR="00852587" w:rsidRDefault="00852587">
      <w:pPr>
        <w:spacing w:line="360" w:lineRule="auto"/>
      </w:pPr>
    </w:p>
    <w:p w14:paraId="1E6DAFEF" w14:textId="77777777" w:rsidR="00852587" w:rsidRDefault="00852587">
      <w:pPr>
        <w:spacing w:line="360" w:lineRule="auto"/>
      </w:pPr>
    </w:p>
    <w:p w14:paraId="71031619" w14:textId="77777777" w:rsidR="00852587" w:rsidRDefault="00852587">
      <w:pPr>
        <w:spacing w:line="360" w:lineRule="auto"/>
      </w:pPr>
    </w:p>
    <w:p w14:paraId="1E73B8B7" w14:textId="77777777" w:rsidR="00852587" w:rsidRDefault="00852587">
      <w:pPr>
        <w:spacing w:line="360" w:lineRule="auto"/>
      </w:pPr>
    </w:p>
    <w:p w14:paraId="5882133B" w14:textId="77777777" w:rsidR="00852587" w:rsidRDefault="00852587">
      <w:pPr>
        <w:spacing w:line="360" w:lineRule="auto"/>
      </w:pPr>
    </w:p>
    <w:p w14:paraId="1128949B" w14:textId="77777777" w:rsidR="00852587" w:rsidRDefault="00852587">
      <w:pPr>
        <w:spacing w:line="360" w:lineRule="auto"/>
      </w:pPr>
    </w:p>
    <w:p w14:paraId="5CD9AD70" w14:textId="77777777" w:rsidR="00852587" w:rsidRDefault="00852587">
      <w:pPr>
        <w:spacing w:line="360" w:lineRule="auto"/>
      </w:pPr>
    </w:p>
    <w:p w14:paraId="25DF8532" w14:textId="77777777" w:rsidR="00852587" w:rsidRDefault="00852587">
      <w:pPr>
        <w:spacing w:line="360" w:lineRule="auto"/>
      </w:pPr>
    </w:p>
    <w:p w14:paraId="0B058B09" w14:textId="77777777" w:rsidR="00852587" w:rsidRDefault="00852587">
      <w:pPr>
        <w:pStyle w:val="Titre1"/>
        <w:spacing w:line="360" w:lineRule="auto"/>
        <w:ind w:right="2059" w:firstLine="1901"/>
        <w:rPr>
          <w:color w:val="2E5395"/>
        </w:rPr>
      </w:pPr>
      <w:bookmarkStart w:id="22" w:name="_heading=h.6k99smf0wq92" w:colFirst="0" w:colLast="0"/>
      <w:bookmarkEnd w:id="22"/>
    </w:p>
    <w:p w14:paraId="6EB390C3" w14:textId="77777777" w:rsidR="00852587" w:rsidRDefault="00852587">
      <w:pPr>
        <w:pStyle w:val="Titre1"/>
        <w:spacing w:line="360" w:lineRule="auto"/>
        <w:ind w:right="2059" w:firstLine="1901"/>
        <w:rPr>
          <w:color w:val="2E5395"/>
        </w:rPr>
      </w:pPr>
      <w:bookmarkStart w:id="23" w:name="_heading=h.t50qrz6n0x7" w:colFirst="0" w:colLast="0"/>
      <w:bookmarkEnd w:id="23"/>
    </w:p>
    <w:p w14:paraId="79C58764" w14:textId="77777777" w:rsidR="00852587" w:rsidRDefault="00852587">
      <w:pPr>
        <w:pStyle w:val="Titre1"/>
        <w:spacing w:line="360" w:lineRule="auto"/>
        <w:ind w:right="2059" w:firstLine="1901"/>
        <w:rPr>
          <w:color w:val="2E5395"/>
        </w:rPr>
      </w:pPr>
      <w:bookmarkStart w:id="24" w:name="_heading=h.yh0nacjz6f9d" w:colFirst="0" w:colLast="0"/>
      <w:bookmarkEnd w:id="24"/>
    </w:p>
    <w:p w14:paraId="29E7FF97" w14:textId="77777777" w:rsidR="00852587" w:rsidRDefault="00852587">
      <w:pPr>
        <w:pStyle w:val="Titre1"/>
        <w:spacing w:line="360" w:lineRule="auto"/>
        <w:ind w:right="2059" w:firstLine="1901"/>
        <w:rPr>
          <w:color w:val="2E5395"/>
        </w:rPr>
      </w:pPr>
      <w:bookmarkStart w:id="25" w:name="_heading=h.bi7baod64pz4" w:colFirst="0" w:colLast="0"/>
      <w:bookmarkEnd w:id="25"/>
    </w:p>
    <w:p w14:paraId="44450BDD" w14:textId="77777777" w:rsidR="00852587" w:rsidRDefault="00852587">
      <w:pPr>
        <w:pStyle w:val="Titre1"/>
        <w:spacing w:line="360" w:lineRule="auto"/>
        <w:ind w:left="0" w:right="2059"/>
        <w:jc w:val="left"/>
        <w:rPr>
          <w:color w:val="2E5395"/>
        </w:rPr>
      </w:pPr>
      <w:bookmarkStart w:id="26" w:name="_heading=h.u3xnvsxomolx" w:colFirst="0" w:colLast="0"/>
      <w:bookmarkEnd w:id="26"/>
    </w:p>
    <w:p w14:paraId="27E4E61E" w14:textId="77777777" w:rsidR="00852587" w:rsidRDefault="00852587"/>
    <w:p w14:paraId="135CD5A8" w14:textId="77777777" w:rsidR="00852587" w:rsidRDefault="00852587"/>
    <w:p w14:paraId="6B7D4FD1" w14:textId="77777777" w:rsidR="00852587" w:rsidRDefault="00852587"/>
    <w:p w14:paraId="416BF133" w14:textId="77777777" w:rsidR="00852587" w:rsidRDefault="00852587">
      <w:pPr>
        <w:pStyle w:val="Titre1"/>
        <w:spacing w:line="360" w:lineRule="auto"/>
        <w:ind w:right="2059" w:firstLine="1901"/>
        <w:rPr>
          <w:color w:val="2E5395"/>
        </w:rPr>
      </w:pPr>
      <w:bookmarkStart w:id="27" w:name="_heading=h.u80bmxsihez7" w:colFirst="0" w:colLast="0"/>
      <w:bookmarkEnd w:id="27"/>
    </w:p>
    <w:p w14:paraId="6510F722" w14:textId="77777777" w:rsidR="00852587" w:rsidRDefault="004C4A96">
      <w:pPr>
        <w:pStyle w:val="Titre1"/>
        <w:spacing w:line="360" w:lineRule="auto"/>
        <w:ind w:left="0" w:right="2059"/>
        <w:rPr>
          <w:color w:val="2E5395"/>
        </w:rPr>
      </w:pPr>
      <w:bookmarkStart w:id="28" w:name="_heading=h.35nkun2" w:colFirst="0" w:colLast="0"/>
      <w:bookmarkEnd w:id="28"/>
      <w:r>
        <w:rPr>
          <w:color w:val="2E5395"/>
        </w:rPr>
        <w:lastRenderedPageBreak/>
        <w:t>LISTE DES TABLEAUX</w:t>
      </w:r>
    </w:p>
    <w:p w14:paraId="56E5C9BD" w14:textId="77777777" w:rsidR="00852587" w:rsidRDefault="00852587"/>
    <w:p w14:paraId="48793133" w14:textId="77777777" w:rsidR="00852587" w:rsidRDefault="00852587"/>
    <w:p w14:paraId="6C614DB0" w14:textId="77777777" w:rsidR="00852587" w:rsidRDefault="00852587"/>
    <w:p w14:paraId="6BEE42CF" w14:textId="77777777" w:rsidR="00852587" w:rsidRDefault="00852587"/>
    <w:p w14:paraId="2E85F25E" w14:textId="77777777" w:rsidR="00852587" w:rsidRDefault="00852587"/>
    <w:p w14:paraId="63AFBAAA" w14:textId="77777777" w:rsidR="00852587" w:rsidRDefault="00852587"/>
    <w:p w14:paraId="679906A3" w14:textId="77777777" w:rsidR="00852587" w:rsidRDefault="00852587"/>
    <w:p w14:paraId="74A09738" w14:textId="77777777" w:rsidR="00852587" w:rsidRDefault="00852587"/>
    <w:p w14:paraId="4FD630C9" w14:textId="77777777" w:rsidR="00852587" w:rsidRDefault="00852587"/>
    <w:p w14:paraId="671A6928" w14:textId="77777777" w:rsidR="00852587" w:rsidRDefault="00852587"/>
    <w:p w14:paraId="7B411113" w14:textId="77777777" w:rsidR="00852587" w:rsidRDefault="00852587"/>
    <w:p w14:paraId="0A38F52D" w14:textId="77777777" w:rsidR="00852587" w:rsidRDefault="00852587"/>
    <w:p w14:paraId="462268C8" w14:textId="77777777" w:rsidR="00852587" w:rsidRDefault="00852587"/>
    <w:p w14:paraId="311AABA8" w14:textId="77777777" w:rsidR="00852587" w:rsidRDefault="00852587"/>
    <w:p w14:paraId="67380E31" w14:textId="77777777" w:rsidR="00852587" w:rsidRDefault="00852587"/>
    <w:p w14:paraId="6C85568C" w14:textId="77777777" w:rsidR="00852587" w:rsidRDefault="00852587"/>
    <w:p w14:paraId="52563683" w14:textId="77777777" w:rsidR="00852587" w:rsidRDefault="00852587"/>
    <w:p w14:paraId="507630F5" w14:textId="77777777" w:rsidR="00852587" w:rsidRDefault="00852587"/>
    <w:p w14:paraId="6140FA06" w14:textId="77777777" w:rsidR="00852587" w:rsidRDefault="00852587"/>
    <w:p w14:paraId="14C49BEA" w14:textId="77777777" w:rsidR="00852587" w:rsidRDefault="00852587"/>
    <w:p w14:paraId="559E0A6B" w14:textId="77777777" w:rsidR="00852587" w:rsidRDefault="00852587"/>
    <w:p w14:paraId="2B027D5E" w14:textId="77777777" w:rsidR="00852587" w:rsidRDefault="00852587"/>
    <w:p w14:paraId="19905877" w14:textId="77777777" w:rsidR="00852587" w:rsidRDefault="00852587"/>
    <w:p w14:paraId="519E947D" w14:textId="77777777" w:rsidR="00852587" w:rsidRDefault="00852587"/>
    <w:p w14:paraId="4BB34F49" w14:textId="77777777" w:rsidR="00852587" w:rsidRDefault="00852587"/>
    <w:p w14:paraId="38F56F1F" w14:textId="77777777" w:rsidR="00852587" w:rsidRDefault="00852587"/>
    <w:p w14:paraId="3AB4DCAB" w14:textId="77777777" w:rsidR="00852587" w:rsidRDefault="00852587"/>
    <w:p w14:paraId="47824EE2" w14:textId="77777777" w:rsidR="00852587" w:rsidRDefault="00852587"/>
    <w:p w14:paraId="6D1907DE" w14:textId="77777777" w:rsidR="00852587" w:rsidRDefault="00852587"/>
    <w:p w14:paraId="744FD2B2" w14:textId="77777777" w:rsidR="00852587" w:rsidRDefault="00852587"/>
    <w:p w14:paraId="3552EB07" w14:textId="77777777" w:rsidR="00852587" w:rsidRDefault="00852587"/>
    <w:p w14:paraId="490F48D4" w14:textId="77777777" w:rsidR="00852587" w:rsidRDefault="00852587"/>
    <w:p w14:paraId="6A69CC52" w14:textId="77777777" w:rsidR="00852587" w:rsidRDefault="00852587"/>
    <w:p w14:paraId="77D067C9" w14:textId="77777777" w:rsidR="00852587" w:rsidRDefault="00852587"/>
    <w:p w14:paraId="112A8FD8" w14:textId="77777777" w:rsidR="00852587" w:rsidRDefault="00852587">
      <w:pPr>
        <w:pStyle w:val="Titre1"/>
        <w:spacing w:line="360" w:lineRule="auto"/>
        <w:ind w:left="0" w:right="2059"/>
        <w:jc w:val="left"/>
      </w:pPr>
    </w:p>
    <w:p w14:paraId="28DD14D5" w14:textId="77777777" w:rsidR="00852587" w:rsidRDefault="00852587">
      <w:pPr>
        <w:spacing w:line="360" w:lineRule="auto"/>
        <w:rPr>
          <w:sz w:val="24"/>
          <w:szCs w:val="24"/>
        </w:rPr>
      </w:pPr>
    </w:p>
    <w:p w14:paraId="4474EE2B" w14:textId="77777777" w:rsidR="00852587" w:rsidRDefault="00852587">
      <w:pPr>
        <w:spacing w:line="360" w:lineRule="auto"/>
        <w:rPr>
          <w:sz w:val="24"/>
          <w:szCs w:val="24"/>
        </w:rPr>
      </w:pPr>
    </w:p>
    <w:p w14:paraId="54E1C9B4" w14:textId="77777777" w:rsidR="00852587" w:rsidRDefault="00852587">
      <w:pPr>
        <w:spacing w:line="360" w:lineRule="auto"/>
        <w:rPr>
          <w:sz w:val="24"/>
          <w:szCs w:val="24"/>
        </w:rPr>
      </w:pPr>
    </w:p>
    <w:p w14:paraId="7503CF4F" w14:textId="77777777" w:rsidR="00852587" w:rsidRDefault="00852587">
      <w:pPr>
        <w:spacing w:line="360" w:lineRule="auto"/>
        <w:rPr>
          <w:sz w:val="24"/>
          <w:szCs w:val="24"/>
        </w:rPr>
      </w:pPr>
    </w:p>
    <w:p w14:paraId="2E35107F" w14:textId="77777777" w:rsidR="00852587" w:rsidRDefault="00852587">
      <w:pPr>
        <w:spacing w:line="360" w:lineRule="auto"/>
        <w:rPr>
          <w:sz w:val="24"/>
          <w:szCs w:val="24"/>
        </w:rPr>
      </w:pPr>
    </w:p>
    <w:p w14:paraId="44C6A949" w14:textId="77777777" w:rsidR="00852587" w:rsidRDefault="00852587">
      <w:pPr>
        <w:spacing w:line="360" w:lineRule="auto"/>
        <w:rPr>
          <w:sz w:val="24"/>
          <w:szCs w:val="24"/>
        </w:rPr>
      </w:pPr>
    </w:p>
    <w:p w14:paraId="1459247F" w14:textId="77777777" w:rsidR="00852587" w:rsidRDefault="00852587">
      <w:pPr>
        <w:spacing w:line="360" w:lineRule="auto"/>
        <w:rPr>
          <w:sz w:val="24"/>
          <w:szCs w:val="24"/>
        </w:rPr>
      </w:pPr>
    </w:p>
    <w:p w14:paraId="3AD9E0D9" w14:textId="77777777" w:rsidR="00852587" w:rsidRDefault="00852587">
      <w:pPr>
        <w:pStyle w:val="Titre1"/>
        <w:spacing w:line="360" w:lineRule="auto"/>
        <w:ind w:right="2062" w:firstLine="1901"/>
        <w:rPr>
          <w:color w:val="2E5395"/>
        </w:rPr>
      </w:pPr>
      <w:bookmarkStart w:id="29" w:name="_heading=h.suyvcfxs6l4b" w:colFirst="0" w:colLast="0"/>
      <w:bookmarkEnd w:id="29"/>
    </w:p>
    <w:p w14:paraId="5393ADF6" w14:textId="77777777" w:rsidR="00852587" w:rsidRDefault="00852587">
      <w:pPr>
        <w:pStyle w:val="Titre1"/>
        <w:spacing w:line="360" w:lineRule="auto"/>
        <w:ind w:left="0" w:right="2062"/>
        <w:jc w:val="left"/>
        <w:rPr>
          <w:color w:val="2E5395"/>
        </w:rPr>
      </w:pPr>
      <w:bookmarkStart w:id="30" w:name="_heading=h.4fk2m32qeat1" w:colFirst="0" w:colLast="0"/>
      <w:bookmarkEnd w:id="30"/>
    </w:p>
    <w:p w14:paraId="63859AFE" w14:textId="77777777" w:rsidR="00852587" w:rsidRDefault="00852587"/>
    <w:p w14:paraId="1798004E" w14:textId="77777777" w:rsidR="00852587" w:rsidRDefault="004C4A96">
      <w:pPr>
        <w:pStyle w:val="Titre1"/>
        <w:spacing w:line="360" w:lineRule="auto"/>
        <w:ind w:left="0" w:right="2062"/>
      </w:pPr>
      <w:bookmarkStart w:id="31" w:name="_heading=h.44sinio" w:colFirst="0" w:colLast="0"/>
      <w:bookmarkEnd w:id="31"/>
      <w:r>
        <w:rPr>
          <w:color w:val="2E5395"/>
        </w:rPr>
        <w:lastRenderedPageBreak/>
        <w:t>RÉSUMÉ</w:t>
      </w:r>
    </w:p>
    <w:p w14:paraId="3D5077BE" w14:textId="77777777" w:rsidR="00852587" w:rsidRDefault="00852587">
      <w:pPr>
        <w:pBdr>
          <w:top w:val="nil"/>
          <w:left w:val="nil"/>
          <w:bottom w:val="nil"/>
          <w:right w:val="nil"/>
          <w:between w:val="nil"/>
        </w:pBdr>
        <w:spacing w:line="360" w:lineRule="auto"/>
        <w:rPr>
          <w:b/>
          <w:color w:val="000000"/>
          <w:sz w:val="30"/>
          <w:szCs w:val="30"/>
        </w:rPr>
      </w:pPr>
    </w:p>
    <w:p w14:paraId="530E91D5" w14:textId="77777777" w:rsidR="00852587" w:rsidRDefault="00852587">
      <w:pPr>
        <w:pBdr>
          <w:top w:val="nil"/>
          <w:left w:val="nil"/>
          <w:bottom w:val="nil"/>
          <w:right w:val="nil"/>
          <w:between w:val="nil"/>
        </w:pBdr>
        <w:spacing w:before="8" w:line="360" w:lineRule="auto"/>
        <w:rPr>
          <w:b/>
          <w:color w:val="000000"/>
          <w:sz w:val="25"/>
          <w:szCs w:val="25"/>
        </w:rPr>
      </w:pPr>
    </w:p>
    <w:p w14:paraId="70FD821A" w14:textId="77777777" w:rsidR="00852587" w:rsidRDefault="004C4A96">
      <w:pPr>
        <w:spacing w:line="360" w:lineRule="auto"/>
        <w:rPr>
          <w:b/>
          <w:color w:val="2E5395"/>
          <w:sz w:val="28"/>
          <w:szCs w:val="28"/>
        </w:rPr>
      </w:pPr>
      <w:r>
        <w:br w:type="page"/>
      </w:r>
    </w:p>
    <w:p w14:paraId="48750499" w14:textId="77777777" w:rsidR="00852587" w:rsidRDefault="004C4A96">
      <w:pPr>
        <w:pStyle w:val="Titre1"/>
        <w:spacing w:line="360" w:lineRule="auto"/>
        <w:ind w:left="0" w:right="2059"/>
        <w:rPr>
          <w:color w:val="2E5395"/>
        </w:rPr>
      </w:pPr>
      <w:bookmarkStart w:id="32" w:name="_heading=h.2jxsxqh" w:colFirst="0" w:colLast="0"/>
      <w:bookmarkEnd w:id="32"/>
      <w:r>
        <w:rPr>
          <w:color w:val="2E5395"/>
        </w:rPr>
        <w:lastRenderedPageBreak/>
        <w:t xml:space="preserve">ABSTRACT </w:t>
      </w:r>
    </w:p>
    <w:p w14:paraId="4C3E43D0" w14:textId="77777777" w:rsidR="00852587" w:rsidRDefault="00852587">
      <w:pPr>
        <w:pStyle w:val="Titre1"/>
        <w:spacing w:line="360" w:lineRule="auto"/>
        <w:ind w:left="0" w:right="2059"/>
        <w:rPr>
          <w:color w:val="2E5395"/>
        </w:rPr>
      </w:pPr>
      <w:bookmarkStart w:id="33" w:name="_heading=h.z4v0nth751hk" w:colFirst="0" w:colLast="0"/>
      <w:bookmarkEnd w:id="33"/>
    </w:p>
    <w:p w14:paraId="0BBC616D" w14:textId="77777777" w:rsidR="00852587" w:rsidRDefault="00852587">
      <w:pPr>
        <w:pStyle w:val="Titre1"/>
        <w:spacing w:line="360" w:lineRule="auto"/>
        <w:ind w:left="0" w:right="2059"/>
        <w:rPr>
          <w:color w:val="2E5395"/>
        </w:rPr>
      </w:pPr>
      <w:bookmarkStart w:id="34" w:name="_heading=h.873nyty34urp" w:colFirst="0" w:colLast="0"/>
      <w:bookmarkEnd w:id="34"/>
    </w:p>
    <w:p w14:paraId="54F2446D" w14:textId="77777777" w:rsidR="00852587" w:rsidRDefault="00852587">
      <w:pPr>
        <w:pStyle w:val="Titre1"/>
        <w:spacing w:line="360" w:lineRule="auto"/>
        <w:ind w:left="0" w:right="2059"/>
        <w:rPr>
          <w:color w:val="2E5395"/>
        </w:rPr>
      </w:pPr>
      <w:bookmarkStart w:id="35" w:name="_heading=h.wobhhojua9ol" w:colFirst="0" w:colLast="0"/>
      <w:bookmarkEnd w:id="35"/>
    </w:p>
    <w:p w14:paraId="6D37DB6B" w14:textId="77777777" w:rsidR="00852587" w:rsidRDefault="00852587">
      <w:pPr>
        <w:pStyle w:val="Titre1"/>
        <w:spacing w:line="360" w:lineRule="auto"/>
        <w:ind w:left="0" w:right="2059"/>
        <w:rPr>
          <w:color w:val="2E5395"/>
        </w:rPr>
      </w:pPr>
      <w:bookmarkStart w:id="36" w:name="_heading=h.2kyq6t9ahzcu" w:colFirst="0" w:colLast="0"/>
      <w:bookmarkEnd w:id="36"/>
    </w:p>
    <w:p w14:paraId="12E97F33" w14:textId="77777777" w:rsidR="00852587" w:rsidRDefault="00852587">
      <w:pPr>
        <w:pStyle w:val="Titre1"/>
        <w:spacing w:line="360" w:lineRule="auto"/>
        <w:ind w:left="0" w:right="2059"/>
        <w:rPr>
          <w:color w:val="2E5395"/>
        </w:rPr>
      </w:pPr>
      <w:bookmarkStart w:id="37" w:name="_heading=h.og9tkee2zp8f" w:colFirst="0" w:colLast="0"/>
      <w:bookmarkEnd w:id="37"/>
    </w:p>
    <w:p w14:paraId="22C18D96" w14:textId="77777777" w:rsidR="00852587" w:rsidRDefault="00852587">
      <w:pPr>
        <w:pStyle w:val="Titre1"/>
        <w:spacing w:line="360" w:lineRule="auto"/>
        <w:ind w:left="0" w:right="2059"/>
        <w:rPr>
          <w:color w:val="2E5395"/>
        </w:rPr>
      </w:pPr>
      <w:bookmarkStart w:id="38" w:name="_heading=h.vihyqg5nuuig" w:colFirst="0" w:colLast="0"/>
      <w:bookmarkEnd w:id="38"/>
    </w:p>
    <w:p w14:paraId="766186F6" w14:textId="77777777" w:rsidR="00852587" w:rsidRDefault="00852587">
      <w:pPr>
        <w:pStyle w:val="Titre1"/>
        <w:spacing w:line="360" w:lineRule="auto"/>
        <w:ind w:left="0" w:right="2059"/>
        <w:rPr>
          <w:color w:val="2E5395"/>
        </w:rPr>
      </w:pPr>
      <w:bookmarkStart w:id="39" w:name="_heading=h.9tzcj390gvtv" w:colFirst="0" w:colLast="0"/>
      <w:bookmarkEnd w:id="39"/>
    </w:p>
    <w:p w14:paraId="1683728C" w14:textId="77777777" w:rsidR="00852587" w:rsidRDefault="00852587">
      <w:pPr>
        <w:pStyle w:val="Titre1"/>
        <w:spacing w:line="360" w:lineRule="auto"/>
        <w:ind w:left="0" w:right="2059"/>
        <w:rPr>
          <w:color w:val="2E5395"/>
        </w:rPr>
      </w:pPr>
      <w:bookmarkStart w:id="40" w:name="_heading=h.2ee9ekeur478" w:colFirst="0" w:colLast="0"/>
      <w:bookmarkEnd w:id="40"/>
    </w:p>
    <w:p w14:paraId="4BCE1CFB" w14:textId="77777777" w:rsidR="00852587" w:rsidRDefault="00852587">
      <w:pPr>
        <w:pStyle w:val="Titre1"/>
        <w:spacing w:line="360" w:lineRule="auto"/>
        <w:ind w:left="0" w:right="2059"/>
        <w:rPr>
          <w:color w:val="2E5395"/>
        </w:rPr>
      </w:pPr>
      <w:bookmarkStart w:id="41" w:name="_heading=h.c3sel8ajtn7x" w:colFirst="0" w:colLast="0"/>
      <w:bookmarkEnd w:id="41"/>
    </w:p>
    <w:p w14:paraId="3D3AA4E5" w14:textId="77777777" w:rsidR="00852587" w:rsidRDefault="00852587">
      <w:pPr>
        <w:pStyle w:val="Titre1"/>
        <w:spacing w:line="360" w:lineRule="auto"/>
        <w:ind w:left="0" w:right="2059"/>
        <w:rPr>
          <w:color w:val="2E5395"/>
        </w:rPr>
      </w:pPr>
      <w:bookmarkStart w:id="42" w:name="_heading=h.hnzvu65c4pql" w:colFirst="0" w:colLast="0"/>
      <w:bookmarkEnd w:id="42"/>
    </w:p>
    <w:p w14:paraId="0DD4CB9F" w14:textId="77777777" w:rsidR="00852587" w:rsidRDefault="00852587">
      <w:pPr>
        <w:pStyle w:val="Titre1"/>
        <w:spacing w:line="360" w:lineRule="auto"/>
        <w:ind w:left="0" w:right="2059"/>
        <w:rPr>
          <w:color w:val="2E5395"/>
        </w:rPr>
      </w:pPr>
      <w:bookmarkStart w:id="43" w:name="_heading=h.t9vbx6ezmk4s" w:colFirst="0" w:colLast="0"/>
      <w:bookmarkEnd w:id="43"/>
    </w:p>
    <w:p w14:paraId="379451DA" w14:textId="77777777" w:rsidR="00852587" w:rsidRDefault="00852587">
      <w:pPr>
        <w:pStyle w:val="Titre1"/>
        <w:spacing w:line="360" w:lineRule="auto"/>
        <w:ind w:left="0" w:right="2059"/>
        <w:rPr>
          <w:color w:val="2E5395"/>
        </w:rPr>
      </w:pPr>
      <w:bookmarkStart w:id="44" w:name="_heading=h.jpyirysauviq" w:colFirst="0" w:colLast="0"/>
      <w:bookmarkEnd w:id="44"/>
    </w:p>
    <w:p w14:paraId="5014EFC9" w14:textId="77777777" w:rsidR="00852587" w:rsidRDefault="00852587">
      <w:pPr>
        <w:pStyle w:val="Titre1"/>
        <w:spacing w:line="360" w:lineRule="auto"/>
        <w:ind w:left="0" w:right="2059"/>
        <w:rPr>
          <w:color w:val="2E5395"/>
        </w:rPr>
      </w:pPr>
      <w:bookmarkStart w:id="45" w:name="_heading=h.618ttye15wlb" w:colFirst="0" w:colLast="0"/>
      <w:bookmarkEnd w:id="45"/>
    </w:p>
    <w:p w14:paraId="4E3FD8D2" w14:textId="77777777" w:rsidR="00852587" w:rsidRDefault="00852587">
      <w:pPr>
        <w:pStyle w:val="Titre1"/>
        <w:spacing w:line="360" w:lineRule="auto"/>
        <w:ind w:left="0" w:right="2059"/>
        <w:rPr>
          <w:color w:val="2E5395"/>
        </w:rPr>
      </w:pPr>
      <w:bookmarkStart w:id="46" w:name="_heading=h.ajzaohudmtae" w:colFirst="0" w:colLast="0"/>
      <w:bookmarkEnd w:id="46"/>
    </w:p>
    <w:p w14:paraId="026DD239" w14:textId="77777777" w:rsidR="00852587" w:rsidRDefault="00852587">
      <w:pPr>
        <w:pStyle w:val="Titre1"/>
        <w:spacing w:line="360" w:lineRule="auto"/>
        <w:ind w:left="0" w:right="2059"/>
        <w:rPr>
          <w:color w:val="2E5395"/>
        </w:rPr>
      </w:pPr>
      <w:bookmarkStart w:id="47" w:name="_heading=h.mr1dcxs2fnem" w:colFirst="0" w:colLast="0"/>
      <w:bookmarkEnd w:id="47"/>
    </w:p>
    <w:p w14:paraId="4A2697B1" w14:textId="77777777" w:rsidR="00852587" w:rsidRDefault="00852587">
      <w:pPr>
        <w:pStyle w:val="Titre1"/>
        <w:spacing w:line="360" w:lineRule="auto"/>
        <w:ind w:left="0" w:right="2059"/>
        <w:rPr>
          <w:color w:val="2E5395"/>
        </w:rPr>
      </w:pPr>
      <w:bookmarkStart w:id="48" w:name="_heading=h.9rq3dhp7011u" w:colFirst="0" w:colLast="0"/>
      <w:bookmarkEnd w:id="48"/>
    </w:p>
    <w:p w14:paraId="459649FA" w14:textId="77777777" w:rsidR="00852587" w:rsidRDefault="00852587">
      <w:pPr>
        <w:pStyle w:val="Titre1"/>
        <w:spacing w:line="360" w:lineRule="auto"/>
        <w:ind w:left="0" w:right="2059"/>
        <w:rPr>
          <w:color w:val="2E5395"/>
        </w:rPr>
      </w:pPr>
      <w:bookmarkStart w:id="49" w:name="_heading=h.wyuao7u41pea" w:colFirst="0" w:colLast="0"/>
      <w:bookmarkEnd w:id="49"/>
    </w:p>
    <w:p w14:paraId="31A0E326" w14:textId="77777777" w:rsidR="00852587" w:rsidRDefault="00852587">
      <w:pPr>
        <w:pStyle w:val="Titre1"/>
        <w:spacing w:line="360" w:lineRule="auto"/>
        <w:ind w:left="0" w:right="2059"/>
        <w:rPr>
          <w:color w:val="2E5395"/>
        </w:rPr>
      </w:pPr>
      <w:bookmarkStart w:id="50" w:name="_heading=h.r84u51fcmob1" w:colFirst="0" w:colLast="0"/>
      <w:bookmarkEnd w:id="50"/>
    </w:p>
    <w:p w14:paraId="0436EECB" w14:textId="77777777" w:rsidR="00852587" w:rsidRDefault="00852587">
      <w:pPr>
        <w:pStyle w:val="Titre1"/>
        <w:spacing w:line="360" w:lineRule="auto"/>
        <w:ind w:left="0" w:right="2059"/>
        <w:rPr>
          <w:color w:val="2E5395"/>
        </w:rPr>
      </w:pPr>
      <w:bookmarkStart w:id="51" w:name="_heading=h.ayx1dti3g9vu" w:colFirst="0" w:colLast="0"/>
      <w:bookmarkEnd w:id="51"/>
    </w:p>
    <w:p w14:paraId="4A7387E2" w14:textId="77777777" w:rsidR="00852587" w:rsidRDefault="00852587">
      <w:pPr>
        <w:pStyle w:val="Titre1"/>
        <w:spacing w:line="360" w:lineRule="auto"/>
        <w:ind w:left="0" w:right="2059"/>
        <w:rPr>
          <w:color w:val="2E5395"/>
        </w:rPr>
      </w:pPr>
      <w:bookmarkStart w:id="52" w:name="_heading=h.tqbwb7wdi8b7" w:colFirst="0" w:colLast="0"/>
      <w:bookmarkEnd w:id="52"/>
    </w:p>
    <w:p w14:paraId="4D30D466" w14:textId="77777777" w:rsidR="00852587" w:rsidRDefault="00852587">
      <w:pPr>
        <w:pStyle w:val="Titre1"/>
        <w:spacing w:line="360" w:lineRule="auto"/>
        <w:ind w:left="0" w:right="2059"/>
        <w:rPr>
          <w:color w:val="2E5395"/>
        </w:rPr>
      </w:pPr>
      <w:bookmarkStart w:id="53" w:name="_heading=h.pvobn47h5q8m" w:colFirst="0" w:colLast="0"/>
      <w:bookmarkEnd w:id="53"/>
    </w:p>
    <w:p w14:paraId="65512B16" w14:textId="77777777" w:rsidR="00852587" w:rsidRDefault="00852587">
      <w:pPr>
        <w:pStyle w:val="Titre1"/>
        <w:spacing w:line="360" w:lineRule="auto"/>
        <w:ind w:left="0" w:right="2059"/>
        <w:rPr>
          <w:color w:val="2E5395"/>
        </w:rPr>
      </w:pPr>
      <w:bookmarkStart w:id="54" w:name="_heading=h.drjxo2he9bb" w:colFirst="0" w:colLast="0"/>
      <w:bookmarkEnd w:id="54"/>
    </w:p>
    <w:p w14:paraId="75EEE99E" w14:textId="77777777" w:rsidR="00852587" w:rsidRDefault="00852587">
      <w:pPr>
        <w:pStyle w:val="Titre1"/>
        <w:spacing w:line="360" w:lineRule="auto"/>
        <w:ind w:left="0" w:right="2059"/>
        <w:rPr>
          <w:color w:val="2E5395"/>
        </w:rPr>
      </w:pPr>
      <w:bookmarkStart w:id="55" w:name="_heading=h.9l41pi2vw84z" w:colFirst="0" w:colLast="0"/>
      <w:bookmarkEnd w:id="55"/>
    </w:p>
    <w:p w14:paraId="6985518D" w14:textId="77777777" w:rsidR="00852587" w:rsidRDefault="00852587">
      <w:pPr>
        <w:pStyle w:val="Titre1"/>
        <w:spacing w:line="360" w:lineRule="auto"/>
        <w:ind w:left="0" w:right="2059"/>
        <w:rPr>
          <w:color w:val="2E5395"/>
        </w:rPr>
      </w:pPr>
      <w:bookmarkStart w:id="56" w:name="_heading=h.r07vm6tgzx4" w:colFirst="0" w:colLast="0"/>
      <w:bookmarkEnd w:id="56"/>
    </w:p>
    <w:p w14:paraId="3A967181" w14:textId="77777777" w:rsidR="00852587" w:rsidRDefault="00852587">
      <w:pPr>
        <w:pStyle w:val="Titre1"/>
        <w:spacing w:line="360" w:lineRule="auto"/>
        <w:ind w:left="0" w:right="2059"/>
        <w:jc w:val="left"/>
        <w:rPr>
          <w:color w:val="2E5395"/>
        </w:rPr>
      </w:pPr>
      <w:bookmarkStart w:id="57" w:name="_heading=h.hazz9w4w4bdi" w:colFirst="0" w:colLast="0"/>
      <w:bookmarkEnd w:id="57"/>
    </w:p>
    <w:p w14:paraId="388D2F31" w14:textId="77777777" w:rsidR="00852587" w:rsidRDefault="004C4A96">
      <w:pPr>
        <w:pStyle w:val="Titre1"/>
        <w:spacing w:line="360" w:lineRule="auto"/>
        <w:ind w:left="0" w:right="2059"/>
        <w:rPr>
          <w:b w:val="0"/>
          <w:color w:val="000000"/>
          <w:sz w:val="24"/>
          <w:szCs w:val="24"/>
        </w:rPr>
        <w:sectPr w:rsidR="00852587">
          <w:footerReference w:type="default" r:id="rId10"/>
          <w:pgSz w:w="11910" w:h="16840"/>
          <w:pgMar w:top="1360" w:right="1180" w:bottom="1240" w:left="1340" w:header="0" w:footer="1055" w:gutter="0"/>
          <w:pgNumType w:start="1"/>
          <w:cols w:space="720"/>
        </w:sectPr>
      </w:pPr>
      <w:bookmarkStart w:id="58" w:name="_heading=h.rtye99y4ojh6" w:colFirst="0" w:colLast="0"/>
      <w:bookmarkEnd w:id="58"/>
      <w:r>
        <w:rPr>
          <w:color w:val="2E5395"/>
        </w:rPr>
        <w:lastRenderedPageBreak/>
        <w:t>SOMMAIRE</w:t>
      </w:r>
    </w:p>
    <w:p w14:paraId="1B582FAA" w14:textId="77777777" w:rsidR="00852587" w:rsidRDefault="00852587">
      <w:pPr>
        <w:pStyle w:val="Titre1"/>
        <w:spacing w:before="89" w:line="360" w:lineRule="auto"/>
        <w:ind w:left="0" w:right="2063"/>
        <w:jc w:val="left"/>
      </w:pPr>
      <w:bookmarkStart w:id="59" w:name="_heading=h.vsrh4q5ww1dx" w:colFirst="0" w:colLast="0"/>
      <w:bookmarkEnd w:id="59"/>
    </w:p>
    <w:p w14:paraId="21293D77" w14:textId="77777777" w:rsidR="00852587" w:rsidRDefault="00852587">
      <w:pPr>
        <w:pStyle w:val="Titre1"/>
        <w:spacing w:before="89" w:line="360" w:lineRule="auto"/>
        <w:ind w:left="0" w:right="2063" w:firstLine="720"/>
        <w:rPr>
          <w:sz w:val="40"/>
          <w:szCs w:val="40"/>
        </w:rPr>
      </w:pPr>
      <w:bookmarkStart w:id="60" w:name="_heading=h.wpxus3f7c7oj" w:colFirst="0" w:colLast="0"/>
      <w:bookmarkEnd w:id="60"/>
    </w:p>
    <w:p w14:paraId="4627B441" w14:textId="77777777" w:rsidR="00852587" w:rsidRDefault="00852587">
      <w:pPr>
        <w:pStyle w:val="Titre1"/>
        <w:spacing w:before="89" w:line="360" w:lineRule="auto"/>
        <w:ind w:left="0" w:right="2063" w:firstLine="720"/>
        <w:rPr>
          <w:sz w:val="40"/>
          <w:szCs w:val="40"/>
        </w:rPr>
      </w:pPr>
      <w:bookmarkStart w:id="61" w:name="_heading=h.7snh9bg1t06w" w:colFirst="0" w:colLast="0"/>
      <w:bookmarkEnd w:id="61"/>
    </w:p>
    <w:p w14:paraId="7C3AFA06" w14:textId="77777777" w:rsidR="00852587" w:rsidRDefault="00852587">
      <w:pPr>
        <w:pStyle w:val="Titre1"/>
        <w:spacing w:before="89" w:line="360" w:lineRule="auto"/>
        <w:ind w:left="0" w:right="2063" w:firstLine="720"/>
        <w:rPr>
          <w:sz w:val="40"/>
          <w:szCs w:val="40"/>
        </w:rPr>
      </w:pPr>
      <w:bookmarkStart w:id="62" w:name="_heading=h.hpy5147rt8o" w:colFirst="0" w:colLast="0"/>
      <w:bookmarkEnd w:id="62"/>
    </w:p>
    <w:p w14:paraId="7D96C544" w14:textId="77777777" w:rsidR="00852587" w:rsidRDefault="00852587">
      <w:pPr>
        <w:pStyle w:val="Titre1"/>
        <w:spacing w:before="89" w:line="360" w:lineRule="auto"/>
        <w:ind w:left="0" w:right="2063" w:firstLine="720"/>
        <w:rPr>
          <w:sz w:val="40"/>
          <w:szCs w:val="40"/>
        </w:rPr>
      </w:pPr>
      <w:bookmarkStart w:id="63" w:name="_heading=h.681iq59ms2yv" w:colFirst="0" w:colLast="0"/>
      <w:bookmarkEnd w:id="63"/>
    </w:p>
    <w:p w14:paraId="1C1AC31B" w14:textId="77777777" w:rsidR="00852587" w:rsidRDefault="00852587">
      <w:pPr>
        <w:pStyle w:val="Titre1"/>
        <w:spacing w:before="89" w:line="360" w:lineRule="auto"/>
        <w:ind w:left="0" w:right="2063" w:firstLine="720"/>
        <w:rPr>
          <w:sz w:val="40"/>
          <w:szCs w:val="40"/>
        </w:rPr>
      </w:pPr>
      <w:bookmarkStart w:id="64" w:name="_heading=h.e7n6uzafsmer" w:colFirst="0" w:colLast="0"/>
      <w:bookmarkEnd w:id="64"/>
    </w:p>
    <w:p w14:paraId="49BBB0F5" w14:textId="77777777" w:rsidR="00852587" w:rsidRDefault="00852587">
      <w:pPr>
        <w:pStyle w:val="Titre1"/>
        <w:spacing w:before="89" w:line="360" w:lineRule="auto"/>
        <w:ind w:left="0" w:right="2063" w:firstLine="720"/>
        <w:rPr>
          <w:sz w:val="40"/>
          <w:szCs w:val="40"/>
        </w:rPr>
      </w:pPr>
      <w:bookmarkStart w:id="65" w:name="_heading=h.s6qayynxul4m" w:colFirst="0" w:colLast="0"/>
      <w:bookmarkEnd w:id="65"/>
    </w:p>
    <w:p w14:paraId="40809227" w14:textId="77777777" w:rsidR="00852587" w:rsidRDefault="00852587">
      <w:pPr>
        <w:pStyle w:val="Titre1"/>
        <w:spacing w:before="89" w:line="360" w:lineRule="auto"/>
        <w:ind w:left="0" w:right="2063" w:firstLine="720"/>
        <w:rPr>
          <w:sz w:val="40"/>
          <w:szCs w:val="40"/>
        </w:rPr>
      </w:pPr>
      <w:bookmarkStart w:id="66" w:name="_heading=h.dhtst4dx111s" w:colFirst="0" w:colLast="0"/>
      <w:bookmarkEnd w:id="66"/>
    </w:p>
    <w:p w14:paraId="1F73B245" w14:textId="77777777" w:rsidR="00852587" w:rsidRDefault="004C4A96">
      <w:pPr>
        <w:pStyle w:val="Titre1"/>
        <w:spacing w:before="89" w:line="360" w:lineRule="auto"/>
        <w:ind w:left="0" w:right="2063" w:firstLine="720"/>
        <w:rPr>
          <w:sz w:val="40"/>
          <w:szCs w:val="40"/>
        </w:rPr>
        <w:sectPr w:rsidR="00852587">
          <w:pgSz w:w="11910" w:h="16840"/>
          <w:pgMar w:top="1600" w:right="1180" w:bottom="1240" w:left="1340" w:header="0" w:footer="1055" w:gutter="0"/>
          <w:pgNumType w:start="1"/>
          <w:cols w:space="720"/>
        </w:sectPr>
      </w:pPr>
      <w:bookmarkStart w:id="67" w:name="_heading=h.3j2qqm3" w:colFirst="0" w:colLast="0"/>
      <w:bookmarkEnd w:id="67"/>
      <w:r>
        <w:rPr>
          <w:sz w:val="40"/>
          <w:szCs w:val="40"/>
        </w:rPr>
        <w:t>INTRODUCTION</w:t>
      </w:r>
    </w:p>
    <w:p w14:paraId="348ABB36" w14:textId="77777777" w:rsidR="00852587" w:rsidRDefault="00852587">
      <w:pPr>
        <w:spacing w:line="360" w:lineRule="auto"/>
        <w:rPr>
          <w:b/>
          <w:sz w:val="28"/>
          <w:szCs w:val="28"/>
        </w:rPr>
      </w:pPr>
      <w:bookmarkStart w:id="68" w:name="_heading=h.4i7ojhp" w:colFirst="0" w:colLast="0"/>
      <w:bookmarkEnd w:id="68"/>
    </w:p>
    <w:p w14:paraId="493CDEA8" w14:textId="77777777" w:rsidR="00852587" w:rsidRDefault="004C4A96">
      <w:pPr>
        <w:pStyle w:val="Titre2"/>
        <w:ind w:left="690" w:firstLine="0"/>
        <w:rPr>
          <w:rFonts w:ascii="Roboto" w:eastAsia="Roboto" w:hAnsi="Roboto" w:cs="Roboto"/>
          <w:b w:val="0"/>
          <w:color w:val="374151"/>
          <w:sz w:val="24"/>
        </w:rPr>
      </w:pPr>
      <w:bookmarkStart w:id="69" w:name="_heading=h.1pxezwc" w:colFirst="0" w:colLast="0"/>
      <w:bookmarkEnd w:id="69"/>
      <w:r>
        <w:rPr>
          <w:rFonts w:ascii="Roboto" w:eastAsia="Roboto" w:hAnsi="Roboto" w:cs="Roboto"/>
          <w:b w:val="0"/>
          <w:color w:val="374151"/>
          <w:sz w:val="24"/>
        </w:rPr>
        <w:t xml:space="preserve">NB :    </w:t>
      </w:r>
    </w:p>
    <w:p w14:paraId="3F36BD48" w14:textId="77777777" w:rsidR="00852587" w:rsidRDefault="004C4A96">
      <w:pPr>
        <w:pStyle w:val="Titre2"/>
        <w:ind w:left="690" w:firstLine="0"/>
        <w:rPr>
          <w:rFonts w:ascii="Roboto" w:eastAsia="Roboto" w:hAnsi="Roboto" w:cs="Roboto"/>
          <w:b w:val="0"/>
          <w:color w:val="374151"/>
          <w:sz w:val="24"/>
        </w:rPr>
      </w:pPr>
      <w:bookmarkStart w:id="70" w:name="_heading=h.1gtv0bvqbulb" w:colFirst="0" w:colLast="0"/>
      <w:bookmarkEnd w:id="70"/>
      <w:r>
        <w:rPr>
          <w:rFonts w:ascii="Roboto" w:eastAsia="Roboto" w:hAnsi="Roboto" w:cs="Roboto"/>
          <w:b w:val="0"/>
          <w:color w:val="374151"/>
          <w:sz w:val="24"/>
        </w:rPr>
        <w:t>Une introduction doit décrire le domaine, le ou les  contextes du problème étudié , le ou les problèmes spécifiques à résoudre, les enjeux associés et les objectifs du mémoire.</w:t>
      </w:r>
    </w:p>
    <w:p w14:paraId="32083C5D" w14:textId="77777777" w:rsidR="00852587" w:rsidRDefault="00852587">
      <w:pPr>
        <w:pStyle w:val="Titre2"/>
        <w:ind w:left="690" w:firstLine="0"/>
        <w:rPr>
          <w:rFonts w:ascii="Roboto" w:eastAsia="Roboto" w:hAnsi="Roboto" w:cs="Roboto"/>
          <w:color w:val="374151"/>
          <w:sz w:val="24"/>
        </w:rPr>
      </w:pPr>
      <w:bookmarkStart w:id="71" w:name="_heading=h.jcvf2krg6c93" w:colFirst="0" w:colLast="0"/>
      <w:bookmarkEnd w:id="71"/>
    </w:p>
    <w:p w14:paraId="01008106" w14:textId="77777777" w:rsidR="00852587" w:rsidRDefault="00852587">
      <w:pPr>
        <w:pStyle w:val="Titre2"/>
        <w:ind w:left="690" w:firstLine="0"/>
        <w:rPr>
          <w:rFonts w:ascii="Roboto" w:eastAsia="Roboto" w:hAnsi="Roboto" w:cs="Roboto"/>
          <w:color w:val="374151"/>
          <w:sz w:val="24"/>
        </w:rPr>
      </w:pPr>
      <w:bookmarkStart w:id="72" w:name="_heading=h.jz56pbazvike" w:colFirst="0" w:colLast="0"/>
      <w:bookmarkEnd w:id="72"/>
    </w:p>
    <w:p w14:paraId="0B62705D" w14:textId="77777777" w:rsidR="00852587" w:rsidRDefault="004C4A96">
      <w:pPr>
        <w:pStyle w:val="Titre2"/>
        <w:numPr>
          <w:ilvl w:val="0"/>
          <w:numId w:val="1"/>
        </w:numPr>
        <w:rPr>
          <w:rFonts w:ascii="Roboto" w:eastAsia="Roboto" w:hAnsi="Roboto" w:cs="Roboto"/>
          <w:b w:val="0"/>
          <w:color w:val="374151"/>
          <w:sz w:val="24"/>
        </w:rPr>
      </w:pPr>
      <w:bookmarkStart w:id="73" w:name="_heading=h.nvkdhkbp2fsc" w:colFirst="0" w:colLast="0"/>
      <w:bookmarkEnd w:id="73"/>
      <w:r>
        <w:rPr>
          <w:rFonts w:ascii="Roboto" w:eastAsia="Roboto" w:hAnsi="Roboto" w:cs="Roboto"/>
          <w:b w:val="0"/>
          <w:color w:val="374151"/>
          <w:sz w:val="24"/>
        </w:rPr>
        <w:t xml:space="preserve">Contexte et Justification </w:t>
      </w:r>
    </w:p>
    <w:p w14:paraId="5A7D6791" w14:textId="77777777" w:rsidR="00852587" w:rsidRDefault="00852587">
      <w:pPr>
        <w:ind w:left="720"/>
      </w:pPr>
    </w:p>
    <w:p w14:paraId="17FB0B78" w14:textId="77777777" w:rsidR="00852587" w:rsidRDefault="004C4A96">
      <w:pPr>
        <w:pStyle w:val="Titre2"/>
        <w:numPr>
          <w:ilvl w:val="0"/>
          <w:numId w:val="1"/>
        </w:numPr>
        <w:rPr>
          <w:rFonts w:ascii="Roboto" w:eastAsia="Roboto" w:hAnsi="Roboto" w:cs="Roboto"/>
          <w:b w:val="0"/>
          <w:color w:val="374151"/>
          <w:sz w:val="24"/>
        </w:rPr>
      </w:pPr>
      <w:bookmarkStart w:id="74" w:name="_heading=h.3vwnq37v34st" w:colFirst="0" w:colLast="0"/>
      <w:bookmarkEnd w:id="74"/>
      <w:r>
        <w:rPr>
          <w:rFonts w:ascii="Roboto" w:eastAsia="Roboto" w:hAnsi="Roboto" w:cs="Roboto"/>
          <w:b w:val="0"/>
          <w:color w:val="374151"/>
          <w:sz w:val="24"/>
        </w:rPr>
        <w:t xml:space="preserve">Objectifs de la Recherche </w:t>
      </w:r>
    </w:p>
    <w:p w14:paraId="14F3B80A" w14:textId="77777777" w:rsidR="00852587" w:rsidRDefault="00852587">
      <w:pPr>
        <w:ind w:left="720"/>
      </w:pPr>
    </w:p>
    <w:p w14:paraId="64E80902" w14:textId="77777777" w:rsidR="00852587" w:rsidRDefault="004C4A96">
      <w:pPr>
        <w:pStyle w:val="Titre2"/>
        <w:numPr>
          <w:ilvl w:val="0"/>
          <w:numId w:val="1"/>
        </w:numPr>
        <w:rPr>
          <w:rFonts w:ascii="Roboto" w:eastAsia="Roboto" w:hAnsi="Roboto" w:cs="Roboto"/>
          <w:b w:val="0"/>
          <w:color w:val="374151"/>
          <w:sz w:val="24"/>
        </w:rPr>
      </w:pPr>
      <w:bookmarkStart w:id="75" w:name="_heading=h.9uj5mpbit02r" w:colFirst="0" w:colLast="0"/>
      <w:bookmarkEnd w:id="75"/>
      <w:r>
        <w:rPr>
          <w:rFonts w:ascii="Roboto" w:eastAsia="Roboto" w:hAnsi="Roboto" w:cs="Roboto"/>
          <w:b w:val="0"/>
          <w:color w:val="374151"/>
          <w:sz w:val="24"/>
        </w:rPr>
        <w:t>Structure du Mémoire</w:t>
      </w:r>
    </w:p>
    <w:p w14:paraId="34AE8677" w14:textId="77777777" w:rsidR="00852587" w:rsidRDefault="00852587">
      <w:pPr>
        <w:ind w:left="720"/>
      </w:pPr>
    </w:p>
    <w:p w14:paraId="26695CEC" w14:textId="77777777" w:rsidR="00852587" w:rsidRDefault="004C4A96">
      <w:pPr>
        <w:pStyle w:val="Titre2"/>
        <w:numPr>
          <w:ilvl w:val="0"/>
          <w:numId w:val="1"/>
        </w:numPr>
        <w:rPr>
          <w:rFonts w:ascii="Roboto" w:eastAsia="Roboto" w:hAnsi="Roboto" w:cs="Roboto"/>
          <w:b w:val="0"/>
          <w:color w:val="374151"/>
          <w:sz w:val="24"/>
        </w:rPr>
      </w:pPr>
      <w:bookmarkStart w:id="76" w:name="_heading=h.nqnhx3ijc8ze" w:colFirst="0" w:colLast="0"/>
      <w:bookmarkEnd w:id="76"/>
      <w:r>
        <w:rPr>
          <w:rFonts w:ascii="Roboto" w:eastAsia="Roboto" w:hAnsi="Roboto" w:cs="Roboto"/>
          <w:b w:val="0"/>
          <w:color w:val="374151"/>
          <w:sz w:val="24"/>
        </w:rPr>
        <w:t xml:space="preserve">Conclusion </w:t>
      </w:r>
    </w:p>
    <w:p w14:paraId="331E8D78"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3626163A"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6E2F7C8B"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2EC9D9A8"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10AFD0EF"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43EF1E91"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47746DED"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58AA015A"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0D02B4E3"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3BE21E1D"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6CAA1A78"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54C668ED"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5AB42556"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4C093AE5"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19253730"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43C2F7AA"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29A41CAF"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17ED3CF2"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0347BB74"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71EEF2B5"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76E1F1FA"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550D0E10"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70E15A98"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105D70CF"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6BBD64C7"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5BD00D3E"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5798F38A"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21C3E42E"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73157387"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18FDF270"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614A77D8"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00E48C6A"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5AEB640C"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1369FA47"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63B33388"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6CCCDC05"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0A219013"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44A0DDE0"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6A6CC452"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69B477D8" w14:textId="77777777" w:rsidR="00852587" w:rsidRDefault="00852587">
      <w:pPr>
        <w:pBdr>
          <w:top w:val="nil"/>
          <w:left w:val="nil"/>
          <w:bottom w:val="nil"/>
          <w:right w:val="nil"/>
          <w:between w:val="nil"/>
        </w:pBdr>
        <w:spacing w:line="360" w:lineRule="auto"/>
        <w:ind w:right="266"/>
        <w:jc w:val="both"/>
        <w:rPr>
          <w:color w:val="1F2021"/>
          <w:sz w:val="24"/>
          <w:szCs w:val="24"/>
        </w:rPr>
      </w:pPr>
    </w:p>
    <w:p w14:paraId="4B66958D"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39841445" w14:textId="77777777" w:rsidR="00852587" w:rsidRDefault="004C4A96">
      <w:pPr>
        <w:pStyle w:val="Titre"/>
      </w:pPr>
      <w:bookmarkStart w:id="77" w:name="_heading=h.m7ckdfg695bo" w:colFirst="0" w:colLast="0"/>
      <w:bookmarkEnd w:id="77"/>
      <w:r>
        <w:t xml:space="preserve">CHAPITRE I: Etat de l’art </w:t>
      </w:r>
      <w:r>
        <w:br w:type="page"/>
      </w:r>
    </w:p>
    <w:p w14:paraId="1B0A70F0" w14:textId="77777777" w:rsidR="00852587" w:rsidRDefault="00852587">
      <w:pPr>
        <w:pStyle w:val="Titre"/>
      </w:pPr>
      <w:bookmarkStart w:id="78" w:name="_heading=h.tcgmd0kv07qr" w:colFirst="0" w:colLast="0"/>
      <w:bookmarkEnd w:id="78"/>
    </w:p>
    <w:p w14:paraId="7A9B60CE" w14:textId="77777777" w:rsidR="00852587" w:rsidRDefault="00852587"/>
    <w:p w14:paraId="35DDB2D3" w14:textId="77777777" w:rsidR="00852587" w:rsidRDefault="00852587"/>
    <w:p w14:paraId="15222963" w14:textId="77777777" w:rsidR="00852587" w:rsidRDefault="00852587"/>
    <w:p w14:paraId="5A9A818C" w14:textId="77777777" w:rsidR="00852587" w:rsidRDefault="004C4A96">
      <w:r>
        <w:rPr>
          <w:rFonts w:ascii="Roboto" w:eastAsia="Roboto" w:hAnsi="Roboto" w:cs="Roboto"/>
          <w:color w:val="374151"/>
          <w:sz w:val="24"/>
          <w:szCs w:val="24"/>
        </w:rPr>
        <w:t>NB : Une analyse approfondie des travaux antérieurs et des recherches existantes liées au sujet du mémoire.</w:t>
      </w:r>
    </w:p>
    <w:p w14:paraId="7468B5BE" w14:textId="77777777" w:rsidR="00852587" w:rsidRDefault="00852587"/>
    <w:p w14:paraId="70112AB7" w14:textId="77777777" w:rsidR="00852587" w:rsidRDefault="00852587"/>
    <w:p w14:paraId="5DA08F83" w14:textId="77777777" w:rsidR="00852587" w:rsidRDefault="00852587"/>
    <w:p w14:paraId="73AE771E" w14:textId="77777777" w:rsidR="00852587" w:rsidRDefault="00852587"/>
    <w:p w14:paraId="071CB4A3" w14:textId="77777777" w:rsidR="00852587" w:rsidRDefault="004C4A96">
      <w:pPr>
        <w:numPr>
          <w:ilvl w:val="0"/>
          <w:numId w:val="3"/>
        </w:numPr>
        <w:rPr>
          <w:rFonts w:ascii="Roboto" w:eastAsia="Roboto" w:hAnsi="Roboto" w:cs="Roboto"/>
          <w:color w:val="374151"/>
          <w:sz w:val="24"/>
          <w:szCs w:val="24"/>
        </w:rPr>
      </w:pPr>
      <w:r>
        <w:rPr>
          <w:rFonts w:ascii="Roboto" w:eastAsia="Roboto" w:hAnsi="Roboto" w:cs="Roboto"/>
          <w:color w:val="374151"/>
          <w:sz w:val="24"/>
          <w:szCs w:val="24"/>
        </w:rPr>
        <w:t xml:space="preserve">État de l'Art sur le Domaine d’application </w:t>
      </w:r>
    </w:p>
    <w:p w14:paraId="734A72B4" w14:textId="77777777" w:rsidR="00852587" w:rsidRDefault="00852587">
      <w:pPr>
        <w:ind w:left="720"/>
        <w:rPr>
          <w:rFonts w:ascii="Roboto" w:eastAsia="Roboto" w:hAnsi="Roboto" w:cs="Roboto"/>
          <w:color w:val="374151"/>
          <w:sz w:val="24"/>
          <w:szCs w:val="24"/>
        </w:rPr>
      </w:pPr>
    </w:p>
    <w:p w14:paraId="0A1F6B04" w14:textId="77777777" w:rsidR="00852587" w:rsidRDefault="004C4A96">
      <w:pPr>
        <w:numPr>
          <w:ilvl w:val="0"/>
          <w:numId w:val="3"/>
        </w:numPr>
        <w:rPr>
          <w:rFonts w:ascii="Roboto" w:eastAsia="Roboto" w:hAnsi="Roboto" w:cs="Roboto"/>
          <w:color w:val="374151"/>
          <w:sz w:val="24"/>
          <w:szCs w:val="24"/>
        </w:rPr>
      </w:pPr>
      <w:r>
        <w:rPr>
          <w:rFonts w:ascii="Roboto" w:eastAsia="Roboto" w:hAnsi="Roboto" w:cs="Roboto"/>
          <w:color w:val="374151"/>
          <w:sz w:val="24"/>
          <w:szCs w:val="24"/>
        </w:rPr>
        <w:t xml:space="preserve">Etat de l’Art sur les Travaux de Recherche Pertinents  liés au sujet </w:t>
      </w:r>
    </w:p>
    <w:p w14:paraId="7259233C" w14:textId="77777777" w:rsidR="00852587" w:rsidRDefault="00852587">
      <w:pPr>
        <w:ind w:left="720"/>
        <w:rPr>
          <w:rFonts w:ascii="Roboto" w:eastAsia="Roboto" w:hAnsi="Roboto" w:cs="Roboto"/>
          <w:color w:val="374151"/>
          <w:sz w:val="24"/>
          <w:szCs w:val="24"/>
        </w:rPr>
      </w:pPr>
    </w:p>
    <w:p w14:paraId="60A9AA22" w14:textId="77777777" w:rsidR="00852587" w:rsidRDefault="004C4A96">
      <w:pPr>
        <w:numPr>
          <w:ilvl w:val="0"/>
          <w:numId w:val="3"/>
        </w:numPr>
        <w:rPr>
          <w:rFonts w:ascii="Roboto" w:eastAsia="Roboto" w:hAnsi="Roboto" w:cs="Roboto"/>
          <w:color w:val="374151"/>
          <w:sz w:val="24"/>
          <w:szCs w:val="24"/>
        </w:rPr>
      </w:pPr>
      <w:r>
        <w:rPr>
          <w:rFonts w:ascii="Roboto" w:eastAsia="Roboto" w:hAnsi="Roboto" w:cs="Roboto"/>
          <w:color w:val="374151"/>
          <w:sz w:val="24"/>
          <w:szCs w:val="24"/>
        </w:rPr>
        <w:t xml:space="preserve"> </w:t>
      </w:r>
      <w:r>
        <w:rPr>
          <w:rFonts w:ascii="Roboto" w:eastAsia="Roboto" w:hAnsi="Roboto" w:cs="Roboto"/>
          <w:color w:val="0D0D0D"/>
          <w:sz w:val="24"/>
          <w:szCs w:val="24"/>
        </w:rPr>
        <w:t>Identification des Zones de Recherche Manquantes liés au sujet</w:t>
      </w:r>
    </w:p>
    <w:p w14:paraId="67F0C592" w14:textId="77777777" w:rsidR="00852587" w:rsidRDefault="00852587">
      <w:pPr>
        <w:ind w:left="720"/>
        <w:rPr>
          <w:rFonts w:ascii="Roboto" w:eastAsia="Roboto" w:hAnsi="Roboto" w:cs="Roboto"/>
          <w:color w:val="0D0D0D"/>
          <w:sz w:val="24"/>
          <w:szCs w:val="24"/>
        </w:rPr>
      </w:pPr>
    </w:p>
    <w:p w14:paraId="1AD86F79" w14:textId="77777777" w:rsidR="00852587" w:rsidRDefault="004C4A96">
      <w:pPr>
        <w:numPr>
          <w:ilvl w:val="0"/>
          <w:numId w:val="3"/>
        </w:numPr>
        <w:rPr>
          <w:rFonts w:ascii="Roboto" w:eastAsia="Roboto" w:hAnsi="Roboto" w:cs="Roboto"/>
          <w:color w:val="374151"/>
          <w:sz w:val="24"/>
          <w:szCs w:val="24"/>
        </w:rPr>
      </w:pPr>
      <w:r>
        <w:rPr>
          <w:rFonts w:ascii="Roboto" w:eastAsia="Roboto" w:hAnsi="Roboto" w:cs="Roboto"/>
          <w:color w:val="0D0D0D"/>
          <w:sz w:val="24"/>
          <w:szCs w:val="24"/>
        </w:rPr>
        <w:t>Conclusion</w:t>
      </w:r>
    </w:p>
    <w:p w14:paraId="7C392AFA" w14:textId="77777777" w:rsidR="00852587" w:rsidRDefault="00852587">
      <w:pPr>
        <w:ind w:left="720"/>
        <w:rPr>
          <w:rFonts w:ascii="Roboto" w:eastAsia="Roboto" w:hAnsi="Roboto" w:cs="Roboto"/>
          <w:color w:val="0D0D0D"/>
          <w:sz w:val="24"/>
          <w:szCs w:val="24"/>
        </w:rPr>
      </w:pPr>
    </w:p>
    <w:p w14:paraId="3832B79A" w14:textId="77777777" w:rsidR="00852587" w:rsidRDefault="00852587">
      <w:pPr>
        <w:ind w:left="720"/>
        <w:rPr>
          <w:rFonts w:ascii="Roboto" w:eastAsia="Roboto" w:hAnsi="Roboto" w:cs="Roboto"/>
          <w:color w:val="374151"/>
          <w:sz w:val="24"/>
          <w:szCs w:val="24"/>
        </w:rPr>
      </w:pPr>
    </w:p>
    <w:p w14:paraId="0CBA4F50" w14:textId="77777777" w:rsidR="00852587" w:rsidRDefault="00852587"/>
    <w:p w14:paraId="628164A9" w14:textId="77777777" w:rsidR="00852587" w:rsidRDefault="00852587"/>
    <w:p w14:paraId="18FF94DE" w14:textId="77777777" w:rsidR="00852587" w:rsidRDefault="00852587"/>
    <w:p w14:paraId="1FFECA96" w14:textId="77777777" w:rsidR="00852587" w:rsidRDefault="00852587"/>
    <w:p w14:paraId="0CAEB057" w14:textId="77777777" w:rsidR="00852587" w:rsidRDefault="00852587"/>
    <w:p w14:paraId="24AFB6E6" w14:textId="77777777" w:rsidR="00852587" w:rsidRDefault="00852587"/>
    <w:p w14:paraId="04085F5D" w14:textId="77777777" w:rsidR="00852587" w:rsidRDefault="00852587"/>
    <w:p w14:paraId="503F230A" w14:textId="77777777" w:rsidR="00852587" w:rsidRDefault="00852587"/>
    <w:p w14:paraId="21300F93" w14:textId="77777777" w:rsidR="00852587" w:rsidRDefault="00852587"/>
    <w:p w14:paraId="4BD2452E" w14:textId="77777777" w:rsidR="00852587" w:rsidRDefault="00852587"/>
    <w:p w14:paraId="5CB4DA30" w14:textId="77777777" w:rsidR="00852587" w:rsidRDefault="00852587"/>
    <w:p w14:paraId="21235388" w14:textId="77777777" w:rsidR="00852587" w:rsidRDefault="00852587"/>
    <w:p w14:paraId="6348580E" w14:textId="77777777" w:rsidR="00852587" w:rsidRDefault="00852587"/>
    <w:p w14:paraId="6966EE25" w14:textId="77777777" w:rsidR="00852587" w:rsidRDefault="00852587"/>
    <w:p w14:paraId="2CCAF236" w14:textId="77777777" w:rsidR="00852587" w:rsidRDefault="00852587"/>
    <w:p w14:paraId="00BAC342" w14:textId="77777777" w:rsidR="00852587" w:rsidRDefault="00852587"/>
    <w:p w14:paraId="17E172F3" w14:textId="77777777" w:rsidR="00852587" w:rsidRDefault="00852587"/>
    <w:p w14:paraId="3F03A20E" w14:textId="77777777" w:rsidR="00852587" w:rsidRDefault="00852587"/>
    <w:p w14:paraId="096CC6E6" w14:textId="77777777" w:rsidR="00852587" w:rsidRDefault="00852587"/>
    <w:p w14:paraId="2D170C38" w14:textId="77777777" w:rsidR="00852587" w:rsidRDefault="00852587"/>
    <w:p w14:paraId="683C8FB1" w14:textId="77777777" w:rsidR="00852587" w:rsidRDefault="00852587"/>
    <w:p w14:paraId="766160D9" w14:textId="77777777" w:rsidR="00852587" w:rsidRDefault="00852587"/>
    <w:p w14:paraId="10CD6616" w14:textId="77777777" w:rsidR="00852587" w:rsidRDefault="00852587"/>
    <w:p w14:paraId="32D21A35" w14:textId="77777777" w:rsidR="00852587" w:rsidRDefault="00852587"/>
    <w:p w14:paraId="41443048" w14:textId="77777777" w:rsidR="00852587" w:rsidRDefault="00852587"/>
    <w:p w14:paraId="6FFD0981" w14:textId="77777777" w:rsidR="00852587" w:rsidRDefault="00852587"/>
    <w:p w14:paraId="5962816A" w14:textId="77777777" w:rsidR="00852587" w:rsidRDefault="00852587"/>
    <w:p w14:paraId="330B9A8C" w14:textId="77777777" w:rsidR="00852587" w:rsidRDefault="00852587"/>
    <w:p w14:paraId="5F34BAEF" w14:textId="77777777" w:rsidR="00852587" w:rsidRDefault="00852587"/>
    <w:p w14:paraId="04F44702" w14:textId="77777777" w:rsidR="00852587" w:rsidRDefault="00852587"/>
    <w:p w14:paraId="2A54C596" w14:textId="77777777" w:rsidR="00852587" w:rsidRDefault="00852587"/>
    <w:p w14:paraId="112CC544" w14:textId="77777777" w:rsidR="00852587" w:rsidRDefault="00852587"/>
    <w:p w14:paraId="7D9876E6" w14:textId="77777777" w:rsidR="00852587" w:rsidRDefault="00852587"/>
    <w:p w14:paraId="5D165468" w14:textId="77777777" w:rsidR="00852587" w:rsidRDefault="00852587"/>
    <w:p w14:paraId="3CB1078D" w14:textId="77777777" w:rsidR="00852587" w:rsidRDefault="00852587"/>
    <w:p w14:paraId="6E7B8A08" w14:textId="77777777" w:rsidR="00852587" w:rsidRDefault="00852587"/>
    <w:p w14:paraId="146B3EA2" w14:textId="77777777" w:rsidR="00852587" w:rsidRDefault="00852587"/>
    <w:p w14:paraId="714E8BB7"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6D52D487" w14:textId="77777777" w:rsidR="00852587" w:rsidRDefault="00852587">
      <w:pPr>
        <w:pBdr>
          <w:top w:val="nil"/>
          <w:left w:val="nil"/>
          <w:bottom w:val="nil"/>
          <w:right w:val="nil"/>
          <w:between w:val="nil"/>
        </w:pBdr>
        <w:spacing w:line="360" w:lineRule="auto"/>
        <w:ind w:left="100" w:right="266"/>
        <w:jc w:val="both"/>
        <w:rPr>
          <w:color w:val="1F2021"/>
          <w:sz w:val="24"/>
          <w:szCs w:val="24"/>
        </w:rPr>
      </w:pPr>
    </w:p>
    <w:p w14:paraId="1DB0325C" w14:textId="77777777" w:rsidR="00852587" w:rsidRDefault="00852587">
      <w:pPr>
        <w:pStyle w:val="Titre1"/>
        <w:spacing w:before="89" w:line="360" w:lineRule="auto"/>
        <w:ind w:left="2160" w:right="2063"/>
        <w:jc w:val="left"/>
      </w:pPr>
      <w:bookmarkStart w:id="79" w:name="_heading=h.kwvkmt1sk79e" w:colFirst="0" w:colLast="0"/>
      <w:bookmarkEnd w:id="79"/>
    </w:p>
    <w:p w14:paraId="0B88BBE2" w14:textId="77777777" w:rsidR="00852587" w:rsidRDefault="00852587">
      <w:pPr>
        <w:jc w:val="center"/>
      </w:pPr>
    </w:p>
    <w:p w14:paraId="179C7305" w14:textId="77777777" w:rsidR="00852587" w:rsidRDefault="00852587">
      <w:pPr>
        <w:jc w:val="center"/>
      </w:pPr>
    </w:p>
    <w:p w14:paraId="67F536D8" w14:textId="77777777" w:rsidR="00852587" w:rsidRDefault="00852587">
      <w:pPr>
        <w:pStyle w:val="Titre"/>
      </w:pPr>
      <w:bookmarkStart w:id="80" w:name="_heading=h.igtp2pw6m7l" w:colFirst="0" w:colLast="0"/>
      <w:bookmarkEnd w:id="80"/>
    </w:p>
    <w:p w14:paraId="4545E6DE" w14:textId="77777777" w:rsidR="00852587" w:rsidRDefault="00852587">
      <w:pPr>
        <w:pStyle w:val="Titre"/>
      </w:pPr>
      <w:bookmarkStart w:id="81" w:name="_heading=h.2ztym0ttkppd" w:colFirst="0" w:colLast="0"/>
      <w:bookmarkEnd w:id="81"/>
    </w:p>
    <w:p w14:paraId="25B6A9CB" w14:textId="77777777" w:rsidR="00852587" w:rsidRDefault="00852587">
      <w:pPr>
        <w:pStyle w:val="Titre"/>
      </w:pPr>
      <w:bookmarkStart w:id="82" w:name="_heading=h.dmo7li18wcdv" w:colFirst="0" w:colLast="0"/>
      <w:bookmarkEnd w:id="82"/>
    </w:p>
    <w:p w14:paraId="6B9C8DBC" w14:textId="77777777" w:rsidR="00852587" w:rsidRDefault="00852587">
      <w:pPr>
        <w:pStyle w:val="Titre"/>
      </w:pPr>
      <w:bookmarkStart w:id="83" w:name="_heading=h.bemkszrsyyyr" w:colFirst="0" w:colLast="0"/>
      <w:bookmarkEnd w:id="83"/>
    </w:p>
    <w:p w14:paraId="6FF65FF4" w14:textId="77777777" w:rsidR="00852587" w:rsidRDefault="00852587">
      <w:pPr>
        <w:pStyle w:val="Titre"/>
      </w:pPr>
      <w:bookmarkStart w:id="84" w:name="_heading=h.qfey90nppme1" w:colFirst="0" w:colLast="0"/>
      <w:bookmarkEnd w:id="84"/>
    </w:p>
    <w:p w14:paraId="59CBFAD1" w14:textId="77777777" w:rsidR="00852587" w:rsidRDefault="00852587">
      <w:pPr>
        <w:pStyle w:val="Titre"/>
      </w:pPr>
      <w:bookmarkStart w:id="85" w:name="_heading=h.giyiq1cro5e4" w:colFirst="0" w:colLast="0"/>
      <w:bookmarkEnd w:id="85"/>
    </w:p>
    <w:p w14:paraId="0162026A" w14:textId="77777777" w:rsidR="00852587" w:rsidRDefault="00852587">
      <w:pPr>
        <w:pStyle w:val="Titre"/>
      </w:pPr>
      <w:bookmarkStart w:id="86" w:name="_heading=h.lkwihrrsmwjv" w:colFirst="0" w:colLast="0"/>
      <w:bookmarkEnd w:id="86"/>
    </w:p>
    <w:p w14:paraId="280351DC" w14:textId="77777777" w:rsidR="00852587" w:rsidRDefault="004C4A96">
      <w:pPr>
        <w:pStyle w:val="Titre"/>
      </w:pPr>
      <w:bookmarkStart w:id="87" w:name="_heading=h.7vxupftith2r" w:colFirst="0" w:colLast="0"/>
      <w:bookmarkEnd w:id="87"/>
      <w:r>
        <w:t>CHAPITRE II: Analyse de besoins et Méthodologie</w:t>
      </w:r>
      <w:r>
        <w:br w:type="page"/>
      </w:r>
    </w:p>
    <w:p>
      <w:pPr>
        <w:spacing w:before="0" w:after="120" w:line="360" w:lineRule="auto"/>
        <w:jc w:val="both"/>
      </w:pPr>
      <w:r>
        <w:rPr>
          <w:sz w:val="24"/>
        </w:rPr>
        <w:t>Ce deuxième chapitre présente l'analyse des besoins et la méthodologie qui conduisent au système de détection de fraude. Il répond à deux questions. D'abord, que faut-il construire, et avec quelles données ? La première partie spécifie les besoins du métier, puis décrit les sources de données, leur collecte et leur préparation. Ensuite, comment établir avec rigueur que le système fonctionne ? La seconde partie justifie le choix des algorithmes, fixe leurs paramètres, puis définit l'évaluation : ce que l'on mesure, avec quelles métriques et selon quel protocole.</w:t>
      </w:r>
    </w:p>
    <w:p>
      <w:pPr>
        <w:spacing w:before="0" w:after="120" w:line="360" w:lineRule="auto"/>
        <w:jc w:val="both"/>
      </w:pPr>
      <w:r>
        <w:rPr>
          <w:sz w:val="24"/>
        </w:rPr>
        <w:t>La conception détaillée du système (architecture, services, déploiement) et les résultats obtenus font l'objet du chapitre III.</w:t>
      </w:r>
    </w:p>
    <w:p>
      <w:pPr>
        <w:pBdr>
          <w:left w:val="single" w:sz="24" w:space="8" w:color="2B6CB0"/>
        </w:pBdr>
        <w:shd w:val="clear" w:color="auto" w:fill="EEF3FA"/>
        <w:spacing w:before="120" w:after="200" w:line="312" w:lineRule="auto"/>
        <w:ind w:left="340" w:right="170"/>
        <w:jc w:val="both"/>
      </w:pPr>
      <w:r>
        <w:rPr>
          <w:b/>
          <w:sz w:val="22"/>
        </w:rPr>
        <w:t>Précision méthodologique.</w:t>
      </w:r>
      <w:r>
        <w:rPr>
          <w:sz w:val="22"/>
        </w:rPr>
        <w:t xml:space="preserve"> Aucun jeu de données réel de transactions Mobile Money congolaises n'est publiquement accessible. Le système est donc conçu, entraîné et évalué sur des </w:t>
      </w:r>
      <w:r>
        <w:rPr>
          <w:b/>
          <w:sz w:val="22"/>
        </w:rPr>
        <w:t>données simulées</w:t>
      </w:r>
      <w:r>
        <w:rPr>
          <w:sz w:val="22"/>
        </w:rPr>
        <w:t>, produites par un générateur qui reproduit le contexte de la République démocratique du Congo (RDC) de 2019 à 2025. Ce choix et ses conséquences sont discutés tout au long du chapitre, notamment dans la section « Sources de données » et dans le protocole d'évaluation.</w:t>
      </w:r>
    </w:p>
    <w:p>
      <w:pPr>
        <w:pStyle w:val="Titre2"/>
        <w:keepNext/>
        <w:numPr>
          <w:numId w:val="0"/>
        </w:numPr>
        <w:spacing w:before="360" w:after="120"/>
        <w:ind w:left="0" w:firstLine="0"/>
        <w:jc w:val="left"/>
      </w:pPr>
      <w:r>
        <w:rPr>
          <w:b/>
          <w:color w:val="1F2A44"/>
          <w:sz w:val="30"/>
        </w:rPr>
        <w:t>I. Spécification des besoins et des données</w:t>
      </w:r>
    </w:p>
    <w:p>
      <w:pPr>
        <w:pStyle w:val="Titre3"/>
        <w:keepNext/>
        <w:numPr>
          <w:numId w:val="0"/>
        </w:numPr>
        <w:spacing w:before="280" w:after="120"/>
        <w:ind w:left="0" w:firstLine="0"/>
        <w:jc w:val="left"/>
      </w:pPr>
      <w:r>
        <w:rPr>
          <w:b/>
          <w:color w:val="1F2A44"/>
          <w:sz w:val="28"/>
        </w:rPr>
        <w:t>1. Analyse et spécification des besoins</w:t>
      </w:r>
    </w:p>
    <w:p>
      <w:pPr>
        <w:spacing w:before="0" w:after="120" w:line="360" w:lineRule="auto"/>
        <w:jc w:val="both"/>
      </w:pPr>
      <w:r>
        <w:rPr>
          <w:sz w:val="24"/>
        </w:rPr>
        <w:t>L'analyse des besoins vise à comprendre l'activité que le système doit servir avant de décider de la manière de l'informatiser. Elle suit la progression classique : présentation du domaine, étude et critique de l'existant, puis spécification des besoins.</w:t>
      </w:r>
    </w:p>
    <w:p>
      <w:pPr>
        <w:pStyle w:val="Titre4"/>
        <w:keepNext/>
        <w:numPr>
          <w:numId w:val="0"/>
        </w:numPr>
        <w:spacing w:before="200" w:after="120"/>
        <w:ind w:left="0" w:firstLine="0"/>
        <w:jc w:val="left"/>
      </w:pPr>
      <w:r>
        <w:rPr>
          <w:b/>
          <w:i/>
          <w:color w:val="000000"/>
          <w:sz w:val="25"/>
        </w:rPr>
        <w:t>1.1 Présentation du domaine</w:t>
      </w:r>
    </w:p>
    <w:p>
      <w:pPr>
        <w:spacing w:before="0" w:after="120" w:line="360" w:lineRule="auto"/>
        <w:jc w:val="both"/>
      </w:pPr>
      <w:r>
        <w:rPr>
          <w:b/>
          <w:sz w:val="24"/>
        </w:rPr>
        <w:t>Le Mobile Money en RDC.</w:t>
      </w:r>
      <w:r>
        <w:rPr>
          <w:sz w:val="24"/>
        </w:rPr>
        <w:t xml:space="preserve"> Le Mobile Money est devenu un moyen de paiement de masse dans un pays où une grande partie de la population n'a pas de compte bancaire. Trois opérateurs de téléphonie mobile se partagent le marché : </w:t>
      </w:r>
      <w:r>
        <w:rPr>
          <w:b/>
          <w:sz w:val="24"/>
        </w:rPr>
        <w:t>Vodacom (M-Pesa)</w:t>
      </w:r>
      <w:r>
        <w:rPr>
          <w:sz w:val="24"/>
        </w:rPr>
        <w:t xml:space="preserve">, </w:t>
      </w:r>
      <w:r>
        <w:rPr>
          <w:b/>
          <w:sz w:val="24"/>
        </w:rPr>
        <w:t>Airtel (Airtel Money)</w:t>
      </w:r>
      <w:r>
        <w:rPr>
          <w:sz w:val="24"/>
        </w:rPr>
        <w:t xml:space="preserve"> et </w:t>
      </w:r>
      <w:r>
        <w:rPr>
          <w:b/>
          <w:sz w:val="24"/>
        </w:rPr>
        <w:t>Orange (Orange Money)</w:t>
      </w:r>
      <w:r>
        <w:rPr>
          <w:sz w:val="24"/>
        </w:rPr>
        <w:t>. Selon l'observatoire de l'Autorité de régulation de la poste et des télécommunications du Congo (ARPTC), on comptait fin 2025 environ 15,4 millions d'abonnés actifs pour M-Pesa, 11,1 millions pour Airtel Money et 7,7 millions pour Orange Money.</w:t>
      </w:r>
    </w:p>
    <w:p>
      <w:pPr>
        <w:spacing w:before="0" w:after="120" w:line="360" w:lineRule="auto"/>
        <w:jc w:val="both"/>
      </w:pPr>
      <w:r>
        <w:rPr>
          <w:sz w:val="24"/>
        </w:rPr>
        <w:t>Le portefeuille mobile permet neuf types d'opérations, présentés dans le tableau II.1.</w:t>
      </w:r>
    </w:p>
    <w:p>
      <w:pPr>
        <w:pStyle w:val="Légendetableau"/>
        <w:keepNext/>
        <w:spacing w:before="200" w:after="80"/>
        <w:jc w:val="center"/>
      </w:pPr>
      <w:r>
        <w:rPr>
          <w:b/>
          <w:sz w:val="20"/>
        </w:rPr>
        <w:t>Tableau II.1 — Types d'opérations Mobile Money et carte.</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1672"/>
        <w:gridCol w:w="2810"/>
        <w:gridCol w:w="4907"/>
      </w:tblGrid>
      <w:tr>
        <w:trPr>
          <w:tblHeader w:val="true"/>
        </w:trPr>
        <w:tc>
          <w:tcPr>
            <w:tcW w:type="dxa" w:w="1672"/>
            <w:shd w:val="clear" w:color="auto" w:fill="D9E2F3"/>
          </w:tcPr>
          <w:p>
            <w:pPr>
              <w:spacing w:after="20" w:before="20" w:line="240" w:lineRule="auto"/>
              <w:jc w:val="left"/>
            </w:pPr>
            <w:r/>
            <w:r>
              <w:rPr>
                <w:b/>
                <w:sz w:val="20"/>
              </w:rPr>
              <w:t>Opération</w:t>
            </w:r>
          </w:p>
        </w:tc>
        <w:tc>
          <w:tcPr>
            <w:tcW w:type="dxa" w:w="2810"/>
            <w:shd w:val="clear" w:color="auto" w:fill="D9E2F3"/>
          </w:tcPr>
          <w:p>
            <w:pPr>
              <w:spacing w:after="20" w:before="20" w:line="240" w:lineRule="auto"/>
              <w:jc w:val="left"/>
            </w:pPr>
            <w:r/>
            <w:r>
              <w:rPr>
                <w:b/>
                <w:sz w:val="20"/>
              </w:rPr>
              <w:t>Code</w:t>
            </w:r>
          </w:p>
        </w:tc>
        <w:tc>
          <w:tcPr>
            <w:tcW w:type="dxa" w:w="4907"/>
            <w:shd w:val="clear" w:color="auto" w:fill="D9E2F3"/>
          </w:tcPr>
          <w:p>
            <w:pPr>
              <w:spacing w:after="20" w:before="20" w:line="240" w:lineRule="auto"/>
              <w:jc w:val="left"/>
            </w:pPr>
            <w:r/>
            <w:r>
              <w:rPr>
                <w:b/>
                <w:sz w:val="20"/>
              </w:rPr>
              <w:t>Description</w:t>
            </w:r>
          </w:p>
        </w:tc>
      </w:tr>
      <w:tr>
        <w:trPr>
          <w:cantSplit w:val="true"/>
        </w:trPr>
        <w:tc>
          <w:tcPr>
            <w:tcW w:type="dxa" w:w="1672"/>
          </w:tcPr>
          <w:p>
            <w:pPr>
              <w:spacing w:after="20" w:before="20" w:line="240" w:lineRule="auto"/>
              <w:jc w:val="left"/>
            </w:pPr>
            <w:r/>
            <w:r>
              <w:rPr>
                <w:sz w:val="20"/>
              </w:rPr>
              <w:t>Envoi d'argent</w:t>
            </w:r>
          </w:p>
        </w:tc>
        <w:tc>
          <w:tcPr>
            <w:tcW w:type="dxa" w:w="2810"/>
          </w:tcPr>
          <w:p>
            <w:pPr>
              <w:spacing w:after="20" w:before="20" w:line="240" w:lineRule="auto"/>
              <w:jc w:val="left"/>
            </w:pPr>
            <w:r/>
            <w:r>
              <w:rPr>
                <w:rFonts w:ascii="Courier New" w:hAnsi="Courier New"/>
                <w:b w:val="0"/>
                <w:sz w:val="16"/>
              </w:rPr>
              <w:t>P2P_SEND</w:t>
            </w:r>
          </w:p>
        </w:tc>
        <w:tc>
          <w:tcPr>
            <w:tcW w:type="dxa" w:w="4907"/>
          </w:tcPr>
          <w:p>
            <w:pPr>
              <w:spacing w:after="20" w:before="20" w:line="240" w:lineRule="auto"/>
              <w:jc w:val="left"/>
            </w:pPr>
            <w:r/>
            <w:r>
              <w:rPr>
                <w:sz w:val="20"/>
              </w:rPr>
              <w:t>transfert vers un autre portefeuille</w:t>
            </w:r>
          </w:p>
        </w:tc>
      </w:tr>
      <w:tr>
        <w:trPr>
          <w:cantSplit w:val="true"/>
        </w:trPr>
        <w:tc>
          <w:tcPr>
            <w:tcW w:type="dxa" w:w="1672"/>
          </w:tcPr>
          <w:p>
            <w:pPr>
              <w:spacing w:after="20" w:before="20" w:line="240" w:lineRule="auto"/>
              <w:jc w:val="left"/>
            </w:pPr>
            <w:r/>
            <w:r>
              <w:rPr>
                <w:sz w:val="20"/>
              </w:rPr>
              <w:t>Réception</w:t>
            </w:r>
          </w:p>
        </w:tc>
        <w:tc>
          <w:tcPr>
            <w:tcW w:type="dxa" w:w="2810"/>
          </w:tcPr>
          <w:p>
            <w:pPr>
              <w:spacing w:after="20" w:before="20" w:line="240" w:lineRule="auto"/>
              <w:jc w:val="left"/>
            </w:pPr>
            <w:r/>
            <w:r>
              <w:rPr>
                <w:rFonts w:ascii="Courier New" w:hAnsi="Courier New"/>
                <w:b w:val="0"/>
                <w:sz w:val="16"/>
              </w:rPr>
              <w:t>P2P_RECEIVE</w:t>
            </w:r>
          </w:p>
        </w:tc>
        <w:tc>
          <w:tcPr>
            <w:tcW w:type="dxa" w:w="4907"/>
          </w:tcPr>
          <w:p>
            <w:pPr>
              <w:spacing w:after="20" w:before="20" w:line="240" w:lineRule="auto"/>
              <w:jc w:val="left"/>
            </w:pPr>
            <w:r/>
            <w:r>
              <w:rPr>
                <w:sz w:val="20"/>
              </w:rPr>
              <w:t>crédit reçu d'un autre portefeuille</w:t>
            </w:r>
          </w:p>
        </w:tc>
      </w:tr>
      <w:tr>
        <w:trPr>
          <w:cantSplit w:val="true"/>
        </w:trPr>
        <w:tc>
          <w:tcPr>
            <w:tcW w:type="dxa" w:w="1672"/>
          </w:tcPr>
          <w:p>
            <w:pPr>
              <w:spacing w:after="20" w:before="20" w:line="240" w:lineRule="auto"/>
              <w:jc w:val="left"/>
            </w:pPr>
            <w:r/>
            <w:r>
              <w:rPr>
                <w:sz w:val="20"/>
              </w:rPr>
              <w:t>Dépôt</w:t>
            </w:r>
          </w:p>
        </w:tc>
        <w:tc>
          <w:tcPr>
            <w:tcW w:type="dxa" w:w="2810"/>
          </w:tcPr>
          <w:p>
            <w:pPr>
              <w:spacing w:after="20" w:before="20" w:line="240" w:lineRule="auto"/>
              <w:jc w:val="left"/>
            </w:pPr>
            <w:r/>
            <w:r>
              <w:rPr>
                <w:rFonts w:ascii="Courier New" w:hAnsi="Courier New"/>
                <w:b w:val="0"/>
                <w:sz w:val="16"/>
              </w:rPr>
              <w:t>CASH_IN</w:t>
            </w:r>
          </w:p>
        </w:tc>
        <w:tc>
          <w:tcPr>
            <w:tcW w:type="dxa" w:w="4907"/>
          </w:tcPr>
          <w:p>
            <w:pPr>
              <w:spacing w:after="20" w:before="20" w:line="240" w:lineRule="auto"/>
              <w:jc w:val="left"/>
            </w:pPr>
            <w:r/>
            <w:r>
              <w:rPr>
                <w:sz w:val="20"/>
              </w:rPr>
              <w:t>remise d'espèces chez un agent, contre crédit du portefeuille</w:t>
            </w:r>
          </w:p>
        </w:tc>
      </w:tr>
      <w:tr>
        <w:trPr>
          <w:cantSplit w:val="true"/>
        </w:trPr>
        <w:tc>
          <w:tcPr>
            <w:tcW w:type="dxa" w:w="1672"/>
          </w:tcPr>
          <w:p>
            <w:pPr>
              <w:spacing w:after="20" w:before="20" w:line="240" w:lineRule="auto"/>
              <w:jc w:val="left"/>
            </w:pPr>
            <w:r/>
            <w:r>
              <w:rPr>
                <w:sz w:val="20"/>
              </w:rPr>
              <w:t>Retrait</w:t>
            </w:r>
          </w:p>
        </w:tc>
        <w:tc>
          <w:tcPr>
            <w:tcW w:type="dxa" w:w="2810"/>
          </w:tcPr>
          <w:p>
            <w:pPr>
              <w:spacing w:after="20" w:before="20" w:line="240" w:lineRule="auto"/>
              <w:jc w:val="left"/>
            </w:pPr>
            <w:r/>
            <w:r>
              <w:rPr>
                <w:rFonts w:ascii="Courier New" w:hAnsi="Courier New"/>
                <w:b w:val="0"/>
                <w:sz w:val="16"/>
              </w:rPr>
              <w:t>CASH_OUT</w:t>
            </w:r>
          </w:p>
        </w:tc>
        <w:tc>
          <w:tcPr>
            <w:tcW w:type="dxa" w:w="4907"/>
          </w:tcPr>
          <w:p>
            <w:pPr>
              <w:spacing w:after="20" w:before="20" w:line="240" w:lineRule="auto"/>
              <w:jc w:val="left"/>
            </w:pPr>
            <w:r/>
            <w:r>
              <w:rPr>
                <w:sz w:val="20"/>
              </w:rPr>
              <w:t>retrait d'espèces chez un agent</w:t>
            </w:r>
          </w:p>
        </w:tc>
      </w:tr>
      <w:tr>
        <w:trPr>
          <w:cantSplit w:val="true"/>
        </w:trPr>
        <w:tc>
          <w:tcPr>
            <w:tcW w:type="dxa" w:w="1672"/>
          </w:tcPr>
          <w:p>
            <w:pPr>
              <w:spacing w:after="20" w:before="20" w:line="240" w:lineRule="auto"/>
              <w:jc w:val="left"/>
            </w:pPr>
            <w:r/>
            <w:r>
              <w:rPr>
                <w:sz w:val="20"/>
              </w:rPr>
              <w:t>Paiement marchand</w:t>
            </w:r>
          </w:p>
        </w:tc>
        <w:tc>
          <w:tcPr>
            <w:tcW w:type="dxa" w:w="2810"/>
          </w:tcPr>
          <w:p>
            <w:pPr>
              <w:spacing w:after="20" w:before="20" w:line="240" w:lineRule="auto"/>
              <w:jc w:val="left"/>
            </w:pPr>
            <w:r/>
            <w:r>
              <w:rPr>
                <w:rFonts w:ascii="Courier New" w:hAnsi="Courier New"/>
                <w:b w:val="0"/>
                <w:sz w:val="16"/>
              </w:rPr>
              <w:t>MERCHANT_PAYMENT</w:t>
            </w:r>
          </w:p>
        </w:tc>
        <w:tc>
          <w:tcPr>
            <w:tcW w:type="dxa" w:w="4907"/>
          </w:tcPr>
          <w:p>
            <w:pPr>
              <w:spacing w:after="20" w:before="20" w:line="240" w:lineRule="auto"/>
              <w:jc w:val="left"/>
            </w:pPr>
            <w:r/>
            <w:r>
              <w:rPr>
                <w:sz w:val="20"/>
              </w:rPr>
              <w:t>règlement d'un achat chez un commerçant</w:t>
            </w:r>
          </w:p>
        </w:tc>
      </w:tr>
      <w:tr>
        <w:trPr>
          <w:cantSplit w:val="true"/>
        </w:trPr>
        <w:tc>
          <w:tcPr>
            <w:tcW w:type="dxa" w:w="1672"/>
          </w:tcPr>
          <w:p>
            <w:pPr>
              <w:spacing w:after="20" w:before="20" w:line="240" w:lineRule="auto"/>
              <w:jc w:val="left"/>
            </w:pPr>
            <w:r/>
            <w:r>
              <w:rPr>
                <w:sz w:val="20"/>
              </w:rPr>
              <w:t>Crédit téléphonique</w:t>
            </w:r>
          </w:p>
        </w:tc>
        <w:tc>
          <w:tcPr>
            <w:tcW w:type="dxa" w:w="2810"/>
          </w:tcPr>
          <w:p>
            <w:pPr>
              <w:spacing w:after="20" w:before="20" w:line="240" w:lineRule="auto"/>
              <w:jc w:val="left"/>
            </w:pPr>
            <w:r/>
            <w:r>
              <w:rPr>
                <w:rFonts w:ascii="Courier New" w:hAnsi="Courier New"/>
                <w:b w:val="0"/>
                <w:sz w:val="16"/>
              </w:rPr>
              <w:t>AIRTIME</w:t>
            </w:r>
          </w:p>
        </w:tc>
        <w:tc>
          <w:tcPr>
            <w:tcW w:type="dxa" w:w="4907"/>
          </w:tcPr>
          <w:p>
            <w:pPr>
              <w:spacing w:after="20" w:before="20" w:line="240" w:lineRule="auto"/>
              <w:jc w:val="left"/>
            </w:pPr>
            <w:r/>
            <w:r>
              <w:rPr>
                <w:sz w:val="20"/>
              </w:rPr>
              <w:t>achat d'unités de communication</w:t>
            </w:r>
          </w:p>
        </w:tc>
      </w:tr>
      <w:tr>
        <w:trPr>
          <w:cantSplit w:val="true"/>
        </w:trPr>
        <w:tc>
          <w:tcPr>
            <w:tcW w:type="dxa" w:w="1672"/>
          </w:tcPr>
          <w:p>
            <w:pPr>
              <w:spacing w:after="20" w:before="20" w:line="240" w:lineRule="auto"/>
              <w:jc w:val="left"/>
            </w:pPr>
            <w:r/>
            <w:r>
              <w:rPr>
                <w:sz w:val="20"/>
              </w:rPr>
              <w:t>Facture</w:t>
            </w:r>
          </w:p>
        </w:tc>
        <w:tc>
          <w:tcPr>
            <w:tcW w:type="dxa" w:w="2810"/>
          </w:tcPr>
          <w:p>
            <w:pPr>
              <w:spacing w:after="20" w:before="20" w:line="240" w:lineRule="auto"/>
              <w:jc w:val="left"/>
            </w:pPr>
            <w:r/>
            <w:r>
              <w:rPr>
                <w:rFonts w:ascii="Courier New" w:hAnsi="Courier New"/>
                <w:b w:val="0"/>
                <w:sz w:val="16"/>
              </w:rPr>
              <w:t>BILL_PAYMENT</w:t>
            </w:r>
          </w:p>
        </w:tc>
        <w:tc>
          <w:tcPr>
            <w:tcW w:type="dxa" w:w="4907"/>
          </w:tcPr>
          <w:p>
            <w:pPr>
              <w:spacing w:after="20" w:before="20" w:line="240" w:lineRule="auto"/>
              <w:jc w:val="left"/>
            </w:pPr>
            <w:r/>
            <w:r>
              <w:rPr>
                <w:sz w:val="20"/>
              </w:rPr>
              <w:t>eau, électricité, télévision, frais scolaires</w:t>
            </w:r>
          </w:p>
        </w:tc>
      </w:tr>
      <w:tr>
        <w:trPr>
          <w:cantSplit w:val="true"/>
        </w:trPr>
        <w:tc>
          <w:tcPr>
            <w:tcW w:type="dxa" w:w="1672"/>
          </w:tcPr>
          <w:p>
            <w:pPr>
              <w:spacing w:after="20" w:before="20" w:line="240" w:lineRule="auto"/>
              <w:jc w:val="left"/>
            </w:pPr>
            <w:r/>
            <w:r>
              <w:rPr>
                <w:sz w:val="20"/>
              </w:rPr>
              <w:t>Recharge de carte</w:t>
            </w:r>
          </w:p>
        </w:tc>
        <w:tc>
          <w:tcPr>
            <w:tcW w:type="dxa" w:w="2810"/>
          </w:tcPr>
          <w:p>
            <w:pPr>
              <w:spacing w:after="20" w:before="20" w:line="240" w:lineRule="auto"/>
              <w:jc w:val="left"/>
            </w:pPr>
            <w:r/>
            <w:r>
              <w:rPr>
                <w:rFonts w:ascii="Courier New" w:hAnsi="Courier New"/>
                <w:b w:val="0"/>
                <w:sz w:val="16"/>
              </w:rPr>
              <w:t>CARD_TOPUP</w:t>
            </w:r>
          </w:p>
        </w:tc>
        <w:tc>
          <w:tcPr>
            <w:tcW w:type="dxa" w:w="4907"/>
          </w:tcPr>
          <w:p>
            <w:pPr>
              <w:spacing w:after="20" w:before="20" w:line="240" w:lineRule="auto"/>
              <w:jc w:val="left"/>
            </w:pPr>
            <w:r/>
            <w:r>
              <w:rPr>
                <w:sz w:val="20"/>
              </w:rPr>
              <w:t>alimentation de la carte Visa virtuelle depuis le portefeuille</w:t>
            </w:r>
          </w:p>
        </w:tc>
      </w:tr>
      <w:tr>
        <w:trPr>
          <w:cantSplit w:val="true"/>
        </w:trPr>
        <w:tc>
          <w:tcPr>
            <w:tcW w:type="dxa" w:w="1672"/>
          </w:tcPr>
          <w:p>
            <w:pPr>
              <w:spacing w:after="20" w:before="20" w:line="240" w:lineRule="auto"/>
              <w:jc w:val="left"/>
            </w:pPr>
            <w:r/>
            <w:r>
              <w:rPr>
                <w:sz w:val="20"/>
              </w:rPr>
              <w:t>Achat par carte</w:t>
            </w:r>
          </w:p>
        </w:tc>
        <w:tc>
          <w:tcPr>
            <w:tcW w:type="dxa" w:w="2810"/>
          </w:tcPr>
          <w:p>
            <w:pPr>
              <w:spacing w:after="20" w:before="20" w:line="240" w:lineRule="auto"/>
              <w:jc w:val="left"/>
            </w:pPr>
            <w:r/>
            <w:r>
              <w:rPr>
                <w:rFonts w:ascii="Courier New" w:hAnsi="Courier New"/>
                <w:b w:val="0"/>
                <w:sz w:val="16"/>
              </w:rPr>
              <w:t>CARD_PURCHASE</w:t>
            </w:r>
          </w:p>
        </w:tc>
        <w:tc>
          <w:tcPr>
            <w:tcW w:type="dxa" w:w="4907"/>
          </w:tcPr>
          <w:p>
            <w:pPr>
              <w:spacing w:after="20" w:before="20" w:line="240" w:lineRule="auto"/>
              <w:jc w:val="left"/>
            </w:pPr>
            <w:r/>
            <w:r>
              <w:rPr>
                <w:sz w:val="20"/>
              </w:rPr>
              <w:t>paiement en ligne ou international par carte virtuelle</w:t>
            </w:r>
          </w:p>
        </w:tc>
      </w:tr>
    </w:tbl>
    <w:p>
      <w:pPr>
        <w:spacing w:after="120"/>
      </w:pPr>
    </w:p>
    <w:p>
      <w:pPr>
        <w:spacing w:before="0" w:after="120" w:line="360" w:lineRule="auto"/>
        <w:jc w:val="both"/>
      </w:pPr>
      <w:r>
        <w:rPr>
          <w:sz w:val="24"/>
        </w:rPr>
        <w:t>Trois traits caractérisent ce marché et orientent la conception du système :</w:t>
      </w:r>
    </w:p>
    <w:p>
      <w:pPr>
        <w:tabs>
          <w:tab w:pos="567" w:val="left"/>
        </w:tabs>
        <w:spacing w:after="60" w:line="324" w:lineRule="auto"/>
        <w:ind w:left="567" w:hanging="340"/>
        <w:jc w:val="both"/>
      </w:pPr>
      <w:r>
        <w:rPr>
          <w:sz w:val="24"/>
        </w:rPr>
        <w:t>1.</w:t>
        <w:tab/>
      </w:r>
      <w:r>
        <w:rPr>
          <w:b/>
          <w:sz w:val="24"/>
        </w:rPr>
        <w:t>L'accès par USSD</w:t>
      </w:r>
      <w:r>
        <w:rPr>
          <w:sz w:val="24"/>
        </w:rPr>
        <w:t xml:space="preserve"> (</w:t>
      </w:r>
      <w:r>
        <w:rPr>
          <w:i/>
          <w:sz w:val="24"/>
        </w:rPr>
        <w:t>Unstructured Supplementary Service Data</w:t>
      </w:r>
      <w:r>
        <w:rPr>
          <w:sz w:val="24"/>
        </w:rPr>
        <w:t xml:space="preserve">). Une large part des clients utilise un téléphone simple et compose un code (par exemple </w:t>
      </w:r>
      <w:r>
        <w:rPr>
          <w:rFonts w:ascii="Courier New" w:hAnsi="Courier New"/>
          <w:b w:val="0"/>
          <w:sz w:val="20"/>
        </w:rPr>
        <w:t>*1222#</w:t>
      </w:r>
      <w:r>
        <w:rPr>
          <w:sz w:val="24"/>
        </w:rPr>
        <w:t>). Le système ne peut donc pas compter sur des signaux propres aux smartphones, comme la géolocalisation fine ou l'empreinte de l'application.</w:t>
      </w:r>
    </w:p>
    <w:p>
      <w:pPr>
        <w:tabs>
          <w:tab w:pos="567" w:val="left"/>
        </w:tabs>
        <w:spacing w:after="60" w:line="324" w:lineRule="auto"/>
        <w:ind w:left="567" w:hanging="340"/>
        <w:jc w:val="both"/>
      </w:pPr>
      <w:r>
        <w:rPr>
          <w:sz w:val="24"/>
        </w:rPr>
        <w:t>2.</w:t>
        <w:tab/>
      </w:r>
      <w:r>
        <w:rPr>
          <w:b/>
          <w:sz w:val="24"/>
        </w:rPr>
        <w:t>La double monnaie.</w:t>
      </w:r>
      <w:r>
        <w:rPr>
          <w:sz w:val="24"/>
        </w:rPr>
        <w:t xml:space="preserve"> Les opérations se font en francs congolais (CDF) et en dollars américains (USD). Le franc s'est fortement déprécié sur la période étudiée : environ 1 650 CDF pour 1 USD en 2019, plus de 2 700 en 2024.</w:t>
      </w:r>
    </w:p>
    <w:p>
      <w:pPr>
        <w:tabs>
          <w:tab w:pos="567" w:val="left"/>
        </w:tabs>
        <w:spacing w:after="60" w:line="324" w:lineRule="auto"/>
        <w:ind w:left="567" w:hanging="340"/>
        <w:jc w:val="both"/>
      </w:pPr>
      <w:r>
        <w:rPr>
          <w:sz w:val="24"/>
        </w:rPr>
        <w:t>3.</w:t>
        <w:tab/>
      </w:r>
      <w:r>
        <w:rPr>
          <w:b/>
          <w:sz w:val="24"/>
        </w:rPr>
        <w:t>Le réseau d'agents.</w:t>
      </w:r>
      <w:r>
        <w:rPr>
          <w:sz w:val="24"/>
        </w:rPr>
        <w:t xml:space="preserve"> Les dépôts et les retraits passent par des agents de proximité. Ils sont indispensables à l'inclusion financière, mais constituent aussi un point de vulnérabilité.</w:t>
      </w:r>
    </w:p>
    <w:p>
      <w:pPr>
        <w:spacing w:before="0" w:after="120" w:line="360" w:lineRule="auto"/>
        <w:jc w:val="both"/>
      </w:pPr>
      <w:r>
        <w:rPr>
          <w:b/>
          <w:sz w:val="24"/>
        </w:rPr>
        <w:t>La carte Visa virtuelle.</w:t>
      </w:r>
      <w:r>
        <w:rPr>
          <w:sz w:val="24"/>
        </w:rPr>
        <w:t xml:space="preserve"> Les opérateurs et certaines banques proposent une carte Visa virtuelle, rechargée depuis le portefeuille mobile. Elle ouvre l'accès aux achats en ligne et internationaux. Ce second canal obéit à d'autres usages (commerçants en ligne, montants, horaires) et attire des fraudes spécifiques. Le travail prévoit une extension comparative à ce canal.</w:t>
      </w:r>
    </w:p>
    <w:p>
      <w:pPr>
        <w:spacing w:before="0" w:after="120" w:line="360" w:lineRule="auto"/>
        <w:jc w:val="both"/>
      </w:pPr>
      <w:r>
        <w:rPr>
          <w:b/>
          <w:sz w:val="24"/>
        </w:rPr>
        <w:t>Le cadre réglementaire.</w:t>
      </w:r>
      <w:r>
        <w:rPr>
          <w:sz w:val="24"/>
        </w:rPr>
        <w:t xml:space="preserve"> La Banque Centrale du Congo (BCC) régule l'émission de monnaie électronique, notamment par l'Instruction n° 24 de 2011. Elle impose l'identification des clients selon des niveaux KYC (</w:t>
      </w:r>
      <w:r>
        <w:rPr>
          <w:i/>
          <w:sz w:val="24"/>
        </w:rPr>
        <w:t>Know Your Customer</w:t>
      </w:r>
      <w:r>
        <w:rPr>
          <w:sz w:val="24"/>
        </w:rPr>
        <w:t>), assortis de plafonds par opération, et attend des établissements une traçabilité de leurs décisions. L'ARPTC suit de son côté le marché des télécommunications.</w:t>
      </w:r>
    </w:p>
    <w:p>
      <w:pPr>
        <w:spacing w:before="0" w:after="120" w:line="360" w:lineRule="auto"/>
        <w:jc w:val="both"/>
      </w:pPr>
      <w:r>
        <w:rPr>
          <w:b/>
          <w:sz w:val="24"/>
        </w:rPr>
        <w:t>Les typologies de fraude.</w:t>
      </w:r>
      <w:r>
        <w:rPr>
          <w:sz w:val="24"/>
        </w:rPr>
        <w:t xml:space="preserve"> L'analyse du domaine a permis de retenir huit typologies de fraude, qui forment le périmètre de détection du système (tableau II.2).</w:t>
      </w:r>
    </w:p>
    <w:p>
      <w:pPr>
        <w:pStyle w:val="Légendetableau"/>
        <w:keepNext/>
        <w:spacing w:before="200" w:after="80"/>
        <w:jc w:val="center"/>
      </w:pPr>
      <w:r>
        <w:rPr>
          <w:b/>
          <w:sz w:val="20"/>
        </w:rPr>
        <w:t>Tableau II.2 — Typologies de fraude retenues.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1398"/>
        <w:gridCol w:w="3913"/>
        <w:gridCol w:w="3237"/>
        <w:gridCol w:w="840"/>
      </w:tblGrid>
      <w:tr>
        <w:trPr>
          <w:tblHeader w:val="true"/>
        </w:trPr>
        <w:tc>
          <w:tcPr>
            <w:tcW w:type="dxa" w:w="1398"/>
            <w:shd w:val="clear" w:color="auto" w:fill="D9E2F3"/>
          </w:tcPr>
          <w:p>
            <w:pPr>
              <w:spacing w:after="20" w:before="20" w:line="240" w:lineRule="auto"/>
              <w:jc w:val="left"/>
            </w:pPr>
            <w:r/>
            <w:r>
              <w:rPr>
                <w:b/>
                <w:sz w:val="18"/>
              </w:rPr>
              <w:t>Typologie</w:t>
            </w:r>
          </w:p>
        </w:tc>
        <w:tc>
          <w:tcPr>
            <w:tcW w:type="dxa" w:w="3913"/>
            <w:shd w:val="clear" w:color="auto" w:fill="D9E2F3"/>
          </w:tcPr>
          <w:p>
            <w:pPr>
              <w:spacing w:after="20" w:before="20" w:line="240" w:lineRule="auto"/>
              <w:jc w:val="left"/>
            </w:pPr>
            <w:r/>
            <w:r>
              <w:rPr>
                <w:b/>
                <w:sz w:val="18"/>
              </w:rPr>
              <w:t>Mécanisme</w:t>
            </w:r>
          </w:p>
        </w:tc>
        <w:tc>
          <w:tcPr>
            <w:tcW w:type="dxa" w:w="3237"/>
            <w:shd w:val="clear" w:color="auto" w:fill="D9E2F3"/>
          </w:tcPr>
          <w:p>
            <w:pPr>
              <w:spacing w:after="20" w:before="20" w:line="240" w:lineRule="auto"/>
              <w:jc w:val="left"/>
            </w:pPr>
            <w:r/>
            <w:r>
              <w:rPr>
                <w:b/>
                <w:sz w:val="18"/>
              </w:rPr>
              <w:t>Signature comportementale attendue</w:t>
            </w:r>
          </w:p>
        </w:tc>
        <w:tc>
          <w:tcPr>
            <w:tcW w:type="dxa" w:w="840"/>
            <w:shd w:val="clear" w:color="auto" w:fill="D9E2F3"/>
          </w:tcPr>
          <w:p>
            <w:pPr>
              <w:spacing w:after="20" w:before="20" w:line="240" w:lineRule="auto"/>
              <w:jc w:val="left"/>
            </w:pPr>
            <w:r/>
            <w:r>
              <w:rPr>
                <w:b/>
                <w:sz w:val="18"/>
              </w:rPr>
              <w:t>Canal</w:t>
            </w:r>
          </w:p>
        </w:tc>
      </w:tr>
      <w:tr>
        <w:trPr>
          <w:cantSplit w:val="true"/>
        </w:trPr>
        <w:tc>
          <w:tcPr>
            <w:tcW w:type="dxa" w:w="1398"/>
          </w:tcPr>
          <w:p>
            <w:pPr>
              <w:spacing w:after="20" w:before="20" w:line="240" w:lineRule="auto"/>
              <w:jc w:val="left"/>
            </w:pPr>
            <w:r/>
            <w:r>
              <w:rPr>
                <w:sz w:val="18"/>
              </w:rPr>
              <w:t>Échange de SIM (</w:t>
            </w:r>
            <w:r>
              <w:rPr>
                <w:i/>
                <w:sz w:val="18"/>
              </w:rPr>
              <w:t>SIM swap</w:t>
            </w:r>
            <w:r>
              <w:rPr>
                <w:sz w:val="18"/>
              </w:rPr>
              <w:t>)</w:t>
            </w:r>
          </w:p>
        </w:tc>
        <w:tc>
          <w:tcPr>
            <w:tcW w:type="dxa" w:w="3913"/>
          </w:tcPr>
          <w:p>
            <w:pPr>
              <w:spacing w:after="20" w:before="20" w:line="240" w:lineRule="auto"/>
              <w:jc w:val="left"/>
            </w:pPr>
            <w:r/>
            <w:r>
              <w:rPr>
                <w:sz w:val="18"/>
              </w:rPr>
              <w:t>Le fraudeur obtient un duplicata de la carte SIM puis vide le compte depuis un nouvel appareil</w:t>
            </w:r>
          </w:p>
        </w:tc>
        <w:tc>
          <w:tcPr>
            <w:tcW w:type="dxa" w:w="3237"/>
          </w:tcPr>
          <w:p>
            <w:pPr>
              <w:spacing w:after="20" w:before="20" w:line="240" w:lineRule="auto"/>
              <w:jc w:val="left"/>
            </w:pPr>
            <w:r/>
            <w:r>
              <w:rPr>
                <w:sz w:val="18"/>
              </w:rPr>
              <w:t>nouvel appareil, montant élevé, vidage du solde</w:t>
            </w:r>
          </w:p>
        </w:tc>
        <w:tc>
          <w:tcPr>
            <w:tcW w:type="dxa" w:w="840"/>
          </w:tcPr>
          <w:p>
            <w:pPr>
              <w:spacing w:after="20" w:before="20" w:line="240" w:lineRule="auto"/>
              <w:jc w:val="left"/>
            </w:pPr>
            <w:r/>
            <w:r>
              <w:rPr>
                <w:sz w:val="18"/>
              </w:rPr>
              <w:t>Mobile Money</w:t>
            </w:r>
          </w:p>
        </w:tc>
      </w:tr>
      <w:tr>
        <w:trPr>
          <w:cantSplit w:val="true"/>
        </w:trPr>
        <w:tc>
          <w:tcPr>
            <w:tcW w:type="dxa" w:w="1398"/>
          </w:tcPr>
          <w:p>
            <w:pPr>
              <w:spacing w:after="20" w:before="20" w:line="240" w:lineRule="auto"/>
              <w:jc w:val="left"/>
            </w:pPr>
            <w:r/>
            <w:r>
              <w:rPr>
                <w:sz w:val="18"/>
              </w:rPr>
              <w:t>Ingénierie sociale</w:t>
            </w:r>
          </w:p>
        </w:tc>
        <w:tc>
          <w:tcPr>
            <w:tcW w:type="dxa" w:w="3913"/>
          </w:tcPr>
          <w:p>
            <w:pPr>
              <w:spacing w:after="20" w:before="20" w:line="240" w:lineRule="auto"/>
              <w:jc w:val="left"/>
            </w:pPr>
            <w:r/>
            <w:r>
              <w:rPr>
                <w:sz w:val="18"/>
              </w:rPr>
              <w:t>Le client est manipulé (faux agent, faux gain, urgence familiale) et envoie lui-même l'argent</w:t>
            </w:r>
          </w:p>
        </w:tc>
        <w:tc>
          <w:tcPr>
            <w:tcW w:type="dxa" w:w="3237"/>
          </w:tcPr>
          <w:p>
            <w:pPr>
              <w:spacing w:after="20" w:before="20" w:line="240" w:lineRule="auto"/>
              <w:jc w:val="left"/>
            </w:pPr>
            <w:r/>
            <w:r>
              <w:rPr>
                <w:sz w:val="18"/>
              </w:rPr>
              <w:t>nouveau destinataire, montant inhabituel, message suspect</w:t>
            </w:r>
          </w:p>
        </w:tc>
        <w:tc>
          <w:tcPr>
            <w:tcW w:type="dxa" w:w="840"/>
          </w:tcPr>
          <w:p>
            <w:pPr>
              <w:spacing w:after="20" w:before="20" w:line="240" w:lineRule="auto"/>
              <w:jc w:val="left"/>
            </w:pPr>
            <w:r/>
            <w:r>
              <w:rPr>
                <w:sz w:val="18"/>
              </w:rPr>
              <w:t>Mobile Money</w:t>
            </w:r>
          </w:p>
        </w:tc>
      </w:tr>
      <w:tr>
        <w:trPr>
          <w:cantSplit w:val="true"/>
        </w:trPr>
        <w:tc>
          <w:tcPr>
            <w:tcW w:type="dxa" w:w="1398"/>
          </w:tcPr>
          <w:p>
            <w:pPr>
              <w:spacing w:after="20" w:before="20" w:line="240" w:lineRule="auto"/>
              <w:jc w:val="left"/>
            </w:pPr>
            <w:r/>
            <w:r>
              <w:rPr>
                <w:sz w:val="18"/>
              </w:rPr>
              <w:t>Prise de contrôle de compte</w:t>
            </w:r>
          </w:p>
        </w:tc>
        <w:tc>
          <w:tcPr>
            <w:tcW w:type="dxa" w:w="3913"/>
          </w:tcPr>
          <w:p>
            <w:pPr>
              <w:spacing w:after="20" w:before="20" w:line="240" w:lineRule="auto"/>
              <w:jc w:val="left"/>
            </w:pPr>
            <w:r/>
            <w:r>
              <w:rPr>
                <w:sz w:val="18"/>
              </w:rPr>
              <w:t>Accès non autorisé à l'application du client</w:t>
            </w:r>
          </w:p>
        </w:tc>
        <w:tc>
          <w:tcPr>
            <w:tcW w:type="dxa" w:w="3237"/>
          </w:tcPr>
          <w:p>
            <w:pPr>
              <w:spacing w:after="20" w:before="20" w:line="240" w:lineRule="auto"/>
              <w:jc w:val="left"/>
            </w:pPr>
            <w:r/>
            <w:r>
              <w:rPr>
                <w:sz w:val="18"/>
              </w:rPr>
              <w:t>nouvel appareil, horaire inhabituel, rafale d'opérations</w:t>
            </w:r>
          </w:p>
        </w:tc>
        <w:tc>
          <w:tcPr>
            <w:tcW w:type="dxa" w:w="840"/>
          </w:tcPr>
          <w:p>
            <w:pPr>
              <w:spacing w:after="20" w:before="20" w:line="240" w:lineRule="auto"/>
              <w:jc w:val="left"/>
            </w:pPr>
            <w:r/>
            <w:r>
              <w:rPr>
                <w:sz w:val="18"/>
              </w:rPr>
              <w:t>Mobile Money</w:t>
            </w:r>
          </w:p>
        </w:tc>
      </w:tr>
      <w:tr>
        <w:trPr>
          <w:cantSplit w:val="true"/>
        </w:trPr>
        <w:tc>
          <w:tcPr>
            <w:tcW w:type="dxa" w:w="1398"/>
          </w:tcPr>
          <w:p>
            <w:pPr>
              <w:spacing w:after="20" w:before="20" w:line="240" w:lineRule="auto"/>
              <w:jc w:val="left"/>
            </w:pPr>
            <w:r/>
            <w:r>
              <w:rPr>
                <w:sz w:val="18"/>
              </w:rPr>
              <w:t>Fraude d'agent</w:t>
            </w:r>
          </w:p>
        </w:tc>
        <w:tc>
          <w:tcPr>
            <w:tcW w:type="dxa" w:w="3913"/>
          </w:tcPr>
          <w:p>
            <w:pPr>
              <w:spacing w:after="20" w:before="20" w:line="240" w:lineRule="auto"/>
              <w:jc w:val="left"/>
            </w:pPr>
            <w:r/>
            <w:r>
              <w:rPr>
                <w:sz w:val="18"/>
              </w:rPr>
              <w:t>Retraits non autorisés par un agent compromis</w:t>
            </w:r>
          </w:p>
        </w:tc>
        <w:tc>
          <w:tcPr>
            <w:tcW w:type="dxa" w:w="3237"/>
          </w:tcPr>
          <w:p>
            <w:pPr>
              <w:spacing w:after="20" w:before="20" w:line="240" w:lineRule="auto"/>
              <w:jc w:val="left"/>
            </w:pPr>
            <w:r/>
            <w:r>
              <w:rPr>
                <w:sz w:val="18"/>
              </w:rPr>
              <w:t>nouvel agent, retraits répétés</w:t>
            </w:r>
          </w:p>
        </w:tc>
        <w:tc>
          <w:tcPr>
            <w:tcW w:type="dxa" w:w="840"/>
          </w:tcPr>
          <w:p>
            <w:pPr>
              <w:spacing w:after="20" w:before="20" w:line="240" w:lineRule="auto"/>
              <w:jc w:val="left"/>
            </w:pPr>
            <w:r/>
            <w:r>
              <w:rPr>
                <w:sz w:val="18"/>
              </w:rPr>
              <w:t>Mobile Money</w:t>
            </w:r>
          </w:p>
        </w:tc>
      </w:tr>
      <w:tr>
        <w:trPr>
          <w:cantSplit w:val="true"/>
        </w:trPr>
        <w:tc>
          <w:tcPr>
            <w:tcW w:type="dxa" w:w="1398"/>
          </w:tcPr>
          <w:p>
            <w:pPr>
              <w:spacing w:after="20" w:before="20" w:line="240" w:lineRule="auto"/>
              <w:jc w:val="left"/>
            </w:pPr>
            <w:r/>
            <w:r>
              <w:rPr>
                <w:sz w:val="18"/>
              </w:rPr>
              <w:t>Fractionnement (</w:t>
            </w:r>
            <w:r>
              <w:rPr>
                <w:i/>
                <w:sz w:val="18"/>
              </w:rPr>
              <w:t>smurfing</w:t>
            </w:r>
            <w:r>
              <w:rPr>
                <w:sz w:val="18"/>
              </w:rPr>
              <w:t>)</w:t>
            </w:r>
          </w:p>
        </w:tc>
        <w:tc>
          <w:tcPr>
            <w:tcW w:type="dxa" w:w="3913"/>
          </w:tcPr>
          <w:p>
            <w:pPr>
              <w:spacing w:after="20" w:before="20" w:line="240" w:lineRule="auto"/>
              <w:jc w:val="left"/>
            </w:pPr>
            <w:r/>
            <w:r>
              <w:rPr>
                <w:sz w:val="18"/>
              </w:rPr>
              <w:t>Petits montants répétés vers des comptes mules pour rester sous les seuils</w:t>
            </w:r>
          </w:p>
        </w:tc>
        <w:tc>
          <w:tcPr>
            <w:tcW w:type="dxa" w:w="3237"/>
          </w:tcPr>
          <w:p>
            <w:pPr>
              <w:spacing w:after="20" w:before="20" w:line="240" w:lineRule="auto"/>
              <w:jc w:val="left"/>
            </w:pPr>
            <w:r/>
            <w:r>
              <w:rPr>
                <w:sz w:val="18"/>
              </w:rPr>
              <w:t>forte fréquence, destinataire lié à de nombreux clients</w:t>
            </w:r>
          </w:p>
        </w:tc>
        <w:tc>
          <w:tcPr>
            <w:tcW w:type="dxa" w:w="840"/>
          </w:tcPr>
          <w:p>
            <w:pPr>
              <w:spacing w:after="20" w:before="20" w:line="240" w:lineRule="auto"/>
              <w:jc w:val="left"/>
            </w:pPr>
            <w:r/>
            <w:r>
              <w:rPr>
                <w:sz w:val="18"/>
              </w:rPr>
              <w:t>Mobile Money</w:t>
            </w:r>
          </w:p>
        </w:tc>
      </w:tr>
      <w:tr>
        <w:trPr>
          <w:cantSplit w:val="true"/>
        </w:trPr>
        <w:tc>
          <w:tcPr>
            <w:tcW w:type="dxa" w:w="1398"/>
          </w:tcPr>
          <w:p>
            <w:pPr>
              <w:spacing w:after="20" w:before="20" w:line="240" w:lineRule="auto"/>
              <w:jc w:val="left"/>
            </w:pPr>
            <w:r/>
            <w:r>
              <w:rPr>
                <w:sz w:val="18"/>
              </w:rPr>
              <w:t>Test de carte</w:t>
            </w:r>
          </w:p>
        </w:tc>
        <w:tc>
          <w:tcPr>
            <w:tcW w:type="dxa" w:w="3913"/>
          </w:tcPr>
          <w:p>
            <w:pPr>
              <w:spacing w:after="20" w:before="20" w:line="240" w:lineRule="auto"/>
              <w:jc w:val="left"/>
            </w:pPr>
            <w:r/>
            <w:r>
              <w:rPr>
                <w:sz w:val="18"/>
              </w:rPr>
              <w:t>Salves de petits achats pour vérifier une carte volée</w:t>
            </w:r>
          </w:p>
        </w:tc>
        <w:tc>
          <w:tcPr>
            <w:tcW w:type="dxa" w:w="3237"/>
          </w:tcPr>
          <w:p>
            <w:pPr>
              <w:spacing w:after="20" w:before="20" w:line="240" w:lineRule="auto"/>
              <w:jc w:val="left"/>
            </w:pPr>
            <w:r/>
            <w:r>
              <w:rPr>
                <w:sz w:val="18"/>
              </w:rPr>
              <w:t>rafale de petits montants, nouveaux commerçants</w:t>
            </w:r>
          </w:p>
        </w:tc>
        <w:tc>
          <w:tcPr>
            <w:tcW w:type="dxa" w:w="840"/>
          </w:tcPr>
          <w:p>
            <w:pPr>
              <w:spacing w:after="20" w:before="20" w:line="240" w:lineRule="auto"/>
              <w:jc w:val="left"/>
            </w:pPr>
            <w:r/>
            <w:r>
              <w:rPr>
                <w:sz w:val="18"/>
              </w:rPr>
              <w:t>Visa virtuelle</w:t>
            </w:r>
          </w:p>
        </w:tc>
      </w:tr>
      <w:tr>
        <w:trPr>
          <w:cantSplit w:val="true"/>
        </w:trPr>
        <w:tc>
          <w:tcPr>
            <w:tcW w:type="dxa" w:w="1398"/>
          </w:tcPr>
          <w:p>
            <w:pPr>
              <w:spacing w:after="20" w:before="20" w:line="240" w:lineRule="auto"/>
              <w:jc w:val="left"/>
            </w:pPr>
            <w:r/>
            <w:r>
              <w:rPr>
                <w:sz w:val="18"/>
              </w:rPr>
              <w:t>Carte non présente (CNP)</w:t>
            </w:r>
          </w:p>
        </w:tc>
        <w:tc>
          <w:tcPr>
            <w:tcW w:type="dxa" w:w="3913"/>
          </w:tcPr>
          <w:p>
            <w:pPr>
              <w:spacing w:after="20" w:before="20" w:line="240" w:lineRule="auto"/>
              <w:jc w:val="left"/>
            </w:pPr>
            <w:r/>
            <w:r>
              <w:rPr>
                <w:sz w:val="18"/>
              </w:rPr>
              <w:t>Achat en ligne avec les données de la carte</w:t>
            </w:r>
          </w:p>
        </w:tc>
        <w:tc>
          <w:tcPr>
            <w:tcW w:type="dxa" w:w="3237"/>
          </w:tcPr>
          <w:p>
            <w:pPr>
              <w:spacing w:after="20" w:before="20" w:line="240" w:lineRule="auto"/>
              <w:jc w:val="left"/>
            </w:pPr>
            <w:r/>
            <w:r>
              <w:rPr>
                <w:sz w:val="18"/>
              </w:rPr>
              <w:t>commerçant ou pays inhabituel, adresse IP étrangère</w:t>
            </w:r>
          </w:p>
        </w:tc>
        <w:tc>
          <w:tcPr>
            <w:tcW w:type="dxa" w:w="840"/>
          </w:tcPr>
          <w:p>
            <w:pPr>
              <w:spacing w:after="20" w:before="20" w:line="240" w:lineRule="auto"/>
              <w:jc w:val="left"/>
            </w:pPr>
            <w:r/>
            <w:r>
              <w:rPr>
                <w:sz w:val="18"/>
              </w:rPr>
              <w:t>Visa virtuelle</w:t>
            </w:r>
          </w:p>
        </w:tc>
      </w:tr>
      <w:tr>
        <w:trPr>
          <w:cantSplit w:val="true"/>
        </w:trPr>
        <w:tc>
          <w:tcPr>
            <w:tcW w:type="dxa" w:w="1398"/>
          </w:tcPr>
          <w:p>
            <w:pPr>
              <w:spacing w:after="20" w:before="20" w:line="240" w:lineRule="auto"/>
              <w:jc w:val="left"/>
            </w:pPr>
            <w:r/>
            <w:r>
              <w:rPr>
                <w:sz w:val="18"/>
              </w:rPr>
              <w:t>Vidage par rechargement</w:t>
            </w:r>
          </w:p>
        </w:tc>
        <w:tc>
          <w:tcPr>
            <w:tcW w:type="dxa" w:w="3913"/>
          </w:tcPr>
          <w:p>
            <w:pPr>
              <w:spacing w:after="20" w:before="20" w:line="240" w:lineRule="auto"/>
              <w:jc w:val="left"/>
            </w:pPr>
            <w:r/>
            <w:r>
              <w:rPr>
                <w:sz w:val="18"/>
              </w:rPr>
              <w:t>Rechargement de la carte puis vidage rapide</w:t>
            </w:r>
          </w:p>
        </w:tc>
        <w:tc>
          <w:tcPr>
            <w:tcW w:type="dxa" w:w="3237"/>
          </w:tcPr>
          <w:p>
            <w:pPr>
              <w:spacing w:after="20" w:before="20" w:line="240" w:lineRule="auto"/>
              <w:jc w:val="left"/>
            </w:pPr>
            <w:r/>
            <w:r>
              <w:rPr>
                <w:sz w:val="18"/>
              </w:rPr>
              <w:t>recharge suivie d'achats rapprochés</w:t>
            </w:r>
          </w:p>
        </w:tc>
        <w:tc>
          <w:tcPr>
            <w:tcW w:type="dxa" w:w="840"/>
          </w:tcPr>
          <w:p>
            <w:pPr>
              <w:spacing w:after="20" w:before="20" w:line="240" w:lineRule="auto"/>
              <w:jc w:val="left"/>
            </w:pPr>
            <w:r/>
            <w:r>
              <w:rPr>
                <w:sz w:val="18"/>
              </w:rPr>
              <w:t>Visa virtuelle</w:t>
            </w:r>
          </w:p>
        </w:tc>
      </w:tr>
    </w:tbl>
    <w:p>
      <w:pPr>
        <w:spacing w:after="120"/>
      </w:pPr>
    </w:p>
    <w:p>
      <w:pPr>
        <w:spacing w:before="0" w:after="120" w:line="360" w:lineRule="auto"/>
        <w:jc w:val="both"/>
      </w:pPr>
      <w:r>
        <w:rPr>
          <w:sz w:val="24"/>
        </w:rPr>
        <w:t xml:space="preserve">Un </w:t>
      </w:r>
      <w:r>
        <w:rPr>
          <w:b/>
          <w:sz w:val="24"/>
        </w:rPr>
        <w:t>compte mule</w:t>
      </w:r>
      <w:r>
        <w:rPr>
          <w:sz w:val="24"/>
        </w:rPr>
        <w:t xml:space="preserve"> est un compte (souvent loué ou volé) qui reçoit l'argent frauduleux avant son retrait. Il se repère parce qu'il reçoit de nombreux clients sans lien entre eux. Ces fraudes </w:t>
      </w:r>
      <w:r>
        <w:rPr>
          <w:b/>
          <w:sz w:val="24"/>
        </w:rPr>
        <w:t>évoluent dans le temps</w:t>
      </w:r>
      <w:r>
        <w:rPr>
          <w:sz w:val="24"/>
        </w:rPr>
        <w:t xml:space="preserve"> : les fraudeurs s'adaptent aux contrôles, et les techniques d'ingénierie sociale se sont développées sur la période. Cette évolution est au cœur de l'une des hypothèses de recherche (H5).</w:t>
      </w:r>
    </w:p>
    <w:p>
      <w:pPr>
        <w:pStyle w:val="Titre4"/>
        <w:keepNext/>
        <w:numPr>
          <w:numId w:val="0"/>
        </w:numPr>
        <w:spacing w:before="200" w:after="120"/>
        <w:ind w:left="0" w:firstLine="0"/>
        <w:jc w:val="left"/>
      </w:pPr>
      <w:r>
        <w:rPr>
          <w:b/>
          <w:i/>
          <w:color w:val="000000"/>
          <w:sz w:val="25"/>
        </w:rPr>
        <w:t>1.2 Étude et critique de l'existant</w:t>
      </w:r>
    </w:p>
    <w:p>
      <w:pPr>
        <w:spacing w:before="0" w:after="120" w:line="360" w:lineRule="auto"/>
        <w:jc w:val="both"/>
      </w:pPr>
      <w:r>
        <w:rPr>
          <w:b/>
          <w:sz w:val="24"/>
        </w:rPr>
        <w:t>Diagramme de contexte.</w:t>
      </w:r>
      <w:r>
        <w:rPr>
          <w:sz w:val="24"/>
        </w:rPr>
        <w:t xml:space="preserve"> Le diagramme de contexte situe le système à construire parmi ses interlocuteurs et fixe la frontière du travail : le système ne gère pas les portefeuilles et n'exécute pas les opérations. Il </w:t>
      </w:r>
      <w:r>
        <w:rPr>
          <w:b/>
          <w:sz w:val="24"/>
        </w:rPr>
        <w:t>décide</w:t>
      </w:r>
      <w:r>
        <w:rPr>
          <w:sz w:val="24"/>
        </w:rPr>
        <w:t xml:space="preserve"> si une opération soumise par une institution doit être acceptée, vérifiée ou refusée, et il </w:t>
      </w:r>
      <w:r>
        <w:rPr>
          <w:b/>
          <w:sz w:val="24"/>
        </w:rPr>
        <w:t>outille</w:t>
      </w:r>
      <w:r>
        <w:rPr>
          <w:sz w:val="24"/>
        </w:rPr>
        <w:t xml:space="preserve"> l'équipe chargée de la fraude.</w:t>
      </w:r>
    </w:p>
    <w:p>
      <w:pPr>
        <w:keepNext/>
        <w:spacing w:before="160" w:after="40"/>
        <w:jc w:val="center"/>
      </w:pPr>
      <w:r>
        <w:drawing>
          <wp:inline xmlns:a="http://schemas.openxmlformats.org/drawingml/2006/main" xmlns:pic="http://schemas.openxmlformats.org/drawingml/2006/picture">
            <wp:extent cx="5580000" cy="3201963"/>
            <wp:docPr id="39" name="Picture 39"/>
            <wp:cNvGraphicFramePr>
              <a:graphicFrameLocks noChangeAspect="1"/>
            </wp:cNvGraphicFramePr>
            <a:graphic>
              <a:graphicData uri="http://schemas.openxmlformats.org/drawingml/2006/picture">
                <pic:pic>
                  <pic:nvPicPr>
                    <pic:cNvPr id="0" name="diagramme_contexte.png"/>
                    <pic:cNvPicPr/>
                  </pic:nvPicPr>
                  <pic:blipFill>
                    <a:blip r:embed="rId13"/>
                    <a:stretch>
                      <a:fillRect/>
                    </a:stretch>
                  </pic:blipFill>
                  <pic:spPr>
                    <a:xfrm>
                      <a:off x="0" y="0"/>
                      <a:ext cx="5580000" cy="3201963"/>
                    </a:xfrm>
                    <a:prstGeom prst="rect"/>
                  </pic:spPr>
                </pic:pic>
              </a:graphicData>
            </a:graphic>
          </wp:inline>
        </w:drawing>
      </w:r>
    </w:p>
    <w:p>
      <w:pPr>
        <w:pStyle w:val="Légendefigure"/>
        <w:spacing w:before="40" w:after="240"/>
        <w:jc w:val="center"/>
      </w:pPr>
      <w:r>
        <w:rPr>
          <w:i/>
          <w:sz w:val="20"/>
        </w:rPr>
        <w:t>Figure II.1 — Diagramme de contexte du système.</w:t>
      </w:r>
    </w:p>
    <w:p>
      <w:pPr>
        <w:spacing w:before="0" w:after="120" w:line="360" w:lineRule="auto"/>
        <w:jc w:val="both"/>
      </w:pPr>
      <w:r>
        <w:rPr>
          <w:b/>
          <w:sz w:val="24"/>
        </w:rPr>
        <w:t>Processus actuel.</w:t>
      </w:r>
      <w:r>
        <w:rPr>
          <w:sz w:val="24"/>
        </w:rPr>
        <w:t xml:space="preserve"> Dans le schéma courant, le contrôle anti-fraude d'un opérateur repose sur des </w:t>
      </w:r>
      <w:r>
        <w:rPr>
          <w:b/>
          <w:sz w:val="24"/>
        </w:rPr>
        <w:t>règles statiques</w:t>
      </w:r>
      <w:r>
        <w:rPr>
          <w:sz w:val="24"/>
        </w:rPr>
        <w:t xml:space="preserve"> appliquées au moment de l'opération, complétées par un traitement </w:t>
      </w:r>
      <w:r>
        <w:rPr>
          <w:b/>
          <w:sz w:val="24"/>
        </w:rPr>
        <w:t>a posteriori</w:t>
      </w:r>
      <w:r>
        <w:rPr>
          <w:sz w:val="24"/>
        </w:rPr>
        <w:t xml:space="preserve"> des plaintes :</w:t>
      </w:r>
    </w:p>
    <w:p>
      <w:pPr>
        <w:tabs>
          <w:tab w:pos="567" w:val="left"/>
        </w:tabs>
        <w:spacing w:after="60" w:line="324" w:lineRule="auto"/>
        <w:ind w:left="567" w:hanging="340"/>
        <w:jc w:val="both"/>
      </w:pPr>
      <w:r>
        <w:rPr>
          <w:sz w:val="24"/>
        </w:rPr>
        <w:t>1.</w:t>
        <w:tab/>
      </w:r>
      <w:r>
        <w:rPr>
          <w:sz w:val="24"/>
        </w:rPr>
        <w:t>le client initie l'opération et saisit son code PIN ;</w:t>
      </w:r>
    </w:p>
    <w:p>
      <w:pPr>
        <w:tabs>
          <w:tab w:pos="567" w:val="left"/>
        </w:tabs>
        <w:spacing w:after="60" w:line="324" w:lineRule="auto"/>
        <w:ind w:left="567" w:hanging="340"/>
        <w:jc w:val="both"/>
      </w:pPr>
      <w:r>
        <w:rPr>
          <w:sz w:val="24"/>
        </w:rPr>
        <w:t>2.</w:t>
        <w:tab/>
      </w:r>
      <w:r>
        <w:rPr>
          <w:sz w:val="24"/>
        </w:rPr>
        <w:t>le système de l'opérateur vérifie le PIN, le solde, puis un jeu de règles fixes : plafond de montant, liste noire de numéros, plafond KYC ;</w:t>
      </w:r>
    </w:p>
    <w:p>
      <w:pPr>
        <w:tabs>
          <w:tab w:pos="567" w:val="left"/>
        </w:tabs>
        <w:spacing w:after="60" w:line="324" w:lineRule="auto"/>
        <w:ind w:left="567" w:hanging="340"/>
        <w:jc w:val="both"/>
      </w:pPr>
      <w:r>
        <w:rPr>
          <w:sz w:val="24"/>
        </w:rPr>
        <w:t>3.</w:t>
        <w:tab/>
      </w:r>
      <w:r>
        <w:rPr>
          <w:sz w:val="24"/>
        </w:rPr>
        <w:t>si aucune règle n'est franchie, l'opération est exécutée immédiatement ;</w:t>
      </w:r>
    </w:p>
    <w:p>
      <w:pPr>
        <w:tabs>
          <w:tab w:pos="567" w:val="left"/>
        </w:tabs>
        <w:spacing w:after="60" w:line="324" w:lineRule="auto"/>
        <w:ind w:left="567" w:hanging="340"/>
        <w:jc w:val="both"/>
      </w:pPr>
      <w:r>
        <w:rPr>
          <w:sz w:val="24"/>
        </w:rPr>
        <w:t>4.</w:t>
        <w:tab/>
      </w:r>
      <w:r>
        <w:rPr>
          <w:sz w:val="24"/>
        </w:rPr>
        <w:t>si le client ne reconnaît pas l'opération, il appelle le service client, souvent plusieurs heures après ;</w:t>
      </w:r>
    </w:p>
    <w:p>
      <w:pPr>
        <w:tabs>
          <w:tab w:pos="567" w:val="left"/>
        </w:tabs>
        <w:spacing w:after="60" w:line="324" w:lineRule="auto"/>
        <w:ind w:left="567" w:hanging="340"/>
        <w:jc w:val="both"/>
      </w:pPr>
      <w:r>
        <w:rPr>
          <w:sz w:val="24"/>
        </w:rPr>
        <w:t>5.</w:t>
        <w:tab/>
      </w:r>
      <w:r>
        <w:rPr>
          <w:sz w:val="24"/>
        </w:rPr>
        <w:t>un agent du service anti-fraude enregistre la plainte, reconstitue l'historique à partir des journaux, tente de geler le compte bénéficiaire, puis ajuste éventuellement les seuils.</w:t>
      </w:r>
    </w:p>
    <w:p>
      <w:pPr>
        <w:keepNext/>
        <w:spacing w:before="160" w:after="40"/>
        <w:jc w:val="center"/>
      </w:pPr>
      <w:r>
        <w:drawing>
          <wp:inline xmlns:a="http://schemas.openxmlformats.org/drawingml/2006/main" xmlns:pic="http://schemas.openxmlformats.org/drawingml/2006/picture">
            <wp:extent cx="5580000" cy="4819091"/>
            <wp:docPr id="40" name="Picture 40"/>
            <wp:cNvGraphicFramePr>
              <a:graphicFrameLocks noChangeAspect="1"/>
            </wp:cNvGraphicFramePr>
            <a:graphic>
              <a:graphicData uri="http://schemas.openxmlformats.org/drawingml/2006/picture">
                <pic:pic>
                  <pic:nvPicPr>
                    <pic:cNvPr id="0" name="activite_processus_existant.png"/>
                    <pic:cNvPicPr/>
                  </pic:nvPicPr>
                  <pic:blipFill>
                    <a:blip r:embed="rId14"/>
                    <a:stretch>
                      <a:fillRect/>
                    </a:stretch>
                  </pic:blipFill>
                  <pic:spPr>
                    <a:xfrm>
                      <a:off x="0" y="0"/>
                      <a:ext cx="5580000" cy="4819091"/>
                    </a:xfrm>
                    <a:prstGeom prst="rect"/>
                  </pic:spPr>
                </pic:pic>
              </a:graphicData>
            </a:graphic>
          </wp:inline>
        </w:drawing>
      </w:r>
    </w:p>
    <w:p>
      <w:pPr>
        <w:pStyle w:val="Légendefigure"/>
        <w:spacing w:before="40" w:after="240"/>
        <w:jc w:val="center"/>
      </w:pPr>
      <w:r>
        <w:rPr>
          <w:i/>
          <w:sz w:val="20"/>
        </w:rPr>
        <w:t>Figure II.2 — Diagramme d'activité du processus existant.</w:t>
      </w:r>
    </w:p>
    <w:p>
      <w:pPr>
        <w:spacing w:before="0" w:after="120" w:line="360" w:lineRule="auto"/>
        <w:jc w:val="both"/>
      </w:pPr>
      <w:r>
        <w:rPr>
          <w:b/>
          <w:sz w:val="24"/>
        </w:rPr>
        <w:t>Critique de l'existant.</w:t>
      </w:r>
      <w:r>
        <w:rPr>
          <w:sz w:val="24"/>
        </w:rPr>
        <w:t xml:space="preserve"> Le dispositif actuel présente des points forts réels : il est simple, rapide, compréhensible et facile à justifier devant le régulateur. Ses insuffisances sont toutefois structurelles (tableau II.3).</w:t>
      </w:r>
    </w:p>
    <w:p>
      <w:pPr>
        <w:pStyle w:val="Légendetableau"/>
        <w:keepNext/>
        <w:spacing w:before="200" w:after="80"/>
        <w:jc w:val="center"/>
      </w:pPr>
      <w:r>
        <w:rPr>
          <w:b/>
          <w:sz w:val="20"/>
        </w:rPr>
        <w:t>Tableau II.3 — Critique de l'existant.</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508"/>
        <w:gridCol w:w="4440"/>
        <w:gridCol w:w="4440"/>
      </w:tblGrid>
      <w:tr>
        <w:trPr>
          <w:tblHeader w:val="true"/>
        </w:trPr>
        <w:tc>
          <w:tcPr>
            <w:tcW w:type="dxa" w:w="508"/>
            <w:shd w:val="clear" w:color="auto" w:fill="D9E2F3"/>
          </w:tcPr>
          <w:p>
            <w:pPr>
              <w:spacing w:after="20" w:before="20" w:line="240" w:lineRule="auto"/>
              <w:jc w:val="left"/>
            </w:pPr>
            <w:r/>
            <w:r>
              <w:rPr>
                <w:b/>
                <w:sz w:val="20"/>
              </w:rPr>
              <w:t>N°</w:t>
            </w:r>
          </w:p>
        </w:tc>
        <w:tc>
          <w:tcPr>
            <w:tcW w:type="dxa" w:w="4440"/>
            <w:shd w:val="clear" w:color="auto" w:fill="D9E2F3"/>
          </w:tcPr>
          <w:p>
            <w:pPr>
              <w:spacing w:after="20" w:before="20" w:line="240" w:lineRule="auto"/>
              <w:jc w:val="left"/>
            </w:pPr>
            <w:r/>
            <w:r>
              <w:rPr>
                <w:b/>
                <w:sz w:val="20"/>
              </w:rPr>
              <w:t>Insuffisance</w:t>
            </w:r>
          </w:p>
        </w:tc>
        <w:tc>
          <w:tcPr>
            <w:tcW w:type="dxa" w:w="4440"/>
            <w:shd w:val="clear" w:color="auto" w:fill="D9E2F3"/>
          </w:tcPr>
          <w:p>
            <w:pPr>
              <w:spacing w:after="20" w:before="20" w:line="240" w:lineRule="auto"/>
              <w:jc w:val="left"/>
            </w:pPr>
            <w:r/>
            <w:r>
              <w:rPr>
                <w:b/>
                <w:sz w:val="20"/>
              </w:rPr>
              <w:t>Conséquence</w:t>
            </w:r>
          </w:p>
        </w:tc>
      </w:tr>
      <w:tr>
        <w:trPr>
          <w:cantSplit w:val="true"/>
        </w:trPr>
        <w:tc>
          <w:tcPr>
            <w:tcW w:type="dxa" w:w="508"/>
          </w:tcPr>
          <w:p>
            <w:pPr>
              <w:spacing w:after="20" w:before="20" w:line="240" w:lineRule="auto"/>
              <w:jc w:val="left"/>
            </w:pPr>
            <w:r/>
            <w:r>
              <w:rPr>
                <w:sz w:val="20"/>
              </w:rPr>
              <w:t>1</w:t>
            </w:r>
          </w:p>
        </w:tc>
        <w:tc>
          <w:tcPr>
            <w:tcW w:type="dxa" w:w="4440"/>
          </w:tcPr>
          <w:p>
            <w:pPr>
              <w:spacing w:after="20" w:before="20" w:line="240" w:lineRule="auto"/>
              <w:jc w:val="left"/>
            </w:pPr>
            <w:r/>
            <w:r>
              <w:rPr>
                <w:b/>
                <w:sz w:val="20"/>
              </w:rPr>
              <w:t>Les règles ignorent l'individu.</w:t>
            </w:r>
            <w:r>
              <w:rPr>
                <w:sz w:val="20"/>
              </w:rPr>
              <w:t xml:space="preserve"> Un même seuil s'applique à tous : un retrait de 300 USD est banal pour un commerçant et anormal pour un étudiant.</w:t>
            </w:r>
          </w:p>
        </w:tc>
        <w:tc>
          <w:tcPr>
            <w:tcW w:type="dxa" w:w="4440"/>
          </w:tcPr>
          <w:p>
            <w:pPr>
              <w:spacing w:after="20" w:before="20" w:line="240" w:lineRule="auto"/>
              <w:jc w:val="left"/>
            </w:pPr>
            <w:r/>
            <w:r>
              <w:rPr>
                <w:sz w:val="20"/>
              </w:rPr>
              <w:t>Fausses alertes (clients actifs bloqués) et fraudes manquées (montants modestes mais anormaux).</w:t>
            </w:r>
          </w:p>
        </w:tc>
      </w:tr>
      <w:tr>
        <w:trPr>
          <w:cantSplit w:val="true"/>
        </w:trPr>
        <w:tc>
          <w:tcPr>
            <w:tcW w:type="dxa" w:w="508"/>
          </w:tcPr>
          <w:p>
            <w:pPr>
              <w:spacing w:after="20" w:before="20" w:line="240" w:lineRule="auto"/>
              <w:jc w:val="left"/>
            </w:pPr>
            <w:r/>
            <w:r>
              <w:rPr>
                <w:sz w:val="20"/>
              </w:rPr>
              <w:t>2</w:t>
            </w:r>
          </w:p>
        </w:tc>
        <w:tc>
          <w:tcPr>
            <w:tcW w:type="dxa" w:w="4440"/>
          </w:tcPr>
          <w:p>
            <w:pPr>
              <w:spacing w:after="20" w:before="20" w:line="240" w:lineRule="auto"/>
              <w:jc w:val="left"/>
            </w:pPr>
            <w:r/>
            <w:r>
              <w:rPr>
                <w:b/>
                <w:sz w:val="20"/>
              </w:rPr>
              <w:t>Les règles sont figées.</w:t>
            </w:r>
            <w:r>
              <w:rPr>
                <w:sz w:val="20"/>
              </w:rPr>
              <w:t xml:space="preserve"> Les fraudeurs apprennent les seuils et s'y adaptent, par exemple en fractionnant les montants.</w:t>
            </w:r>
          </w:p>
        </w:tc>
        <w:tc>
          <w:tcPr>
            <w:tcW w:type="dxa" w:w="4440"/>
          </w:tcPr>
          <w:p>
            <w:pPr>
              <w:spacing w:after="20" w:before="20" w:line="240" w:lineRule="auto"/>
              <w:jc w:val="left"/>
            </w:pPr>
            <w:r/>
            <w:r>
              <w:rPr>
                <w:sz w:val="20"/>
              </w:rPr>
              <w:t>L'efficacité se dégrade avec le temps ; la mise à jour dépend d'une intervention manuelle.</w:t>
            </w:r>
          </w:p>
        </w:tc>
      </w:tr>
      <w:tr>
        <w:trPr>
          <w:cantSplit w:val="true"/>
        </w:trPr>
        <w:tc>
          <w:tcPr>
            <w:tcW w:type="dxa" w:w="508"/>
          </w:tcPr>
          <w:p>
            <w:pPr>
              <w:spacing w:after="20" w:before="20" w:line="240" w:lineRule="auto"/>
              <w:jc w:val="left"/>
            </w:pPr>
            <w:r/>
            <w:r>
              <w:rPr>
                <w:sz w:val="20"/>
              </w:rPr>
              <w:t>3</w:t>
            </w:r>
          </w:p>
        </w:tc>
        <w:tc>
          <w:tcPr>
            <w:tcW w:type="dxa" w:w="4440"/>
          </w:tcPr>
          <w:p>
            <w:pPr>
              <w:spacing w:after="20" w:before="20" w:line="240" w:lineRule="auto"/>
              <w:jc w:val="left"/>
            </w:pPr>
            <w:r/>
            <w:r>
              <w:rPr>
                <w:b/>
                <w:sz w:val="20"/>
              </w:rPr>
              <w:t>La détection est tardive.</w:t>
            </w:r>
            <w:r>
              <w:rPr>
                <w:sz w:val="20"/>
              </w:rPr>
              <w:t xml:space="preserve"> La fraude est souvent constatée par la plainte du client, après l'exécution.</w:t>
            </w:r>
          </w:p>
        </w:tc>
        <w:tc>
          <w:tcPr>
            <w:tcW w:type="dxa" w:w="4440"/>
          </w:tcPr>
          <w:p>
            <w:pPr>
              <w:spacing w:after="20" w:before="20" w:line="240" w:lineRule="auto"/>
              <w:jc w:val="left"/>
            </w:pPr>
            <w:r/>
            <w:r>
              <w:rPr>
                <w:sz w:val="20"/>
              </w:rPr>
              <w:t>Les fonds, déjà retirés ou transférés, sont rarement récupérables.</w:t>
            </w:r>
          </w:p>
        </w:tc>
      </w:tr>
      <w:tr>
        <w:trPr>
          <w:cantSplit w:val="true"/>
        </w:trPr>
        <w:tc>
          <w:tcPr>
            <w:tcW w:type="dxa" w:w="508"/>
          </w:tcPr>
          <w:p>
            <w:pPr>
              <w:spacing w:after="20" w:before="20" w:line="240" w:lineRule="auto"/>
              <w:jc w:val="left"/>
            </w:pPr>
            <w:r/>
            <w:r>
              <w:rPr>
                <w:sz w:val="20"/>
              </w:rPr>
              <w:t>4</w:t>
            </w:r>
          </w:p>
        </w:tc>
        <w:tc>
          <w:tcPr>
            <w:tcW w:type="dxa" w:w="4440"/>
          </w:tcPr>
          <w:p>
            <w:pPr>
              <w:spacing w:after="20" w:before="20" w:line="240" w:lineRule="auto"/>
              <w:jc w:val="left"/>
            </w:pPr>
            <w:r/>
            <w:r>
              <w:rPr>
                <w:b/>
                <w:sz w:val="20"/>
              </w:rPr>
              <w:t>La réponse n'est pas graduée.</w:t>
            </w:r>
            <w:r>
              <w:rPr>
                <w:sz w:val="20"/>
              </w:rPr>
              <w:t xml:space="preserve"> Une règle accepte ou refuse, sans tenir compte du montant en jeu.</w:t>
            </w:r>
          </w:p>
        </w:tc>
        <w:tc>
          <w:tcPr>
            <w:tcW w:type="dxa" w:w="4440"/>
          </w:tcPr>
          <w:p>
            <w:pPr>
              <w:spacing w:after="20" w:before="20" w:line="240" w:lineRule="auto"/>
              <w:jc w:val="left"/>
            </w:pPr>
            <w:r/>
            <w:r>
              <w:rPr>
                <w:sz w:val="20"/>
              </w:rPr>
              <w:t>Refuser 2 USD de crédit et laisser passer 900 USD de retrait n'ont pas le même coût, mais sont traités de la même façon.</w:t>
            </w:r>
          </w:p>
        </w:tc>
      </w:tr>
      <w:tr>
        <w:trPr>
          <w:cantSplit w:val="true"/>
        </w:trPr>
        <w:tc>
          <w:tcPr>
            <w:tcW w:type="dxa" w:w="508"/>
          </w:tcPr>
          <w:p>
            <w:pPr>
              <w:spacing w:after="20" w:before="20" w:line="240" w:lineRule="auto"/>
              <w:jc w:val="left"/>
            </w:pPr>
            <w:r/>
            <w:r>
              <w:rPr>
                <w:sz w:val="20"/>
              </w:rPr>
              <w:t>5</w:t>
            </w:r>
          </w:p>
        </w:tc>
        <w:tc>
          <w:tcPr>
            <w:tcW w:type="dxa" w:w="4440"/>
          </w:tcPr>
          <w:p>
            <w:pPr>
              <w:spacing w:after="20" w:before="20" w:line="240" w:lineRule="auto"/>
              <w:jc w:val="left"/>
            </w:pPr>
            <w:r/>
            <w:r>
              <w:rPr>
                <w:b/>
                <w:sz w:val="20"/>
              </w:rPr>
              <w:t>Les décisions ne sont pas expliquées.</w:t>
            </w:r>
            <w:r>
              <w:rPr>
                <w:sz w:val="20"/>
              </w:rPr>
              <w:t xml:space="preserve"> L'analyste ne sait pas pourquoi une opération est suspecte.</w:t>
            </w:r>
          </w:p>
        </w:tc>
        <w:tc>
          <w:tcPr>
            <w:tcW w:type="dxa" w:w="4440"/>
          </w:tcPr>
          <w:p>
            <w:pPr>
              <w:spacing w:after="20" w:before="20" w:line="240" w:lineRule="auto"/>
              <w:jc w:val="left"/>
            </w:pPr>
            <w:r/>
            <w:r>
              <w:rPr>
                <w:sz w:val="20"/>
              </w:rPr>
              <w:t>Le traitement des alertes est lent ; la décision est difficile à défendre devant le client ou le régulateur.</w:t>
            </w:r>
          </w:p>
        </w:tc>
      </w:tr>
      <w:tr>
        <w:trPr>
          <w:cantSplit w:val="true"/>
        </w:trPr>
        <w:tc>
          <w:tcPr>
            <w:tcW w:type="dxa" w:w="508"/>
          </w:tcPr>
          <w:p>
            <w:pPr>
              <w:spacing w:after="20" w:before="20" w:line="240" w:lineRule="auto"/>
              <w:jc w:val="left"/>
            </w:pPr>
            <w:r/>
            <w:r>
              <w:rPr>
                <w:sz w:val="20"/>
              </w:rPr>
              <w:t>6</w:t>
            </w:r>
          </w:p>
        </w:tc>
        <w:tc>
          <w:tcPr>
            <w:tcW w:type="dxa" w:w="4440"/>
          </w:tcPr>
          <w:p>
            <w:pPr>
              <w:spacing w:after="20" w:before="20" w:line="240" w:lineRule="auto"/>
              <w:jc w:val="left"/>
            </w:pPr>
            <w:r/>
            <w:r>
              <w:rPr>
                <w:b/>
                <w:sz w:val="20"/>
              </w:rPr>
              <w:t>Les plaintes ne nourrissent pas le dispositif.</w:t>
            </w:r>
            <w:r>
              <w:rPr>
                <w:sz w:val="20"/>
              </w:rPr>
              <w:t xml:space="preserve"> Une fraude confirmée ne modifie pas automatiquement les contrôles.</w:t>
            </w:r>
          </w:p>
        </w:tc>
        <w:tc>
          <w:tcPr>
            <w:tcW w:type="dxa" w:w="4440"/>
          </w:tcPr>
          <w:p>
            <w:pPr>
              <w:spacing w:after="20" w:before="20" w:line="240" w:lineRule="auto"/>
              <w:jc w:val="left"/>
            </w:pPr>
            <w:r/>
            <w:r>
              <w:rPr>
                <w:sz w:val="20"/>
              </w:rPr>
              <w:t>Les mêmes schémas de fraude se répètent.</w:t>
            </w:r>
          </w:p>
        </w:tc>
      </w:tr>
      <w:tr>
        <w:trPr>
          <w:cantSplit w:val="true"/>
        </w:trPr>
        <w:tc>
          <w:tcPr>
            <w:tcW w:type="dxa" w:w="508"/>
          </w:tcPr>
          <w:p>
            <w:pPr>
              <w:spacing w:after="20" w:before="20" w:line="240" w:lineRule="auto"/>
              <w:jc w:val="left"/>
            </w:pPr>
            <w:r/>
            <w:r>
              <w:rPr>
                <w:sz w:val="20"/>
              </w:rPr>
              <w:t>7</w:t>
            </w:r>
          </w:p>
        </w:tc>
        <w:tc>
          <w:tcPr>
            <w:tcW w:type="dxa" w:w="4440"/>
          </w:tcPr>
          <w:p>
            <w:pPr>
              <w:spacing w:after="20" w:before="20" w:line="240" w:lineRule="auto"/>
              <w:jc w:val="left"/>
            </w:pPr>
            <w:r/>
            <w:r>
              <w:rPr>
                <w:b/>
                <w:sz w:val="20"/>
              </w:rPr>
              <w:t>Le marché est cloisonné.</w:t>
            </w:r>
            <w:r>
              <w:rPr>
                <w:sz w:val="20"/>
              </w:rPr>
              <w:t xml:space="preserve"> Chaque opérateur contrôle ses propres flux, dans son propre format.</w:t>
            </w:r>
          </w:p>
        </w:tc>
        <w:tc>
          <w:tcPr>
            <w:tcW w:type="dxa" w:w="4440"/>
          </w:tcPr>
          <w:p>
            <w:pPr>
              <w:spacing w:after="20" w:before="20" w:line="240" w:lineRule="auto"/>
              <w:jc w:val="left"/>
            </w:pPr>
            <w:r/>
            <w:r>
              <w:rPr>
                <w:sz w:val="20"/>
              </w:rPr>
              <w:t>Un fraudeur qui opère sur plusieurs réseaux n'est vu par personne dans son ensemble ; le régulateur n'a pas de vision consolidée.</w:t>
            </w:r>
          </w:p>
        </w:tc>
      </w:tr>
    </w:tbl>
    <w:p>
      <w:pPr>
        <w:spacing w:after="120"/>
      </w:pPr>
    </w:p>
    <w:p>
      <w:pPr>
        <w:spacing w:before="0" w:after="120" w:line="360" w:lineRule="auto"/>
        <w:jc w:val="both"/>
      </w:pPr>
      <w:r>
        <w:rPr>
          <w:b/>
          <w:sz w:val="24"/>
        </w:rPr>
        <w:t>Solution proposée.</w:t>
      </w:r>
      <w:r>
        <w:rPr>
          <w:sz w:val="24"/>
        </w:rPr>
        <w:t xml:space="preserve"> Ces constats orientent le système vers un </w:t>
      </w:r>
      <w:r>
        <w:rPr>
          <w:b/>
          <w:sz w:val="24"/>
        </w:rPr>
        <w:t>profilage comportemental</w:t>
      </w:r>
      <w:r>
        <w:rPr>
          <w:sz w:val="24"/>
        </w:rPr>
        <w:t xml:space="preserve"> : apprendre le comportement habituel de chaque client et juger chaque opération par rapport à ce comportement, avant son exécution. La décision doit être graduée selon le risque et le montant, expliquée, et le modèle doit se mettre à jour à partir des fraudes confirmées. Le système doit enfin s'ouvrir à plusieurs institutions par une interface commune.</w:t>
      </w:r>
    </w:p>
    <w:p>
      <w:pPr>
        <w:pStyle w:val="Titre4"/>
        <w:keepNext/>
        <w:numPr>
          <w:numId w:val="0"/>
        </w:numPr>
        <w:spacing w:before="200" w:after="120"/>
        <w:ind w:left="0" w:firstLine="0"/>
        <w:jc w:val="left"/>
      </w:pPr>
      <w:r>
        <w:rPr>
          <w:b/>
          <w:i/>
          <w:color w:val="000000"/>
          <w:sz w:val="25"/>
        </w:rPr>
        <w:t>1.3 Problématique, hypothèses et objectifs</w:t>
      </w:r>
    </w:p>
    <w:p>
      <w:pPr>
        <w:spacing w:before="0" w:after="120" w:line="360" w:lineRule="auto"/>
        <w:jc w:val="both"/>
      </w:pPr>
      <w:r>
        <w:rPr>
          <w:sz w:val="24"/>
        </w:rPr>
        <w:t>L'analyse qui précède conduit à la question centrale de ce travail :</w:t>
      </w:r>
    </w:p>
    <w:p>
      <w:pPr>
        <w:pBdr>
          <w:left w:val="single" w:sz="24" w:space="8" w:color="2B6CB0"/>
        </w:pBdr>
        <w:shd w:val="clear" w:color="auto" w:fill="EEF3FA"/>
        <w:spacing w:before="120" w:after="200" w:line="312" w:lineRule="auto"/>
        <w:ind w:left="340" w:right="170"/>
        <w:jc w:val="both"/>
      </w:pPr>
      <w:r>
        <w:rPr>
          <w:i/>
          <w:sz w:val="22"/>
        </w:rPr>
        <w:t>Comment concevoir un modèle d'intelligence artificielle qui apprend le comportement habituel de chaque utilisateur pour détecter, en temps réel et de manière explicable, les transactions frauduleuses Mobile Money en RDC, et dans quelle mesure cette approche se transpose-t-elle aux cartes virtuelles ?</w:t>
      </w:r>
    </w:p>
    <w:p>
      <w:pPr>
        <w:spacing w:before="0" w:after="120" w:line="360" w:lineRule="auto"/>
        <w:jc w:val="both"/>
      </w:pPr>
      <w:r>
        <w:rPr>
          <w:sz w:val="24"/>
        </w:rPr>
        <w:t xml:space="preserve">Une </w:t>
      </w:r>
      <w:r>
        <w:rPr>
          <w:b/>
          <w:sz w:val="24"/>
        </w:rPr>
        <w:t>hypothèse de recherche</w:t>
      </w:r>
      <w:r>
        <w:rPr>
          <w:sz w:val="24"/>
        </w:rPr>
        <w:t xml:space="preserve"> est une affirmation testable, formulée avant l'expérience, qu'on confirme ou infirme selon un critère fixé à l'avance. Le tableau II.4 relie chaque question de recherche à son hypothèse.</w:t>
      </w:r>
    </w:p>
    <w:p>
      <w:pPr>
        <w:pStyle w:val="Légendetableau"/>
        <w:keepNext/>
        <w:spacing w:before="200" w:after="80"/>
        <w:jc w:val="center"/>
      </w:pPr>
      <w:r>
        <w:rPr>
          <w:b/>
          <w:sz w:val="20"/>
        </w:rPr>
        <w:t>Tableau II.4 — Questions de recherche et hypothèses.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4655"/>
        <w:gridCol w:w="4734"/>
      </w:tblGrid>
      <w:tr>
        <w:trPr>
          <w:tblHeader w:val="true"/>
        </w:trPr>
        <w:tc>
          <w:tcPr>
            <w:tcW w:type="dxa" w:w="4655"/>
            <w:shd w:val="clear" w:color="auto" w:fill="D9E2F3"/>
          </w:tcPr>
          <w:p>
            <w:pPr>
              <w:spacing w:after="20" w:before="20" w:line="240" w:lineRule="auto"/>
              <w:jc w:val="left"/>
            </w:pPr>
            <w:r/>
            <w:r>
              <w:rPr>
                <w:b/>
                <w:sz w:val="20"/>
              </w:rPr>
              <w:t>Question de recherche</w:t>
            </w:r>
          </w:p>
        </w:tc>
        <w:tc>
          <w:tcPr>
            <w:tcW w:type="dxa" w:w="4734"/>
            <w:shd w:val="clear" w:color="auto" w:fill="D9E2F3"/>
          </w:tcPr>
          <w:p>
            <w:pPr>
              <w:spacing w:after="20" w:before="20" w:line="240" w:lineRule="auto"/>
              <w:jc w:val="left"/>
            </w:pPr>
            <w:r/>
            <w:r>
              <w:rPr>
                <w:b/>
                <w:sz w:val="20"/>
              </w:rPr>
              <w:t>Hypothèse</w:t>
            </w:r>
          </w:p>
        </w:tc>
      </w:tr>
      <w:tr>
        <w:trPr>
          <w:cantSplit w:val="true"/>
        </w:trPr>
        <w:tc>
          <w:tcPr>
            <w:tcW w:type="dxa" w:w="4655"/>
          </w:tcPr>
          <w:p>
            <w:pPr>
              <w:spacing w:after="20" w:before="20" w:line="240" w:lineRule="auto"/>
              <w:jc w:val="left"/>
            </w:pPr>
            <w:r/>
            <w:r>
              <w:rPr>
                <w:sz w:val="20"/>
              </w:rPr>
              <w:t>QR1 — Le profilage comportemental détecte-t-il mieux la fraude que les approches statiques ?</w:t>
            </w:r>
          </w:p>
        </w:tc>
        <w:tc>
          <w:tcPr>
            <w:tcW w:type="dxa" w:w="4734"/>
          </w:tcPr>
          <w:p>
            <w:pPr>
              <w:spacing w:after="20" w:before="20" w:line="240" w:lineRule="auto"/>
              <w:jc w:val="left"/>
            </w:pPr>
            <w:r/>
            <w:r>
              <w:rPr>
                <w:b/>
                <w:sz w:val="20"/>
              </w:rPr>
              <w:t>H1</w:t>
            </w:r>
            <w:r>
              <w:rPr>
                <w:sz w:val="20"/>
              </w:rPr>
              <w:t xml:space="preserve"> : un modèle fondé sur le profil comportemental de l'utilisateur est significativement plus performant que les règles statiques et qu'un modèle sans historique.</w:t>
            </w:r>
          </w:p>
        </w:tc>
      </w:tr>
      <w:tr>
        <w:trPr>
          <w:cantSplit w:val="true"/>
        </w:trPr>
        <w:tc>
          <w:tcPr>
            <w:tcW w:type="dxa" w:w="4655"/>
          </w:tcPr>
          <w:p>
            <w:pPr>
              <w:spacing w:after="20" w:before="20" w:line="240" w:lineRule="auto"/>
              <w:jc w:val="left"/>
            </w:pPr>
            <w:r/>
            <w:r>
              <w:rPr>
                <w:sz w:val="20"/>
              </w:rPr>
              <w:t>QR2 — Quelles caractéristiques comportementales sont les plus discriminantes ?</w:t>
            </w:r>
          </w:p>
        </w:tc>
        <w:tc>
          <w:tcPr>
            <w:tcW w:type="dxa" w:w="4734"/>
          </w:tcPr>
          <w:p>
            <w:pPr>
              <w:spacing w:after="20" w:before="20" w:line="240" w:lineRule="auto"/>
              <w:jc w:val="left"/>
            </w:pPr>
            <w:r/>
            <w:r>
              <w:rPr>
                <w:b/>
                <w:sz w:val="20"/>
              </w:rPr>
              <w:t>H2</w:t>
            </w:r>
            <w:r>
              <w:rPr>
                <w:sz w:val="20"/>
              </w:rPr>
              <w:t xml:space="preserve"> : les variables temporelles, fréquentielles et contextuelles contribuent significativement à la détection.</w:t>
            </w:r>
          </w:p>
        </w:tc>
      </w:tr>
      <w:tr>
        <w:trPr>
          <w:cantSplit w:val="true"/>
        </w:trPr>
        <w:tc>
          <w:tcPr>
            <w:tcW w:type="dxa" w:w="4655"/>
          </w:tcPr>
          <w:p>
            <w:pPr>
              <w:spacing w:after="20" w:before="20" w:line="240" w:lineRule="auto"/>
              <w:jc w:val="left"/>
            </w:pPr>
            <w:r/>
            <w:r>
              <w:rPr>
                <w:sz w:val="20"/>
              </w:rPr>
              <w:t>QR3 — Quelle famille de modèles est la plus adaptée ?</w:t>
            </w:r>
          </w:p>
        </w:tc>
        <w:tc>
          <w:tcPr>
            <w:tcW w:type="dxa" w:w="4734"/>
          </w:tcPr>
          <w:p>
            <w:pPr>
              <w:spacing w:after="20" w:before="20" w:line="240" w:lineRule="auto"/>
              <w:jc w:val="left"/>
            </w:pPr>
            <w:r/>
            <w:r>
              <w:rPr>
                <w:b/>
                <w:sz w:val="20"/>
              </w:rPr>
              <w:t>H3</w:t>
            </w:r>
            <w:r>
              <w:rPr>
                <w:sz w:val="20"/>
              </w:rPr>
              <w:t xml:space="preserve"> : les performances varient significativement selon la famille de modèles (ensembles d'arbres, modèles linéaires, détection d'anomalies, réseaux récurrents).</w:t>
            </w:r>
          </w:p>
        </w:tc>
      </w:tr>
      <w:tr>
        <w:trPr>
          <w:cantSplit w:val="true"/>
        </w:trPr>
        <w:tc>
          <w:tcPr>
            <w:tcW w:type="dxa" w:w="4655"/>
          </w:tcPr>
          <w:p>
            <w:pPr>
              <w:spacing w:after="20" w:before="20" w:line="240" w:lineRule="auto"/>
              <w:jc w:val="left"/>
            </w:pPr>
            <w:r/>
            <w:r>
              <w:rPr>
                <w:sz w:val="20"/>
              </w:rPr>
              <w:t>QR4 — La logique se transpose-t-elle aux cartes virtuelles ?</w:t>
            </w:r>
          </w:p>
        </w:tc>
        <w:tc>
          <w:tcPr>
            <w:tcW w:type="dxa" w:w="4734"/>
          </w:tcPr>
          <w:p>
            <w:pPr>
              <w:spacing w:after="20" w:before="20" w:line="240" w:lineRule="auto"/>
              <w:jc w:val="left"/>
            </w:pPr>
            <w:r/>
            <w:r>
              <w:rPr>
                <w:b/>
                <w:sz w:val="20"/>
              </w:rPr>
              <w:t>H4</w:t>
            </w:r>
            <w:r>
              <w:rPr>
                <w:sz w:val="20"/>
              </w:rPr>
              <w:t xml:space="preserve"> : un modèle appris sur le Mobile Money conserve une performance élevée sur les cartes Visa virtuelles, avec peu ou pas de données Visa.</w:t>
            </w:r>
          </w:p>
        </w:tc>
      </w:tr>
      <w:tr>
        <w:trPr>
          <w:cantSplit w:val="true"/>
        </w:trPr>
        <w:tc>
          <w:tcPr>
            <w:tcW w:type="dxa" w:w="4655"/>
          </w:tcPr>
          <w:p>
            <w:pPr>
              <w:spacing w:after="20" w:before="20" w:line="240" w:lineRule="auto"/>
              <w:jc w:val="left"/>
            </w:pPr>
            <w:r/>
            <w:r>
              <w:rPr>
                <w:sz w:val="20"/>
              </w:rPr>
              <w:t>QR5 — Le modèle doit-il évoluer avec les fraudes ?</w:t>
            </w:r>
          </w:p>
        </w:tc>
        <w:tc>
          <w:tcPr>
            <w:tcW w:type="dxa" w:w="4734"/>
          </w:tcPr>
          <w:p>
            <w:pPr>
              <w:spacing w:after="20" w:before="20" w:line="240" w:lineRule="auto"/>
              <w:jc w:val="left"/>
            </w:pPr>
            <w:r/>
            <w:r>
              <w:rPr>
                <w:b/>
                <w:sz w:val="20"/>
              </w:rPr>
              <w:t>H5</w:t>
            </w:r>
            <w:r>
              <w:rPr>
                <w:sz w:val="20"/>
              </w:rPr>
              <w:t xml:space="preserve"> : face à l'évolution des fraudes, un modèle régulièrement mis à jour reste significativement plus performant qu'un modèle figé.</w:t>
            </w:r>
          </w:p>
        </w:tc>
      </w:tr>
    </w:tbl>
    <w:p>
      <w:pPr>
        <w:spacing w:after="120"/>
      </w:pPr>
    </w:p>
    <w:p>
      <w:pPr>
        <w:spacing w:before="0" w:after="120" w:line="360" w:lineRule="auto"/>
        <w:jc w:val="both"/>
      </w:pPr>
      <w:r>
        <w:rPr>
          <w:b/>
          <w:sz w:val="24"/>
        </w:rPr>
        <w:t>Objectif général.</w:t>
      </w:r>
      <w:r>
        <w:rPr>
          <w:sz w:val="24"/>
        </w:rPr>
        <w:t xml:space="preserve"> Concevoir, réaliser et évaluer un système de détection de fraude par profilage comportemental, opérationnel en temps réel, explicable, évolutif et ouvert aux institutions du secteur.</w:t>
      </w:r>
    </w:p>
    <w:p>
      <w:pPr>
        <w:spacing w:before="0" w:after="120" w:line="360" w:lineRule="auto"/>
        <w:jc w:val="both"/>
      </w:pPr>
      <w:r>
        <w:rPr>
          <w:b/>
          <w:sz w:val="24"/>
        </w:rPr>
        <w:t>Objectifs spécifiques :</w:t>
      </w:r>
    </w:p>
    <w:p>
      <w:pPr>
        <w:tabs>
          <w:tab w:pos="567" w:val="left"/>
        </w:tabs>
        <w:spacing w:after="60" w:line="324" w:lineRule="auto"/>
        <w:ind w:left="567" w:hanging="340"/>
        <w:jc w:val="both"/>
      </w:pPr>
      <w:r>
        <w:rPr>
          <w:sz w:val="24"/>
        </w:rPr>
        <w:t>1.</w:t>
        <w:tab/>
      </w:r>
      <w:r>
        <w:rPr>
          <w:sz w:val="24"/>
        </w:rPr>
        <w:t>construire un profil comportemental par utilisateur ;</w:t>
      </w:r>
    </w:p>
    <w:p>
      <w:pPr>
        <w:tabs>
          <w:tab w:pos="567" w:val="left"/>
        </w:tabs>
        <w:spacing w:after="60" w:line="324" w:lineRule="auto"/>
        <w:ind w:left="567" w:hanging="340"/>
        <w:jc w:val="both"/>
      </w:pPr>
      <w:r>
        <w:rPr>
          <w:sz w:val="24"/>
        </w:rPr>
        <w:t>2.</w:t>
        <w:tab/>
      </w:r>
      <w:r>
        <w:rPr>
          <w:sz w:val="24"/>
        </w:rPr>
        <w:t>comparer plusieurs familles de modèles selon un protocole statistique rigoureux ;</w:t>
      </w:r>
    </w:p>
    <w:p>
      <w:pPr>
        <w:tabs>
          <w:tab w:pos="567" w:val="left"/>
        </w:tabs>
        <w:spacing w:after="60" w:line="324" w:lineRule="auto"/>
        <w:ind w:left="567" w:hanging="340"/>
        <w:jc w:val="both"/>
      </w:pPr>
      <w:r>
        <w:rPr>
          <w:sz w:val="24"/>
        </w:rPr>
        <w:t>3.</w:t>
        <w:tab/>
      </w:r>
      <w:r>
        <w:rPr>
          <w:sz w:val="24"/>
        </w:rPr>
        <w:t>mesurer la transposabilité du Mobile Money vers la carte Visa virtuelle ;</w:t>
      </w:r>
    </w:p>
    <w:p>
      <w:pPr>
        <w:tabs>
          <w:tab w:pos="567" w:val="left"/>
        </w:tabs>
        <w:spacing w:after="60" w:line="324" w:lineRule="auto"/>
        <w:ind w:left="567" w:hanging="340"/>
        <w:jc w:val="both"/>
      </w:pPr>
      <w:r>
        <w:rPr>
          <w:sz w:val="24"/>
        </w:rPr>
        <w:t>4.</w:t>
        <w:tab/>
      </w:r>
      <w:r>
        <w:rPr>
          <w:sz w:val="24"/>
        </w:rPr>
        <w:t>intégrer le modèle dans une architecture temps réel, avec explication, supervision et réentraînement ;</w:t>
      </w:r>
    </w:p>
    <w:p>
      <w:pPr>
        <w:tabs>
          <w:tab w:pos="567" w:val="left"/>
        </w:tabs>
        <w:spacing w:after="60" w:line="324" w:lineRule="auto"/>
        <w:ind w:left="567" w:hanging="340"/>
        <w:jc w:val="both"/>
      </w:pPr>
      <w:r>
        <w:rPr>
          <w:sz w:val="24"/>
        </w:rPr>
        <w:t>5.</w:t>
        <w:tab/>
      </w:r>
      <w:r>
        <w:rPr>
          <w:sz w:val="24"/>
        </w:rPr>
        <w:t>l'exposer aux opérateurs, aux banques et au régulateur par une interface de programmation (API) ;</w:t>
      </w:r>
    </w:p>
    <w:p>
      <w:pPr>
        <w:tabs>
          <w:tab w:pos="567" w:val="left"/>
        </w:tabs>
        <w:spacing w:after="60" w:line="324" w:lineRule="auto"/>
        <w:ind w:left="567" w:hanging="340"/>
        <w:jc w:val="both"/>
      </w:pPr>
      <w:r>
        <w:rPr>
          <w:sz w:val="24"/>
        </w:rPr>
        <w:t>6.</w:t>
        <w:tab/>
      </w:r>
      <w:r>
        <w:rPr>
          <w:sz w:val="24"/>
        </w:rPr>
        <w:t>mesurer ce que le modèle laisse passer et à qui il nuit : fraudes manquées, fausses alertes et équité entre groupes de clients.</w:t>
      </w:r>
    </w:p>
    <w:p>
      <w:pPr>
        <w:pStyle w:val="Titre4"/>
        <w:keepNext/>
        <w:numPr>
          <w:numId w:val="0"/>
        </w:numPr>
        <w:spacing w:before="200" w:after="120"/>
        <w:ind w:left="0" w:firstLine="0"/>
        <w:jc w:val="left"/>
      </w:pPr>
      <w:r>
        <w:rPr>
          <w:b/>
          <w:i/>
          <w:color w:val="000000"/>
          <w:sz w:val="25"/>
        </w:rPr>
        <w:t>1.4 Identification des acteurs</w:t>
      </w:r>
    </w:p>
    <w:p>
      <w:pPr>
        <w:spacing w:before="0" w:after="120" w:line="360" w:lineRule="auto"/>
        <w:jc w:val="both"/>
      </w:pPr>
      <w:r>
        <w:rPr>
          <w:sz w:val="24"/>
        </w:rPr>
        <w:t>Un acteur est une entité externe au système qui interagit avec lui. On distingue les acteurs humains des systèmes externes, et les acteurs internes à l'organisation de ceux qui lui sont extérieurs (tableau II.5).</w:t>
      </w:r>
    </w:p>
    <w:p>
      <w:pPr>
        <w:pStyle w:val="Légendetableau"/>
        <w:keepNext/>
        <w:spacing w:before="200" w:after="80"/>
        <w:jc w:val="center"/>
      </w:pPr>
      <w:r>
        <w:rPr>
          <w:b/>
          <w:sz w:val="20"/>
        </w:rPr>
        <w:t>Tableau II.5 — Acteurs du système.</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1434"/>
        <w:gridCol w:w="1188"/>
        <w:gridCol w:w="3581"/>
        <w:gridCol w:w="3185"/>
      </w:tblGrid>
      <w:tr>
        <w:trPr>
          <w:tblHeader w:val="true"/>
        </w:trPr>
        <w:tc>
          <w:tcPr>
            <w:tcW w:type="dxa" w:w="1434"/>
            <w:shd w:val="clear" w:color="auto" w:fill="D9E2F3"/>
          </w:tcPr>
          <w:p>
            <w:pPr>
              <w:spacing w:after="20" w:before="20" w:line="240" w:lineRule="auto"/>
              <w:jc w:val="left"/>
            </w:pPr>
            <w:r/>
            <w:r>
              <w:rPr>
                <w:b/>
                <w:sz w:val="18"/>
              </w:rPr>
              <w:t>Acteur</w:t>
            </w:r>
          </w:p>
        </w:tc>
        <w:tc>
          <w:tcPr>
            <w:tcW w:type="dxa" w:w="1188"/>
            <w:shd w:val="clear" w:color="auto" w:fill="D9E2F3"/>
          </w:tcPr>
          <w:p>
            <w:pPr>
              <w:spacing w:after="20" w:before="20" w:line="240" w:lineRule="auto"/>
              <w:jc w:val="left"/>
            </w:pPr>
            <w:r/>
            <w:r>
              <w:rPr>
                <w:b/>
                <w:sz w:val="18"/>
              </w:rPr>
              <w:t>Type</w:t>
            </w:r>
          </w:p>
        </w:tc>
        <w:tc>
          <w:tcPr>
            <w:tcW w:type="dxa" w:w="3581"/>
            <w:shd w:val="clear" w:color="auto" w:fill="D9E2F3"/>
          </w:tcPr>
          <w:p>
            <w:pPr>
              <w:spacing w:after="20" w:before="20" w:line="240" w:lineRule="auto"/>
              <w:jc w:val="left"/>
            </w:pPr>
            <w:r/>
            <w:r>
              <w:rPr>
                <w:b/>
                <w:sz w:val="18"/>
              </w:rPr>
              <w:t>Rôle</w:t>
            </w:r>
          </w:p>
        </w:tc>
        <w:tc>
          <w:tcPr>
            <w:tcW w:type="dxa" w:w="3185"/>
            <w:shd w:val="clear" w:color="auto" w:fill="D9E2F3"/>
          </w:tcPr>
          <w:p>
            <w:pPr>
              <w:spacing w:after="20" w:before="20" w:line="240" w:lineRule="auto"/>
              <w:jc w:val="left"/>
            </w:pPr>
            <w:r/>
            <w:r>
              <w:rPr>
                <w:b/>
                <w:sz w:val="18"/>
              </w:rPr>
              <w:t>Attentes</w:t>
            </w:r>
          </w:p>
        </w:tc>
      </w:tr>
      <w:tr>
        <w:trPr>
          <w:cantSplit w:val="true"/>
        </w:trPr>
        <w:tc>
          <w:tcPr>
            <w:tcW w:type="dxa" w:w="1434"/>
          </w:tcPr>
          <w:p>
            <w:pPr>
              <w:spacing w:after="20" w:before="20" w:line="240" w:lineRule="auto"/>
              <w:jc w:val="left"/>
            </w:pPr>
            <w:r/>
            <w:r>
              <w:rPr>
                <w:sz w:val="18"/>
              </w:rPr>
              <w:t>Client (titulaire)</w:t>
            </w:r>
          </w:p>
        </w:tc>
        <w:tc>
          <w:tcPr>
            <w:tcW w:type="dxa" w:w="1188"/>
          </w:tcPr>
          <w:p>
            <w:pPr>
              <w:spacing w:after="20" w:before="20" w:line="240" w:lineRule="auto"/>
              <w:jc w:val="left"/>
            </w:pPr>
            <w:r/>
            <w:r>
              <w:rPr>
                <w:sz w:val="18"/>
              </w:rPr>
              <w:t>Humain, externe</w:t>
            </w:r>
          </w:p>
        </w:tc>
        <w:tc>
          <w:tcPr>
            <w:tcW w:type="dxa" w:w="3581"/>
          </w:tcPr>
          <w:p>
            <w:pPr>
              <w:spacing w:after="20" w:before="20" w:line="240" w:lineRule="auto"/>
              <w:jc w:val="left"/>
            </w:pPr>
            <w:r/>
            <w:r>
              <w:rPr>
                <w:sz w:val="18"/>
              </w:rPr>
              <w:t>Effectue les opérations</w:t>
            </w:r>
          </w:p>
        </w:tc>
        <w:tc>
          <w:tcPr>
            <w:tcW w:type="dxa" w:w="3185"/>
          </w:tcPr>
          <w:p>
            <w:pPr>
              <w:spacing w:after="20" w:before="20" w:line="240" w:lineRule="auto"/>
              <w:jc w:val="left"/>
            </w:pPr>
            <w:r/>
            <w:r>
              <w:rPr>
                <w:sz w:val="18"/>
              </w:rPr>
              <w:t>Être protégé sans être bloqué à tort ; être prévenu en cas d'opération suspecte</w:t>
            </w:r>
          </w:p>
        </w:tc>
      </w:tr>
      <w:tr>
        <w:trPr>
          <w:cantSplit w:val="true"/>
        </w:trPr>
        <w:tc>
          <w:tcPr>
            <w:tcW w:type="dxa" w:w="1434"/>
          </w:tcPr>
          <w:p>
            <w:pPr>
              <w:spacing w:after="20" w:before="20" w:line="240" w:lineRule="auto"/>
              <w:jc w:val="left"/>
            </w:pPr>
            <w:r/>
            <w:r>
              <w:rPr>
                <w:sz w:val="18"/>
              </w:rPr>
              <w:t>Opérateur Mobile Money</w:t>
            </w:r>
          </w:p>
        </w:tc>
        <w:tc>
          <w:tcPr>
            <w:tcW w:type="dxa" w:w="1188"/>
          </w:tcPr>
          <w:p>
            <w:pPr>
              <w:spacing w:after="20" w:before="20" w:line="240" w:lineRule="auto"/>
              <w:jc w:val="left"/>
            </w:pPr>
            <w:r/>
            <w:r>
              <w:rPr>
                <w:sz w:val="18"/>
              </w:rPr>
              <w:t>Système externe</w:t>
            </w:r>
          </w:p>
        </w:tc>
        <w:tc>
          <w:tcPr>
            <w:tcW w:type="dxa" w:w="3581"/>
          </w:tcPr>
          <w:p>
            <w:pPr>
              <w:spacing w:after="20" w:before="20" w:line="240" w:lineRule="auto"/>
              <w:jc w:val="left"/>
            </w:pPr>
            <w:r/>
            <w:r>
              <w:rPr>
                <w:sz w:val="18"/>
              </w:rPr>
              <w:t>Transmet les opérations, applique la décision</w:t>
            </w:r>
          </w:p>
        </w:tc>
        <w:tc>
          <w:tcPr>
            <w:tcW w:type="dxa" w:w="3185"/>
          </w:tcPr>
          <w:p>
            <w:pPr>
              <w:spacing w:after="20" w:before="20" w:line="240" w:lineRule="auto"/>
              <w:jc w:val="left"/>
            </w:pPr>
            <w:r/>
            <w:r>
              <w:rPr>
                <w:sz w:val="18"/>
              </w:rPr>
              <w:t>Décision rapide (moins de 100 ms), fiable, dans son format natif</w:t>
            </w:r>
          </w:p>
        </w:tc>
      </w:tr>
      <w:tr>
        <w:trPr>
          <w:cantSplit w:val="true"/>
        </w:trPr>
        <w:tc>
          <w:tcPr>
            <w:tcW w:type="dxa" w:w="1434"/>
          </w:tcPr>
          <w:p>
            <w:pPr>
              <w:spacing w:after="20" w:before="20" w:line="240" w:lineRule="auto"/>
              <w:jc w:val="left"/>
            </w:pPr>
            <w:r/>
            <w:r>
              <w:rPr>
                <w:sz w:val="18"/>
              </w:rPr>
              <w:t>Émetteur de cartes virtuelles</w:t>
            </w:r>
          </w:p>
        </w:tc>
        <w:tc>
          <w:tcPr>
            <w:tcW w:type="dxa" w:w="1188"/>
          </w:tcPr>
          <w:p>
            <w:pPr>
              <w:spacing w:after="20" w:before="20" w:line="240" w:lineRule="auto"/>
              <w:jc w:val="left"/>
            </w:pPr>
            <w:r/>
            <w:r>
              <w:rPr>
                <w:sz w:val="18"/>
              </w:rPr>
              <w:t>Système externe</w:t>
            </w:r>
          </w:p>
        </w:tc>
        <w:tc>
          <w:tcPr>
            <w:tcW w:type="dxa" w:w="3581"/>
          </w:tcPr>
          <w:p>
            <w:pPr>
              <w:spacing w:after="20" w:before="20" w:line="240" w:lineRule="auto"/>
              <w:jc w:val="left"/>
            </w:pPr>
            <w:r/>
            <w:r>
              <w:rPr>
                <w:sz w:val="18"/>
              </w:rPr>
              <w:t>Transmet les opérations carte, applique la décision</w:t>
            </w:r>
          </w:p>
        </w:tc>
        <w:tc>
          <w:tcPr>
            <w:tcW w:type="dxa" w:w="3185"/>
          </w:tcPr>
          <w:p>
            <w:pPr>
              <w:spacing w:after="20" w:before="20" w:line="240" w:lineRule="auto"/>
              <w:jc w:val="left"/>
            </w:pPr>
            <w:r/>
            <w:r>
              <w:rPr>
                <w:sz w:val="18"/>
              </w:rPr>
              <w:t>Idem</w:t>
            </w:r>
          </w:p>
        </w:tc>
      </w:tr>
      <w:tr>
        <w:trPr>
          <w:cantSplit w:val="true"/>
        </w:trPr>
        <w:tc>
          <w:tcPr>
            <w:tcW w:type="dxa" w:w="1434"/>
          </w:tcPr>
          <w:p>
            <w:pPr>
              <w:spacing w:after="20" w:before="20" w:line="240" w:lineRule="auto"/>
              <w:jc w:val="left"/>
            </w:pPr>
            <w:r/>
            <w:r>
              <w:rPr>
                <w:sz w:val="18"/>
              </w:rPr>
              <w:t>Banque partenaire</w:t>
            </w:r>
          </w:p>
        </w:tc>
        <w:tc>
          <w:tcPr>
            <w:tcW w:type="dxa" w:w="1188"/>
          </w:tcPr>
          <w:p>
            <w:pPr>
              <w:spacing w:after="20" w:before="20" w:line="240" w:lineRule="auto"/>
              <w:jc w:val="left"/>
            </w:pPr>
            <w:r/>
            <w:r>
              <w:rPr>
                <w:sz w:val="18"/>
              </w:rPr>
              <w:t>Système externe</w:t>
            </w:r>
          </w:p>
        </w:tc>
        <w:tc>
          <w:tcPr>
            <w:tcW w:type="dxa" w:w="3581"/>
          </w:tcPr>
          <w:p>
            <w:pPr>
              <w:spacing w:after="20" w:before="20" w:line="240" w:lineRule="auto"/>
              <w:jc w:val="left"/>
            </w:pPr>
            <w:r/>
            <w:r>
              <w:rPr>
                <w:sz w:val="18"/>
              </w:rPr>
              <w:t>Utilise le système par l'API au format commun</w:t>
            </w:r>
          </w:p>
        </w:tc>
        <w:tc>
          <w:tcPr>
            <w:tcW w:type="dxa" w:w="3185"/>
          </w:tcPr>
          <w:p>
            <w:pPr>
              <w:spacing w:after="20" w:before="20" w:line="240" w:lineRule="auto"/>
              <w:jc w:val="left"/>
            </w:pPr>
            <w:r/>
            <w:r>
              <w:rPr>
                <w:sz w:val="18"/>
              </w:rPr>
              <w:t>Intégration simple, isolement de ses données</w:t>
            </w:r>
          </w:p>
        </w:tc>
      </w:tr>
      <w:tr>
        <w:trPr>
          <w:cantSplit w:val="true"/>
        </w:trPr>
        <w:tc>
          <w:tcPr>
            <w:tcW w:type="dxa" w:w="1434"/>
          </w:tcPr>
          <w:p>
            <w:pPr>
              <w:spacing w:after="20" w:before="20" w:line="240" w:lineRule="auto"/>
              <w:jc w:val="left"/>
            </w:pPr>
            <w:r/>
            <w:r>
              <w:rPr>
                <w:sz w:val="18"/>
              </w:rPr>
              <w:t>Analyste anti-fraude</w:t>
            </w:r>
          </w:p>
        </w:tc>
        <w:tc>
          <w:tcPr>
            <w:tcW w:type="dxa" w:w="1188"/>
          </w:tcPr>
          <w:p>
            <w:pPr>
              <w:spacing w:after="20" w:before="20" w:line="240" w:lineRule="auto"/>
              <w:jc w:val="left"/>
            </w:pPr>
            <w:r/>
            <w:r>
              <w:rPr>
                <w:sz w:val="18"/>
              </w:rPr>
              <w:t>Humain, interne</w:t>
            </w:r>
          </w:p>
        </w:tc>
        <w:tc>
          <w:tcPr>
            <w:tcW w:type="dxa" w:w="3581"/>
          </w:tcPr>
          <w:p>
            <w:pPr>
              <w:spacing w:after="20" w:before="20" w:line="240" w:lineRule="auto"/>
              <w:jc w:val="left"/>
            </w:pPr>
            <w:r/>
            <w:r>
              <w:rPr>
                <w:sz w:val="18"/>
              </w:rPr>
              <w:t>Traite les alertes et les dossiers</w:t>
            </w:r>
          </w:p>
        </w:tc>
        <w:tc>
          <w:tcPr>
            <w:tcW w:type="dxa" w:w="3185"/>
          </w:tcPr>
          <w:p>
            <w:pPr>
              <w:spacing w:after="20" w:before="20" w:line="240" w:lineRule="auto"/>
              <w:jc w:val="left"/>
            </w:pPr>
            <w:r/>
            <w:r>
              <w:rPr>
                <w:sz w:val="18"/>
              </w:rPr>
              <w:t>Alertes priorisées, expliquées et typées</w:t>
            </w:r>
          </w:p>
        </w:tc>
      </w:tr>
      <w:tr>
        <w:trPr>
          <w:cantSplit w:val="true"/>
        </w:trPr>
        <w:tc>
          <w:tcPr>
            <w:tcW w:type="dxa" w:w="1434"/>
          </w:tcPr>
          <w:p>
            <w:pPr>
              <w:spacing w:after="20" w:before="20" w:line="240" w:lineRule="auto"/>
              <w:jc w:val="left"/>
            </w:pPr>
            <w:r/>
            <w:r>
              <w:rPr>
                <w:sz w:val="18"/>
              </w:rPr>
              <w:t>Superviseur</w:t>
            </w:r>
          </w:p>
        </w:tc>
        <w:tc>
          <w:tcPr>
            <w:tcW w:type="dxa" w:w="1188"/>
          </w:tcPr>
          <w:p>
            <w:pPr>
              <w:spacing w:after="20" w:before="20" w:line="240" w:lineRule="auto"/>
              <w:jc w:val="left"/>
            </w:pPr>
            <w:r/>
            <w:r>
              <w:rPr>
                <w:sz w:val="18"/>
              </w:rPr>
              <w:t>Humain, interne</w:t>
            </w:r>
          </w:p>
        </w:tc>
        <w:tc>
          <w:tcPr>
            <w:tcW w:type="dxa" w:w="3581"/>
          </w:tcPr>
          <w:p>
            <w:pPr>
              <w:spacing w:after="20" w:before="20" w:line="240" w:lineRule="auto"/>
              <w:jc w:val="left"/>
            </w:pPr>
            <w:r/>
            <w:r>
              <w:rPr>
                <w:sz w:val="18"/>
              </w:rPr>
              <w:t>Encadre l'équipe, suit le modèle, règle la politique de décision, valide les déblocages importants</w:t>
            </w:r>
          </w:p>
        </w:tc>
        <w:tc>
          <w:tcPr>
            <w:tcW w:type="dxa" w:w="3185"/>
          </w:tcPr>
          <w:p>
            <w:pPr>
              <w:spacing w:after="20" w:before="20" w:line="240" w:lineRule="auto"/>
              <w:jc w:val="left"/>
            </w:pPr>
            <w:r/>
            <w:r>
              <w:rPr>
                <w:sz w:val="18"/>
              </w:rPr>
              <w:t>Indicateurs, journal d'audit, pilotage du modèle</w:t>
            </w:r>
          </w:p>
        </w:tc>
      </w:tr>
      <w:tr>
        <w:trPr>
          <w:cantSplit w:val="true"/>
        </w:trPr>
        <w:tc>
          <w:tcPr>
            <w:tcW w:type="dxa" w:w="1434"/>
          </w:tcPr>
          <w:p>
            <w:pPr>
              <w:spacing w:after="20" w:before="20" w:line="240" w:lineRule="auto"/>
              <w:jc w:val="left"/>
            </w:pPr>
            <w:r/>
            <w:r>
              <w:rPr>
                <w:sz w:val="18"/>
              </w:rPr>
              <w:t>Administrateur</w:t>
            </w:r>
          </w:p>
        </w:tc>
        <w:tc>
          <w:tcPr>
            <w:tcW w:type="dxa" w:w="1188"/>
          </w:tcPr>
          <w:p>
            <w:pPr>
              <w:spacing w:after="20" w:before="20" w:line="240" w:lineRule="auto"/>
              <w:jc w:val="left"/>
            </w:pPr>
            <w:r/>
            <w:r>
              <w:rPr>
                <w:sz w:val="18"/>
              </w:rPr>
              <w:t>Humain, interne</w:t>
            </w:r>
          </w:p>
        </w:tc>
        <w:tc>
          <w:tcPr>
            <w:tcW w:type="dxa" w:w="3581"/>
          </w:tcPr>
          <w:p>
            <w:pPr>
              <w:spacing w:after="20" w:before="20" w:line="240" w:lineRule="auto"/>
              <w:jc w:val="left"/>
            </w:pPr>
            <w:r/>
            <w:r>
              <w:rPr>
                <w:sz w:val="18"/>
              </w:rPr>
              <w:t>Gère les comptes, les rôles, les institutions et les clés d'API</w:t>
            </w:r>
          </w:p>
        </w:tc>
        <w:tc>
          <w:tcPr>
            <w:tcW w:type="dxa" w:w="3185"/>
          </w:tcPr>
          <w:p>
            <w:pPr>
              <w:spacing w:after="20" w:before="20" w:line="240" w:lineRule="auto"/>
              <w:jc w:val="left"/>
            </w:pPr>
            <w:r/>
            <w:r>
              <w:rPr>
                <w:sz w:val="18"/>
              </w:rPr>
              <w:t>Contrôle des accès</w:t>
            </w:r>
          </w:p>
        </w:tc>
      </w:tr>
      <w:tr>
        <w:trPr>
          <w:cantSplit w:val="true"/>
        </w:trPr>
        <w:tc>
          <w:tcPr>
            <w:tcW w:type="dxa" w:w="1434"/>
          </w:tcPr>
          <w:p>
            <w:pPr>
              <w:spacing w:after="20" w:before="20" w:line="240" w:lineRule="auto"/>
              <w:jc w:val="left"/>
            </w:pPr>
            <w:r/>
            <w:r>
              <w:rPr>
                <w:sz w:val="18"/>
              </w:rPr>
              <w:t>Régulateur (BCC), auditeur</w:t>
            </w:r>
          </w:p>
        </w:tc>
        <w:tc>
          <w:tcPr>
            <w:tcW w:type="dxa" w:w="1188"/>
          </w:tcPr>
          <w:p>
            <w:pPr>
              <w:spacing w:after="20" w:before="20" w:line="240" w:lineRule="auto"/>
              <w:jc w:val="left"/>
            </w:pPr>
            <w:r/>
            <w:r>
              <w:rPr>
                <w:sz w:val="18"/>
              </w:rPr>
              <w:t>Humain ou système, externe</w:t>
            </w:r>
          </w:p>
        </w:tc>
        <w:tc>
          <w:tcPr>
            <w:tcW w:type="dxa" w:w="3581"/>
          </w:tcPr>
          <w:p>
            <w:pPr>
              <w:spacing w:after="20" w:before="20" w:line="240" w:lineRule="auto"/>
              <w:jc w:val="left"/>
            </w:pPr>
            <w:r/>
            <w:r>
              <w:rPr>
                <w:sz w:val="18"/>
              </w:rPr>
              <w:t>Supervise le secteur, contrôle la conformité</w:t>
            </w:r>
          </w:p>
        </w:tc>
        <w:tc>
          <w:tcPr>
            <w:tcW w:type="dxa" w:w="3185"/>
          </w:tcPr>
          <w:p>
            <w:pPr>
              <w:spacing w:after="20" w:before="20" w:line="240" w:lineRule="auto"/>
              <w:jc w:val="left"/>
            </w:pPr>
            <w:r/>
            <w:r>
              <w:rPr>
                <w:sz w:val="18"/>
              </w:rPr>
              <w:t>Agrégats sans donnée personnelle, traçabilité inaltérable</w:t>
            </w:r>
          </w:p>
        </w:tc>
      </w:tr>
    </w:tbl>
    <w:p>
      <w:pPr>
        <w:spacing w:after="120"/>
      </w:pPr>
    </w:p>
    <w:p>
      <w:pPr>
        <w:spacing w:before="0" w:after="120" w:line="360" w:lineRule="auto"/>
        <w:jc w:val="both"/>
      </w:pPr>
      <w:r>
        <w:rPr>
          <w:sz w:val="24"/>
        </w:rPr>
        <w:t xml:space="preserve">Deux relations de </w:t>
      </w:r>
      <w:r>
        <w:rPr>
          <w:b/>
          <w:sz w:val="24"/>
        </w:rPr>
        <w:t>généralisation</w:t>
      </w:r>
      <w:r>
        <w:rPr>
          <w:sz w:val="24"/>
        </w:rPr>
        <w:t xml:space="preserve"> (relation UML « hérite de ») simplifient la modélisation : le superviseur hérite des droits de l'analyste ; l'émetteur Visa et la banque partenaire se comportent, vis-à-vis du système, comme un opérateur.</w:t>
      </w:r>
    </w:p>
    <w:p>
      <w:pPr>
        <w:pStyle w:val="Titre4"/>
        <w:keepNext/>
        <w:numPr>
          <w:numId w:val="0"/>
        </w:numPr>
        <w:spacing w:before="200" w:after="120"/>
        <w:ind w:left="0" w:firstLine="0"/>
        <w:jc w:val="left"/>
      </w:pPr>
      <w:r>
        <w:rPr>
          <w:b/>
          <w:i/>
          <w:color w:val="000000"/>
          <w:sz w:val="25"/>
        </w:rPr>
        <w:t>1.5 Règles de gestion</w:t>
      </w:r>
    </w:p>
    <w:p>
      <w:pPr>
        <w:spacing w:before="0" w:after="120" w:line="360" w:lineRule="auto"/>
        <w:jc w:val="both"/>
      </w:pPr>
      <w:r>
        <w:rPr>
          <w:sz w:val="24"/>
        </w:rPr>
        <w:t>Les règles de gestion traduisent les contraintes du métier que le système doit respecter, indépendamment de la technique. Elles ont été établies à partir de l'analyse du domaine, puis implémentées telles quelles dans le code (tableau II.6).</w:t>
      </w:r>
    </w:p>
    <w:p>
      <w:pPr>
        <w:pStyle w:val="Légendetableau"/>
        <w:keepNext/>
        <w:spacing w:before="200" w:after="80"/>
        <w:jc w:val="center"/>
      </w:pPr>
      <w:r>
        <w:rPr>
          <w:b/>
          <w:sz w:val="20"/>
        </w:rPr>
        <w:t>Tableau II.6 — Règles de gestion.</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821"/>
        <w:gridCol w:w="8568"/>
      </w:tblGrid>
      <w:tr>
        <w:trPr>
          <w:tblHeader w:val="true"/>
        </w:trPr>
        <w:tc>
          <w:tcPr>
            <w:tcW w:type="dxa" w:w="821"/>
            <w:shd w:val="clear" w:color="auto" w:fill="D9E2F3"/>
          </w:tcPr>
          <w:p>
            <w:pPr>
              <w:spacing w:after="20" w:before="20" w:line="240" w:lineRule="auto"/>
              <w:jc w:val="left"/>
            </w:pPr>
            <w:r/>
            <w:r>
              <w:rPr>
                <w:b/>
                <w:sz w:val="20"/>
              </w:rPr>
              <w:t>Réf.</w:t>
            </w:r>
          </w:p>
        </w:tc>
        <w:tc>
          <w:tcPr>
            <w:tcW w:type="dxa" w:w="8568"/>
            <w:shd w:val="clear" w:color="auto" w:fill="D9E2F3"/>
          </w:tcPr>
          <w:p>
            <w:pPr>
              <w:spacing w:after="20" w:before="20" w:line="240" w:lineRule="auto"/>
              <w:jc w:val="left"/>
            </w:pPr>
            <w:r/>
            <w:r>
              <w:rPr>
                <w:b/>
                <w:sz w:val="20"/>
              </w:rPr>
              <w:t>Règle de gestion</w:t>
            </w:r>
          </w:p>
        </w:tc>
      </w:tr>
      <w:tr>
        <w:trPr>
          <w:cantSplit w:val="true"/>
        </w:trPr>
        <w:tc>
          <w:tcPr>
            <w:tcW w:type="dxa" w:w="821"/>
          </w:tcPr>
          <w:p>
            <w:pPr>
              <w:spacing w:after="20" w:before="20" w:line="240" w:lineRule="auto"/>
              <w:jc w:val="left"/>
            </w:pPr>
            <w:r/>
            <w:r>
              <w:rPr>
                <w:sz w:val="20"/>
              </w:rPr>
              <w:t>RG-01</w:t>
            </w:r>
          </w:p>
        </w:tc>
        <w:tc>
          <w:tcPr>
            <w:tcW w:type="dxa" w:w="8568"/>
          </w:tcPr>
          <w:p>
            <w:pPr>
              <w:spacing w:after="20" w:before="20" w:line="240" w:lineRule="auto"/>
              <w:jc w:val="left"/>
            </w:pPr>
            <w:r/>
            <w:r>
              <w:rPr>
                <w:sz w:val="20"/>
              </w:rPr>
              <w:t xml:space="preserve">Toute opération est soumise au système </w:t>
            </w:r>
            <w:r>
              <w:rPr>
                <w:b/>
                <w:sz w:val="20"/>
              </w:rPr>
              <w:t>avant</w:t>
            </w:r>
            <w:r>
              <w:rPr>
                <w:sz w:val="20"/>
              </w:rPr>
              <w:t xml:space="preserve"> son exécution, et reçoit une décision parmi : APPROVE (laisser passer), VERIFY (faire confirmer par le client), BLOCK (refuser).</w:t>
            </w:r>
          </w:p>
        </w:tc>
      </w:tr>
      <w:tr>
        <w:trPr>
          <w:cantSplit w:val="true"/>
        </w:trPr>
        <w:tc>
          <w:tcPr>
            <w:tcW w:type="dxa" w:w="821"/>
          </w:tcPr>
          <w:p>
            <w:pPr>
              <w:spacing w:after="20" w:before="20" w:line="240" w:lineRule="auto"/>
              <w:jc w:val="left"/>
            </w:pPr>
            <w:r/>
            <w:r>
              <w:rPr>
                <w:sz w:val="20"/>
              </w:rPr>
              <w:t>RG-02</w:t>
            </w:r>
          </w:p>
        </w:tc>
        <w:tc>
          <w:tcPr>
            <w:tcW w:type="dxa" w:w="8568"/>
          </w:tcPr>
          <w:p>
            <w:pPr>
              <w:spacing w:after="20" w:before="20" w:line="240" w:lineRule="auto"/>
              <w:jc w:val="left"/>
            </w:pPr>
            <w:r/>
            <w:r>
              <w:rPr>
                <w:sz w:val="20"/>
              </w:rPr>
              <w:t>Tout montant est converti en USD au taux de change de l'année de l'opération avant d'être évalué.</w:t>
            </w:r>
          </w:p>
        </w:tc>
      </w:tr>
      <w:tr>
        <w:trPr>
          <w:cantSplit w:val="true"/>
        </w:trPr>
        <w:tc>
          <w:tcPr>
            <w:tcW w:type="dxa" w:w="821"/>
          </w:tcPr>
          <w:p>
            <w:pPr>
              <w:spacing w:after="20" w:before="20" w:line="240" w:lineRule="auto"/>
              <w:jc w:val="left"/>
            </w:pPr>
            <w:r/>
            <w:r>
              <w:rPr>
                <w:sz w:val="20"/>
              </w:rPr>
              <w:t>RG-03</w:t>
            </w:r>
          </w:p>
        </w:tc>
        <w:tc>
          <w:tcPr>
            <w:tcW w:type="dxa" w:w="8568"/>
          </w:tcPr>
          <w:p>
            <w:pPr>
              <w:spacing w:after="20" w:before="20" w:line="240" w:lineRule="auto"/>
              <w:jc w:val="left"/>
            </w:pPr>
            <w:r/>
            <w:r>
              <w:rPr>
                <w:sz w:val="20"/>
              </w:rPr>
              <w:t>Une opération soumise deux fois avec le même identifiant reçoit la décision d'origine (idempotence pendant 30 minutes).</w:t>
            </w:r>
          </w:p>
        </w:tc>
      </w:tr>
      <w:tr>
        <w:trPr>
          <w:cantSplit w:val="true"/>
        </w:trPr>
        <w:tc>
          <w:tcPr>
            <w:tcW w:type="dxa" w:w="821"/>
          </w:tcPr>
          <w:p>
            <w:pPr>
              <w:spacing w:after="20" w:before="20" w:line="240" w:lineRule="auto"/>
              <w:jc w:val="left"/>
            </w:pPr>
            <w:r/>
            <w:r>
              <w:rPr>
                <w:sz w:val="20"/>
              </w:rPr>
              <w:t>RG-04</w:t>
            </w:r>
          </w:p>
        </w:tc>
        <w:tc>
          <w:tcPr>
            <w:tcW w:type="dxa" w:w="8568"/>
          </w:tcPr>
          <w:p>
            <w:pPr>
              <w:spacing w:after="20" w:before="20" w:line="240" w:lineRule="auto"/>
              <w:jc w:val="left"/>
            </w:pPr>
            <w:r/>
            <w:r>
              <w:rPr>
                <w:sz w:val="20"/>
              </w:rPr>
              <w:t>Si la probabilité de fraude est au moins égale à 0,97, l'opération est bloquée quel que soit le montant ; si elle est inférieure à 0,01, elle est acceptée sans vérification.</w:t>
            </w:r>
          </w:p>
        </w:tc>
      </w:tr>
      <w:tr>
        <w:trPr>
          <w:cantSplit w:val="true"/>
        </w:trPr>
        <w:tc>
          <w:tcPr>
            <w:tcW w:type="dxa" w:w="821"/>
          </w:tcPr>
          <w:p>
            <w:pPr>
              <w:spacing w:after="20" w:before="20" w:line="240" w:lineRule="auto"/>
              <w:jc w:val="left"/>
            </w:pPr>
            <w:r/>
            <w:r>
              <w:rPr>
                <w:sz w:val="20"/>
              </w:rPr>
              <w:t>RG-05</w:t>
            </w:r>
          </w:p>
        </w:tc>
        <w:tc>
          <w:tcPr>
            <w:tcW w:type="dxa" w:w="8568"/>
          </w:tcPr>
          <w:p>
            <w:pPr>
              <w:spacing w:after="20" w:before="20" w:line="240" w:lineRule="auto"/>
              <w:jc w:val="left"/>
            </w:pPr>
            <w:r/>
            <w:r>
              <w:rPr>
                <w:sz w:val="20"/>
              </w:rPr>
              <w:t xml:space="preserve">Entre ces deux bornes, l'action retenue est celle dont le </w:t>
            </w:r>
            <w:r>
              <w:rPr>
                <w:b/>
                <w:sz w:val="20"/>
              </w:rPr>
              <w:t>coût attendu</w:t>
            </w:r>
            <w:r>
              <w:rPr>
                <w:sz w:val="20"/>
              </w:rPr>
              <w:t xml:space="preserve"> est le plus faible, compte tenu de la probabilité de fraude, du montant, du canal et, pour le Mobile Money, de l'opérateur.</w:t>
            </w:r>
          </w:p>
        </w:tc>
      </w:tr>
      <w:tr>
        <w:trPr>
          <w:cantSplit w:val="true"/>
        </w:trPr>
        <w:tc>
          <w:tcPr>
            <w:tcW w:type="dxa" w:w="821"/>
          </w:tcPr>
          <w:p>
            <w:pPr>
              <w:spacing w:after="20" w:before="20" w:line="240" w:lineRule="auto"/>
              <w:jc w:val="left"/>
            </w:pPr>
            <w:r/>
            <w:r>
              <w:rPr>
                <w:sz w:val="20"/>
              </w:rPr>
              <w:t>RG-06</w:t>
            </w:r>
          </w:p>
        </w:tc>
        <w:tc>
          <w:tcPr>
            <w:tcW w:type="dxa" w:w="8568"/>
          </w:tcPr>
          <w:p>
            <w:pPr>
              <w:spacing w:after="20" w:before="20" w:line="240" w:lineRule="auto"/>
              <w:jc w:val="left"/>
            </w:pPr>
            <w:r/>
            <w:r>
              <w:rPr>
                <w:sz w:val="20"/>
              </w:rPr>
              <w:t xml:space="preserve">Les règles métier et les lois physiques ne peuvent que </w:t>
            </w:r>
            <w:r>
              <w:rPr>
                <w:b/>
                <w:sz w:val="20"/>
              </w:rPr>
              <w:t>renforcer</w:t>
            </w:r>
            <w:r>
              <w:rPr>
                <w:sz w:val="20"/>
              </w:rPr>
              <w:t xml:space="preserve"> la décision du modèle, jamais l'assouplir.</w:t>
            </w:r>
          </w:p>
        </w:tc>
      </w:tr>
      <w:tr>
        <w:trPr>
          <w:cantSplit w:val="true"/>
        </w:trPr>
        <w:tc>
          <w:tcPr>
            <w:tcW w:type="dxa" w:w="821"/>
          </w:tcPr>
          <w:p>
            <w:pPr>
              <w:spacing w:after="20" w:before="20" w:line="240" w:lineRule="auto"/>
              <w:jc w:val="left"/>
            </w:pPr>
            <w:r/>
            <w:r>
              <w:rPr>
                <w:sz w:val="20"/>
              </w:rPr>
              <w:t>RG-07</w:t>
            </w:r>
          </w:p>
        </w:tc>
        <w:tc>
          <w:tcPr>
            <w:tcW w:type="dxa" w:w="8568"/>
          </w:tcPr>
          <w:p>
            <w:pPr>
              <w:spacing w:after="20" w:before="20" w:line="240" w:lineRule="auto"/>
              <w:jc w:val="left"/>
            </w:pPr>
            <w:r/>
            <w:r>
              <w:rPr>
                <w:sz w:val="20"/>
              </w:rPr>
              <w:t xml:space="preserve">Un débit depuis un </w:t>
            </w:r>
            <w:r>
              <w:rPr>
                <w:b/>
                <w:sz w:val="20"/>
              </w:rPr>
              <w:t>nouvel appareil</w:t>
            </w:r>
            <w:r>
              <w:rPr>
                <w:sz w:val="20"/>
              </w:rPr>
              <w:t xml:space="preserve"> qui vide presque entièrement le solde est au minimum soumis à vérification.</w:t>
            </w:r>
          </w:p>
        </w:tc>
      </w:tr>
      <w:tr>
        <w:trPr>
          <w:cantSplit w:val="true"/>
        </w:trPr>
        <w:tc>
          <w:tcPr>
            <w:tcW w:type="dxa" w:w="821"/>
          </w:tcPr>
          <w:p>
            <w:pPr>
              <w:spacing w:after="20" w:before="20" w:line="240" w:lineRule="auto"/>
              <w:jc w:val="left"/>
            </w:pPr>
            <w:r/>
            <w:r>
              <w:rPr>
                <w:sz w:val="20"/>
              </w:rPr>
              <w:t>RG-08</w:t>
            </w:r>
          </w:p>
        </w:tc>
        <w:tc>
          <w:tcPr>
            <w:tcW w:type="dxa" w:w="8568"/>
          </w:tcPr>
          <w:p>
            <w:pPr>
              <w:spacing w:after="20" w:before="20" w:line="240" w:lineRule="auto"/>
              <w:jc w:val="left"/>
            </w:pPr>
            <w:r/>
            <w:r>
              <w:rPr>
                <w:sz w:val="20"/>
              </w:rPr>
              <w:t xml:space="preserve">Un débit qui </w:t>
            </w:r>
            <w:r>
              <w:rPr>
                <w:b/>
                <w:sz w:val="20"/>
              </w:rPr>
              <w:t>dépasse le plafond KYC</w:t>
            </w:r>
            <w:r>
              <w:rPr>
                <w:sz w:val="20"/>
              </w:rPr>
              <w:t xml:space="preserve"> du client est au minimum soumis à vérification.</w:t>
            </w:r>
          </w:p>
        </w:tc>
      </w:tr>
      <w:tr>
        <w:trPr>
          <w:cantSplit w:val="true"/>
        </w:trPr>
        <w:tc>
          <w:tcPr>
            <w:tcW w:type="dxa" w:w="821"/>
          </w:tcPr>
          <w:p>
            <w:pPr>
              <w:spacing w:after="20" w:before="20" w:line="240" w:lineRule="auto"/>
              <w:jc w:val="left"/>
            </w:pPr>
            <w:r/>
            <w:r>
              <w:rPr>
                <w:sz w:val="20"/>
              </w:rPr>
              <w:t>RG-09</w:t>
            </w:r>
          </w:p>
        </w:tc>
        <w:tc>
          <w:tcPr>
            <w:tcW w:type="dxa" w:w="8568"/>
          </w:tcPr>
          <w:p>
            <w:pPr>
              <w:spacing w:after="20" w:before="20" w:line="240" w:lineRule="auto"/>
              <w:jc w:val="left"/>
            </w:pPr>
            <w:r/>
            <w:r>
              <w:rPr>
                <w:sz w:val="20"/>
              </w:rPr>
              <w:t xml:space="preserve">Un </w:t>
            </w:r>
            <w:r>
              <w:rPr>
                <w:b/>
                <w:sz w:val="20"/>
              </w:rPr>
              <w:t>retrait</w:t>
            </w:r>
            <w:r>
              <w:rPr>
                <w:sz w:val="20"/>
              </w:rPr>
              <w:t xml:space="preserve"> effectué depuis un nouvel appareil </w:t>
            </w:r>
            <w:r>
              <w:rPr>
                <w:b/>
                <w:sz w:val="20"/>
              </w:rPr>
              <w:t>et</w:t>
            </w:r>
            <w:r>
              <w:rPr>
                <w:sz w:val="20"/>
              </w:rPr>
              <w:t xml:space="preserve"> dans une nouvelle province est au minimum soumis à vérification.</w:t>
            </w:r>
          </w:p>
        </w:tc>
      </w:tr>
      <w:tr>
        <w:trPr>
          <w:cantSplit w:val="true"/>
        </w:trPr>
        <w:tc>
          <w:tcPr>
            <w:tcW w:type="dxa" w:w="821"/>
          </w:tcPr>
          <w:p>
            <w:pPr>
              <w:spacing w:after="20" w:before="20" w:line="240" w:lineRule="auto"/>
              <w:jc w:val="left"/>
            </w:pPr>
            <w:r/>
            <w:r>
              <w:rPr>
                <w:sz w:val="20"/>
              </w:rPr>
              <w:t>RG-10</w:t>
            </w:r>
          </w:p>
        </w:tc>
        <w:tc>
          <w:tcPr>
            <w:tcW w:type="dxa" w:w="8568"/>
          </w:tcPr>
          <w:p>
            <w:pPr>
              <w:spacing w:after="20" w:before="20" w:line="240" w:lineRule="auto"/>
              <w:jc w:val="left"/>
            </w:pPr>
            <w:r/>
            <w:r>
              <w:rPr>
                <w:sz w:val="20"/>
              </w:rPr>
              <w:t xml:space="preserve">Un message de transfert présentant de fortes marques de manipulation impose une vérification ; le texte seul ne justifie </w:t>
            </w:r>
            <w:r>
              <w:rPr>
                <w:b/>
                <w:sz w:val="20"/>
              </w:rPr>
              <w:t>jamais</w:t>
            </w:r>
            <w:r>
              <w:rPr>
                <w:sz w:val="20"/>
              </w:rPr>
              <w:t xml:space="preserve"> un blocage.</w:t>
            </w:r>
          </w:p>
        </w:tc>
      </w:tr>
      <w:tr>
        <w:trPr>
          <w:cantSplit w:val="true"/>
        </w:trPr>
        <w:tc>
          <w:tcPr>
            <w:tcW w:type="dxa" w:w="821"/>
          </w:tcPr>
          <w:p>
            <w:pPr>
              <w:spacing w:after="20" w:before="20" w:line="240" w:lineRule="auto"/>
              <w:jc w:val="left"/>
            </w:pPr>
            <w:r/>
            <w:r>
              <w:rPr>
                <w:sz w:val="20"/>
              </w:rPr>
              <w:t>RG-11</w:t>
            </w:r>
          </w:p>
        </w:tc>
        <w:tc>
          <w:tcPr>
            <w:tcW w:type="dxa" w:w="8568"/>
          </w:tcPr>
          <w:p>
            <w:pPr>
              <w:spacing w:after="20" w:before="20" w:line="240" w:lineRule="auto"/>
              <w:jc w:val="left"/>
            </w:pPr>
            <w:r/>
            <w:r>
              <w:rPr>
                <w:sz w:val="20"/>
              </w:rPr>
              <w:t>Un déplacement physiquement impossible entre deux opérations consécutives impose au minimum une vérification.</w:t>
            </w:r>
          </w:p>
        </w:tc>
      </w:tr>
      <w:tr>
        <w:trPr>
          <w:cantSplit w:val="true"/>
        </w:trPr>
        <w:tc>
          <w:tcPr>
            <w:tcW w:type="dxa" w:w="821"/>
          </w:tcPr>
          <w:p>
            <w:pPr>
              <w:spacing w:after="20" w:before="20" w:line="240" w:lineRule="auto"/>
              <w:jc w:val="left"/>
            </w:pPr>
            <w:r/>
            <w:r>
              <w:rPr>
                <w:sz w:val="20"/>
              </w:rPr>
              <w:t>RG-12</w:t>
            </w:r>
          </w:p>
        </w:tc>
        <w:tc>
          <w:tcPr>
            <w:tcW w:type="dxa" w:w="8568"/>
          </w:tcPr>
          <w:p>
            <w:pPr>
              <w:spacing w:after="20" w:before="20" w:line="240" w:lineRule="auto"/>
              <w:jc w:val="left"/>
            </w:pPr>
            <w:r/>
            <w:r>
              <w:rPr>
                <w:sz w:val="20"/>
              </w:rPr>
              <w:t xml:space="preserve">Toute décision VERIFY ou BLOCK ouvre un </w:t>
            </w:r>
            <w:r>
              <w:rPr>
                <w:b/>
                <w:sz w:val="20"/>
              </w:rPr>
              <w:t>dossier d'alerte</w:t>
            </w:r>
            <w:r>
              <w:rPr>
                <w:sz w:val="20"/>
              </w:rPr>
              <w:t xml:space="preserve"> et déclenche une notification au client. Une alerte de niveau CRITIQUE déclenche aussi un e-mail à l'équipe anti-fraude.</w:t>
            </w:r>
          </w:p>
        </w:tc>
      </w:tr>
      <w:tr>
        <w:trPr>
          <w:cantSplit w:val="true"/>
        </w:trPr>
        <w:tc>
          <w:tcPr>
            <w:tcW w:type="dxa" w:w="821"/>
          </w:tcPr>
          <w:p>
            <w:pPr>
              <w:spacing w:after="20" w:before="20" w:line="240" w:lineRule="auto"/>
              <w:jc w:val="left"/>
            </w:pPr>
            <w:r/>
            <w:r>
              <w:rPr>
                <w:sz w:val="20"/>
              </w:rPr>
              <w:t>RG-13</w:t>
            </w:r>
          </w:p>
        </w:tc>
        <w:tc>
          <w:tcPr>
            <w:tcW w:type="dxa" w:w="8568"/>
          </w:tcPr>
          <w:p>
            <w:pPr>
              <w:spacing w:after="20" w:before="20" w:line="240" w:lineRule="auto"/>
              <w:jc w:val="left"/>
            </w:pPr>
            <w:r/>
            <w:r>
              <w:rPr>
                <w:sz w:val="20"/>
              </w:rPr>
              <w:t xml:space="preserve">Un dossier ne peut être clos (FRAUDE_CONFIRMEE ou FAUX_POSITIF) qu'avec une </w:t>
            </w:r>
            <w:r>
              <w:rPr>
                <w:b/>
                <w:sz w:val="20"/>
              </w:rPr>
              <w:t>note de résolution</w:t>
            </w:r>
            <w:r>
              <w:rPr>
                <w:sz w:val="20"/>
              </w:rPr>
              <w:t>. Un dossier clos ne peut plus être rouvert.</w:t>
            </w:r>
          </w:p>
        </w:tc>
      </w:tr>
      <w:tr>
        <w:trPr>
          <w:cantSplit w:val="true"/>
        </w:trPr>
        <w:tc>
          <w:tcPr>
            <w:tcW w:type="dxa" w:w="821"/>
          </w:tcPr>
          <w:p>
            <w:pPr>
              <w:spacing w:after="20" w:before="20" w:line="240" w:lineRule="auto"/>
              <w:jc w:val="left"/>
            </w:pPr>
            <w:r/>
            <w:r>
              <w:rPr>
                <w:sz w:val="20"/>
              </w:rPr>
              <w:t>RG-14</w:t>
            </w:r>
          </w:p>
        </w:tc>
        <w:tc>
          <w:tcPr>
            <w:tcW w:type="dxa" w:w="8568"/>
          </w:tcPr>
          <w:p>
            <w:pPr>
              <w:spacing w:after="20" w:before="20" w:line="240" w:lineRule="auto"/>
              <w:jc w:val="left"/>
            </w:pPr>
            <w:r/>
            <w:r>
              <w:rPr>
                <w:sz w:val="20"/>
              </w:rPr>
              <w:t>Seul un superviseur peut affecter un dossier à un autre analyste que lui-même.</w:t>
            </w:r>
          </w:p>
        </w:tc>
      </w:tr>
      <w:tr>
        <w:trPr>
          <w:cantSplit w:val="true"/>
        </w:trPr>
        <w:tc>
          <w:tcPr>
            <w:tcW w:type="dxa" w:w="821"/>
          </w:tcPr>
          <w:p>
            <w:pPr>
              <w:spacing w:after="20" w:before="20" w:line="240" w:lineRule="auto"/>
              <w:jc w:val="left"/>
            </w:pPr>
            <w:r/>
            <w:r>
              <w:rPr>
                <w:sz w:val="20"/>
              </w:rPr>
              <w:t>RG-15</w:t>
            </w:r>
          </w:p>
        </w:tc>
        <w:tc>
          <w:tcPr>
            <w:tcW w:type="dxa" w:w="8568"/>
          </w:tcPr>
          <w:p>
            <w:pPr>
              <w:spacing w:after="20" w:before="20" w:line="240" w:lineRule="auto"/>
              <w:jc w:val="left"/>
            </w:pPr>
            <w:r/>
            <w:r>
              <w:rPr>
                <w:sz w:val="20"/>
              </w:rPr>
              <w:t xml:space="preserve">Une plainte du client ou un retour d'une institution crée ou clôt le dossier en FRAUDE_CONFIRMEE ; le verdict devient une </w:t>
            </w:r>
            <w:r>
              <w:rPr>
                <w:b/>
                <w:sz w:val="20"/>
              </w:rPr>
              <w:t>étiquette</w:t>
            </w:r>
            <w:r>
              <w:rPr>
                <w:sz w:val="20"/>
              </w:rPr>
              <w:t xml:space="preserve"> d'apprentissage.</w:t>
            </w:r>
          </w:p>
        </w:tc>
      </w:tr>
      <w:tr>
        <w:trPr>
          <w:cantSplit w:val="true"/>
        </w:trPr>
        <w:tc>
          <w:tcPr>
            <w:tcW w:type="dxa" w:w="821"/>
          </w:tcPr>
          <w:p>
            <w:pPr>
              <w:spacing w:after="20" w:before="20" w:line="240" w:lineRule="auto"/>
              <w:jc w:val="left"/>
            </w:pPr>
            <w:r/>
            <w:r>
              <w:rPr>
                <w:sz w:val="20"/>
              </w:rPr>
              <w:t>RG-16</w:t>
            </w:r>
          </w:p>
        </w:tc>
        <w:tc>
          <w:tcPr>
            <w:tcW w:type="dxa" w:w="8568"/>
          </w:tcPr>
          <w:p>
            <w:pPr>
              <w:spacing w:after="20" w:before="20" w:line="240" w:lineRule="auto"/>
              <w:jc w:val="left"/>
            </w:pPr>
            <w:r/>
            <w:r>
              <w:rPr>
                <w:sz w:val="20"/>
              </w:rPr>
              <w:t xml:space="preserve">Toute action sensible (décision, verdict, création de clé, consultation du régulateur) est inscrite dans un journal d'audit </w:t>
            </w:r>
            <w:r>
              <w:rPr>
                <w:b/>
                <w:sz w:val="20"/>
              </w:rPr>
              <w:t>non modifiable et non supprimable</w:t>
            </w:r>
            <w:r>
              <w:rPr>
                <w:sz w:val="20"/>
              </w:rPr>
              <w:t>.</w:t>
            </w:r>
          </w:p>
        </w:tc>
      </w:tr>
      <w:tr>
        <w:trPr>
          <w:cantSplit w:val="true"/>
        </w:trPr>
        <w:tc>
          <w:tcPr>
            <w:tcW w:type="dxa" w:w="821"/>
          </w:tcPr>
          <w:p>
            <w:pPr>
              <w:spacing w:after="20" w:before="20" w:line="240" w:lineRule="auto"/>
              <w:jc w:val="left"/>
            </w:pPr>
            <w:r/>
            <w:r>
              <w:rPr>
                <w:sz w:val="20"/>
              </w:rPr>
              <w:t>RG-17</w:t>
            </w:r>
          </w:p>
        </w:tc>
        <w:tc>
          <w:tcPr>
            <w:tcW w:type="dxa" w:w="8568"/>
          </w:tcPr>
          <w:p>
            <w:pPr>
              <w:spacing w:after="20" w:before="20" w:line="240" w:lineRule="auto"/>
              <w:jc w:val="left"/>
            </w:pPr>
            <w:r/>
            <w:r>
              <w:rPr>
                <w:sz w:val="20"/>
              </w:rPr>
              <w:t>Une institution ne voit que ses propres opérations ; le régulateur ne reçoit que des agrégats sans donnée personnelle.</w:t>
            </w:r>
          </w:p>
        </w:tc>
      </w:tr>
      <w:tr>
        <w:trPr>
          <w:cantSplit w:val="true"/>
        </w:trPr>
        <w:tc>
          <w:tcPr>
            <w:tcW w:type="dxa" w:w="821"/>
          </w:tcPr>
          <w:p>
            <w:pPr>
              <w:spacing w:after="20" w:before="20" w:line="240" w:lineRule="auto"/>
              <w:jc w:val="left"/>
            </w:pPr>
            <w:r/>
            <w:r>
              <w:rPr>
                <w:sz w:val="20"/>
              </w:rPr>
              <w:t>RG-18</w:t>
            </w:r>
          </w:p>
        </w:tc>
        <w:tc>
          <w:tcPr>
            <w:tcW w:type="dxa" w:w="8568"/>
          </w:tcPr>
          <w:p>
            <w:pPr>
              <w:spacing w:after="20" w:before="20" w:line="240" w:lineRule="auto"/>
              <w:jc w:val="left"/>
            </w:pPr>
            <w:r/>
            <w:r>
              <w:rPr>
                <w:sz w:val="20"/>
              </w:rPr>
              <w:t>Un nouveau modèle ne remplace le modèle en service que s'il est meilleur sur la même période et satisfait les contrôles de qualité.</w:t>
            </w:r>
          </w:p>
        </w:tc>
      </w:tr>
      <w:tr>
        <w:trPr>
          <w:cantSplit w:val="true"/>
        </w:trPr>
        <w:tc>
          <w:tcPr>
            <w:tcW w:type="dxa" w:w="821"/>
          </w:tcPr>
          <w:p>
            <w:pPr>
              <w:spacing w:after="20" w:before="20" w:line="240" w:lineRule="auto"/>
              <w:jc w:val="left"/>
            </w:pPr>
            <w:r/>
            <w:r>
              <w:rPr>
                <w:sz w:val="20"/>
              </w:rPr>
              <w:t>RG-19</w:t>
            </w:r>
          </w:p>
        </w:tc>
        <w:tc>
          <w:tcPr>
            <w:tcW w:type="dxa" w:w="8568"/>
          </w:tcPr>
          <w:p>
            <w:pPr>
              <w:spacing w:after="20" w:before="20" w:line="240" w:lineRule="auto"/>
              <w:jc w:val="left"/>
            </w:pPr>
            <w:r/>
            <w:r>
              <w:rPr>
                <w:b/>
                <w:sz w:val="20"/>
              </w:rPr>
              <w:t>Quatre yeux.</w:t>
            </w:r>
            <w:r>
              <w:rPr>
                <w:sz w:val="20"/>
              </w:rPr>
              <w:t xml:space="preserve"> Déclarer « faux positif » (donc débloquer) une opération bloquée d'au moins 500 USD crée une demande, appliquée seulement après validation par un second superviseur ou administrateur, différent du demandeur.</w:t>
            </w:r>
          </w:p>
        </w:tc>
      </w:tr>
      <w:tr>
        <w:trPr>
          <w:cantSplit w:val="true"/>
        </w:trPr>
        <w:tc>
          <w:tcPr>
            <w:tcW w:type="dxa" w:w="821"/>
          </w:tcPr>
          <w:p>
            <w:pPr>
              <w:spacing w:after="20" w:before="20" w:line="240" w:lineRule="auto"/>
              <w:jc w:val="left"/>
            </w:pPr>
            <w:r/>
            <w:r>
              <w:rPr>
                <w:sz w:val="20"/>
              </w:rPr>
              <w:t>RG-20</w:t>
            </w:r>
          </w:p>
        </w:tc>
        <w:tc>
          <w:tcPr>
            <w:tcW w:type="dxa" w:w="8568"/>
          </w:tcPr>
          <w:p>
            <w:pPr>
              <w:spacing w:after="20" w:before="20" w:line="240" w:lineRule="auto"/>
              <w:jc w:val="left"/>
            </w:pPr>
            <w:r/>
            <w:r>
              <w:rPr>
                <w:sz w:val="20"/>
              </w:rPr>
              <w:t>Cinq échecs de connexion consécutifs verrouillent le compte pendant 15 minutes ; la double authentification (code à usage unique) est facultative et peut être rendue obligatoire par rôle.</w:t>
            </w:r>
          </w:p>
        </w:tc>
      </w:tr>
      <w:tr>
        <w:trPr>
          <w:cantSplit w:val="true"/>
        </w:trPr>
        <w:tc>
          <w:tcPr>
            <w:tcW w:type="dxa" w:w="821"/>
          </w:tcPr>
          <w:p>
            <w:pPr>
              <w:spacing w:after="20" w:before="20" w:line="240" w:lineRule="auto"/>
              <w:jc w:val="left"/>
            </w:pPr>
            <w:r/>
            <w:r>
              <w:rPr>
                <w:sz w:val="20"/>
              </w:rPr>
              <w:t>RG-21</w:t>
            </w:r>
          </w:p>
        </w:tc>
        <w:tc>
          <w:tcPr>
            <w:tcW w:type="dxa" w:w="8568"/>
          </w:tcPr>
          <w:p>
            <w:pPr>
              <w:spacing w:after="20" w:before="20" w:line="240" w:lineRule="auto"/>
              <w:jc w:val="left"/>
            </w:pPr>
            <w:r/>
            <w:r>
              <w:rPr>
                <w:sz w:val="20"/>
              </w:rPr>
              <w:t xml:space="preserve">La politique de coût est </w:t>
            </w:r>
            <w:r>
              <w:rPr>
                <w:b/>
                <w:sz w:val="20"/>
              </w:rPr>
              <w:t>versionnée</w:t>
            </w:r>
            <w:r>
              <w:rPr>
                <w:sz w:val="20"/>
              </w:rPr>
              <w:t xml:space="preserve"> (auteur, justification, effet simulé) ; une nouvelle version est simulée avant son application, puis rechargée à chaud par le service de décision.</w:t>
            </w:r>
          </w:p>
        </w:tc>
      </w:tr>
      <w:tr>
        <w:trPr>
          <w:cantSplit w:val="true"/>
        </w:trPr>
        <w:tc>
          <w:tcPr>
            <w:tcW w:type="dxa" w:w="821"/>
          </w:tcPr>
          <w:p>
            <w:pPr>
              <w:spacing w:after="20" w:before="20" w:line="240" w:lineRule="auto"/>
              <w:jc w:val="left"/>
            </w:pPr>
            <w:r/>
            <w:r>
              <w:rPr>
                <w:sz w:val="20"/>
              </w:rPr>
              <w:t>RG-22</w:t>
            </w:r>
          </w:p>
        </w:tc>
        <w:tc>
          <w:tcPr>
            <w:tcW w:type="dxa" w:w="8568"/>
          </w:tcPr>
          <w:p>
            <w:pPr>
              <w:spacing w:after="20" w:before="20" w:line="240" w:lineRule="auto"/>
              <w:jc w:val="left"/>
            </w:pPr>
            <w:r/>
            <w:r>
              <w:rPr>
                <w:sz w:val="20"/>
              </w:rPr>
              <w:t>Chaque institution partenaire est limitée à un débit maximal de requêtes ; au-delà, elle reçoit une réponse 429 avec le délai d'attente.</w:t>
            </w:r>
          </w:p>
        </w:tc>
      </w:tr>
      <w:tr>
        <w:trPr>
          <w:cantSplit w:val="true"/>
        </w:trPr>
        <w:tc>
          <w:tcPr>
            <w:tcW w:type="dxa" w:w="821"/>
          </w:tcPr>
          <w:p>
            <w:pPr>
              <w:spacing w:after="20" w:before="20" w:line="240" w:lineRule="auto"/>
              <w:jc w:val="left"/>
            </w:pPr>
            <w:r/>
            <w:r>
              <w:rPr>
                <w:sz w:val="20"/>
              </w:rPr>
              <w:t>RG-23</w:t>
            </w:r>
          </w:p>
        </w:tc>
        <w:tc>
          <w:tcPr>
            <w:tcW w:type="dxa" w:w="8568"/>
          </w:tcPr>
          <w:p>
            <w:pPr>
              <w:spacing w:after="20" w:before="20" w:line="240" w:lineRule="auto"/>
              <w:jc w:val="left"/>
            </w:pPr>
            <w:r/>
            <w:r>
              <w:rPr>
                <w:sz w:val="20"/>
              </w:rPr>
              <w:t>Au réentraînement, un verdict vérifié (analyste, plainte, file de revue) pèse trois fois une étiquette supposée ; une opération sans plainte après 7 jours est supposée légitime.</w:t>
            </w:r>
          </w:p>
        </w:tc>
      </w:tr>
    </w:tbl>
    <w:p>
      <w:pPr>
        <w:spacing w:after="120"/>
      </w:pPr>
    </w:p>
    <w:p>
      <w:pPr>
        <w:pStyle w:val="Titre4"/>
        <w:keepNext/>
        <w:numPr>
          <w:numId w:val="0"/>
        </w:numPr>
        <w:spacing w:before="200" w:after="120"/>
        <w:ind w:left="0" w:firstLine="0"/>
        <w:jc w:val="left"/>
      </w:pPr>
      <w:r>
        <w:rPr>
          <w:b/>
          <w:i/>
          <w:color w:val="000000"/>
          <w:sz w:val="25"/>
        </w:rPr>
        <w:t>1.6 Spécification des besoins fonctionnels</w:t>
      </w:r>
    </w:p>
    <w:p>
      <w:pPr>
        <w:spacing w:before="0" w:after="120" w:line="360" w:lineRule="auto"/>
        <w:jc w:val="both"/>
      </w:pPr>
      <w:r>
        <w:rPr>
          <w:sz w:val="24"/>
        </w:rPr>
        <w:t>Les besoins fonctionnels décrivent ce que le système doit faire. Chacun est numéroté (BM pour « besoin métier ») afin d'être suivi jusqu'à la conception et aux tests (tableau II.7).</w:t>
      </w:r>
    </w:p>
    <w:p>
      <w:pPr>
        <w:pStyle w:val="Légendetableau"/>
        <w:keepNext/>
        <w:spacing w:before="200" w:after="80"/>
        <w:jc w:val="center"/>
      </w:pPr>
      <w:r>
        <w:rPr>
          <w:b/>
          <w:sz w:val="20"/>
        </w:rPr>
        <w:t>Tableau II.7 — Besoins fonctionnels.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519"/>
        <w:gridCol w:w="3583"/>
        <w:gridCol w:w="5287"/>
      </w:tblGrid>
      <w:tr>
        <w:trPr>
          <w:tblHeader w:val="true"/>
        </w:trPr>
        <w:tc>
          <w:tcPr>
            <w:tcW w:type="dxa" w:w="519"/>
            <w:shd w:val="clear" w:color="auto" w:fill="D9E2F3"/>
          </w:tcPr>
          <w:p>
            <w:pPr>
              <w:spacing w:after="20" w:before="20" w:line="240" w:lineRule="auto"/>
              <w:jc w:val="left"/>
            </w:pPr>
            <w:r/>
            <w:r>
              <w:rPr>
                <w:b/>
                <w:sz w:val="20"/>
              </w:rPr>
              <w:t>Réf.</w:t>
            </w:r>
          </w:p>
        </w:tc>
        <w:tc>
          <w:tcPr>
            <w:tcW w:type="dxa" w:w="3583"/>
            <w:shd w:val="clear" w:color="auto" w:fill="D9E2F3"/>
          </w:tcPr>
          <w:p>
            <w:pPr>
              <w:spacing w:after="20" w:before="20" w:line="240" w:lineRule="auto"/>
              <w:jc w:val="left"/>
            </w:pPr>
            <w:r/>
            <w:r>
              <w:rPr>
                <w:b/>
                <w:sz w:val="20"/>
              </w:rPr>
              <w:t>Besoin</w:t>
            </w:r>
          </w:p>
        </w:tc>
        <w:tc>
          <w:tcPr>
            <w:tcW w:type="dxa" w:w="5287"/>
            <w:shd w:val="clear" w:color="auto" w:fill="D9E2F3"/>
          </w:tcPr>
          <w:p>
            <w:pPr>
              <w:spacing w:after="20" w:before="20" w:line="240" w:lineRule="auto"/>
              <w:jc w:val="left"/>
            </w:pPr>
            <w:r/>
            <w:r>
              <w:rPr>
                <w:b/>
                <w:sz w:val="20"/>
              </w:rPr>
              <w:t>Réponse du système</w:t>
            </w:r>
          </w:p>
        </w:tc>
      </w:tr>
      <w:tr>
        <w:trPr>
          <w:cantSplit w:val="true"/>
        </w:trPr>
        <w:tc>
          <w:tcPr>
            <w:tcW w:type="dxa" w:w="519"/>
          </w:tcPr>
          <w:p>
            <w:pPr>
              <w:spacing w:after="20" w:before="20" w:line="240" w:lineRule="auto"/>
              <w:jc w:val="left"/>
            </w:pPr>
            <w:r/>
            <w:r>
              <w:rPr>
                <w:sz w:val="20"/>
              </w:rPr>
              <w:t>BM-01</w:t>
            </w:r>
          </w:p>
        </w:tc>
        <w:tc>
          <w:tcPr>
            <w:tcW w:type="dxa" w:w="3583"/>
          </w:tcPr>
          <w:p>
            <w:pPr>
              <w:spacing w:after="20" w:before="20" w:line="240" w:lineRule="auto"/>
              <w:jc w:val="left"/>
            </w:pPr>
            <w:r/>
            <w:r>
              <w:rPr>
                <w:sz w:val="20"/>
              </w:rPr>
              <w:t xml:space="preserve">Détecter la fraude </w:t>
            </w:r>
            <w:r>
              <w:rPr>
                <w:b/>
                <w:sz w:val="20"/>
              </w:rPr>
              <w:t>avant</w:t>
            </w:r>
            <w:r>
              <w:rPr>
                <w:sz w:val="20"/>
              </w:rPr>
              <w:t xml:space="preserve"> l'exécution de l'opération</w:t>
            </w:r>
          </w:p>
        </w:tc>
        <w:tc>
          <w:tcPr>
            <w:tcW w:type="dxa" w:w="5287"/>
          </w:tcPr>
          <w:p>
            <w:pPr>
              <w:spacing w:after="20" w:before="20" w:line="240" w:lineRule="auto"/>
              <w:jc w:val="left"/>
            </w:pPr>
            <w:r/>
            <w:r>
              <w:rPr>
                <w:sz w:val="20"/>
              </w:rPr>
              <w:t>Notation synchrone de chaque opération par un modèle hybride</w:t>
            </w:r>
          </w:p>
        </w:tc>
      </w:tr>
      <w:tr>
        <w:trPr>
          <w:cantSplit w:val="true"/>
        </w:trPr>
        <w:tc>
          <w:tcPr>
            <w:tcW w:type="dxa" w:w="519"/>
          </w:tcPr>
          <w:p>
            <w:pPr>
              <w:spacing w:after="20" w:before="20" w:line="240" w:lineRule="auto"/>
              <w:jc w:val="left"/>
            </w:pPr>
            <w:r/>
            <w:r>
              <w:rPr>
                <w:sz w:val="20"/>
              </w:rPr>
              <w:t>BM-02</w:t>
            </w:r>
          </w:p>
        </w:tc>
        <w:tc>
          <w:tcPr>
            <w:tcW w:type="dxa" w:w="3583"/>
          </w:tcPr>
          <w:p>
            <w:pPr>
              <w:spacing w:after="20" w:before="20" w:line="240" w:lineRule="auto"/>
              <w:jc w:val="left"/>
            </w:pPr>
            <w:r/>
            <w:r>
              <w:rPr>
                <w:sz w:val="20"/>
              </w:rPr>
              <w:t xml:space="preserve">Reconnaître le </w:t>
            </w:r>
            <w:r>
              <w:rPr>
                <w:b/>
                <w:sz w:val="20"/>
              </w:rPr>
              <w:t>comportement habituel</w:t>
            </w:r>
            <w:r>
              <w:rPr>
                <w:sz w:val="20"/>
              </w:rPr>
              <w:t xml:space="preserve"> de chaque client et ses écarts</w:t>
            </w:r>
          </w:p>
        </w:tc>
        <w:tc>
          <w:tcPr>
            <w:tcW w:type="dxa" w:w="5287"/>
          </w:tcPr>
          <w:p>
            <w:pPr>
              <w:spacing w:after="20" w:before="20" w:line="240" w:lineRule="auto"/>
              <w:jc w:val="left"/>
            </w:pPr>
            <w:r/>
            <w:r>
              <w:rPr>
                <w:sz w:val="20"/>
              </w:rPr>
              <w:t>58 variables de profilage calculées sur l'historique du client</w:t>
            </w:r>
          </w:p>
        </w:tc>
      </w:tr>
      <w:tr>
        <w:trPr>
          <w:cantSplit w:val="true"/>
        </w:trPr>
        <w:tc>
          <w:tcPr>
            <w:tcW w:type="dxa" w:w="519"/>
          </w:tcPr>
          <w:p>
            <w:pPr>
              <w:spacing w:after="20" w:before="20" w:line="240" w:lineRule="auto"/>
              <w:jc w:val="left"/>
            </w:pPr>
            <w:r/>
            <w:r>
              <w:rPr>
                <w:sz w:val="20"/>
              </w:rPr>
              <w:t>BM-03</w:t>
            </w:r>
          </w:p>
        </w:tc>
        <w:tc>
          <w:tcPr>
            <w:tcW w:type="dxa" w:w="3583"/>
          </w:tcPr>
          <w:p>
            <w:pPr>
              <w:spacing w:after="20" w:before="20" w:line="240" w:lineRule="auto"/>
              <w:jc w:val="left"/>
            </w:pPr>
            <w:r/>
            <w:r>
              <w:rPr>
                <w:b/>
                <w:sz w:val="20"/>
              </w:rPr>
              <w:t>Graduer la réponse</w:t>
            </w:r>
            <w:r>
              <w:rPr>
                <w:sz w:val="20"/>
              </w:rPr>
              <w:t xml:space="preserve"> : laisser passer, faire vérifier, bloquer</w:t>
            </w:r>
          </w:p>
        </w:tc>
        <w:tc>
          <w:tcPr>
            <w:tcW w:type="dxa" w:w="5287"/>
          </w:tcPr>
          <w:p>
            <w:pPr>
              <w:spacing w:after="20" w:before="20" w:line="240" w:lineRule="auto"/>
              <w:jc w:val="left"/>
            </w:pPr>
            <w:r/>
            <w:r>
              <w:rPr>
                <w:sz w:val="20"/>
              </w:rPr>
              <w:t>Décision coût-sensible, règles métier prioritaires (RG-04 à RG-11)</w:t>
            </w:r>
          </w:p>
        </w:tc>
      </w:tr>
      <w:tr>
        <w:trPr>
          <w:cantSplit w:val="true"/>
        </w:trPr>
        <w:tc>
          <w:tcPr>
            <w:tcW w:type="dxa" w:w="519"/>
          </w:tcPr>
          <w:p>
            <w:pPr>
              <w:spacing w:after="20" w:before="20" w:line="240" w:lineRule="auto"/>
              <w:jc w:val="left"/>
            </w:pPr>
            <w:r/>
            <w:r>
              <w:rPr>
                <w:sz w:val="20"/>
              </w:rPr>
              <w:t>BM-04</w:t>
            </w:r>
          </w:p>
        </w:tc>
        <w:tc>
          <w:tcPr>
            <w:tcW w:type="dxa" w:w="3583"/>
          </w:tcPr>
          <w:p>
            <w:pPr>
              <w:spacing w:after="20" w:before="20" w:line="240" w:lineRule="auto"/>
              <w:jc w:val="left"/>
            </w:pPr>
            <w:r/>
            <w:r>
              <w:rPr>
                <w:sz w:val="20"/>
              </w:rPr>
              <w:t xml:space="preserve">Limiter les </w:t>
            </w:r>
            <w:r>
              <w:rPr>
                <w:b/>
                <w:sz w:val="20"/>
              </w:rPr>
              <w:t>fausses alertes</w:t>
            </w:r>
          </w:p>
        </w:tc>
        <w:tc>
          <w:tcPr>
            <w:tcW w:type="dxa" w:w="5287"/>
          </w:tcPr>
          <w:p>
            <w:pPr>
              <w:spacing w:after="20" w:before="20" w:line="240" w:lineRule="auto"/>
              <w:jc w:val="left"/>
            </w:pPr>
            <w:r/>
            <w:r>
              <w:rPr>
                <w:sz w:val="20"/>
              </w:rPr>
              <w:t>Seuil optimisé ; vérification plutôt que blocage dans les cas intermédiaires</w:t>
            </w:r>
          </w:p>
        </w:tc>
      </w:tr>
      <w:tr>
        <w:trPr>
          <w:cantSplit w:val="true"/>
        </w:trPr>
        <w:tc>
          <w:tcPr>
            <w:tcW w:type="dxa" w:w="519"/>
          </w:tcPr>
          <w:p>
            <w:pPr>
              <w:spacing w:after="20" w:before="20" w:line="240" w:lineRule="auto"/>
              <w:jc w:val="left"/>
            </w:pPr>
            <w:r/>
            <w:r>
              <w:rPr>
                <w:sz w:val="20"/>
              </w:rPr>
              <w:t>BM-05</w:t>
            </w:r>
          </w:p>
        </w:tc>
        <w:tc>
          <w:tcPr>
            <w:tcW w:type="dxa" w:w="3583"/>
          </w:tcPr>
          <w:p>
            <w:pPr>
              <w:spacing w:after="20" w:before="20" w:line="240" w:lineRule="auto"/>
              <w:jc w:val="left"/>
            </w:pPr>
            <w:r/>
            <w:r>
              <w:rPr>
                <w:sz w:val="20"/>
              </w:rPr>
              <w:t xml:space="preserve">Identifier le </w:t>
            </w:r>
            <w:r>
              <w:rPr>
                <w:b/>
                <w:sz w:val="20"/>
              </w:rPr>
              <w:t>type de fraude</w:t>
            </w:r>
          </w:p>
        </w:tc>
        <w:tc>
          <w:tcPr>
            <w:tcW w:type="dxa" w:w="5287"/>
          </w:tcPr>
          <w:p>
            <w:pPr>
              <w:spacing w:after="20" w:before="20" w:line="240" w:lineRule="auto"/>
              <w:jc w:val="left"/>
            </w:pPr>
            <w:r/>
            <w:r>
              <w:rPr>
                <w:sz w:val="20"/>
              </w:rPr>
              <w:t>Classifieur de typologie (8 types) affiché sur chaque alerte</w:t>
            </w:r>
          </w:p>
        </w:tc>
      </w:tr>
      <w:tr>
        <w:trPr>
          <w:cantSplit w:val="true"/>
        </w:trPr>
        <w:tc>
          <w:tcPr>
            <w:tcW w:type="dxa" w:w="519"/>
          </w:tcPr>
          <w:p>
            <w:pPr>
              <w:spacing w:after="20" w:before="20" w:line="240" w:lineRule="auto"/>
              <w:jc w:val="left"/>
            </w:pPr>
            <w:r/>
            <w:r>
              <w:rPr>
                <w:sz w:val="20"/>
              </w:rPr>
              <w:t>BM-06</w:t>
            </w:r>
          </w:p>
        </w:tc>
        <w:tc>
          <w:tcPr>
            <w:tcW w:type="dxa" w:w="3583"/>
          </w:tcPr>
          <w:p>
            <w:pPr>
              <w:spacing w:after="20" w:before="20" w:line="240" w:lineRule="auto"/>
              <w:jc w:val="left"/>
            </w:pPr>
            <w:r/>
            <w:r>
              <w:rPr>
                <w:b/>
                <w:sz w:val="20"/>
              </w:rPr>
              <w:t>Expliquer</w:t>
            </w:r>
            <w:r>
              <w:rPr>
                <w:sz w:val="20"/>
              </w:rPr>
              <w:t xml:space="preserve"> chaque décision</w:t>
            </w:r>
          </w:p>
        </w:tc>
        <w:tc>
          <w:tcPr>
            <w:tcW w:type="dxa" w:w="5287"/>
          </w:tcPr>
          <w:p>
            <w:pPr>
              <w:spacing w:after="20" w:before="20" w:line="240" w:lineRule="auto"/>
              <w:jc w:val="left"/>
            </w:pPr>
            <w:r/>
            <w:r>
              <w:rPr>
                <w:sz w:val="20"/>
              </w:rPr>
              <w:t>Contributions SHAP, part de chaque composante du modèle, attention sur l'historique, cas similaires</w:t>
            </w:r>
          </w:p>
        </w:tc>
      </w:tr>
      <w:tr>
        <w:trPr>
          <w:cantSplit w:val="true"/>
        </w:trPr>
        <w:tc>
          <w:tcPr>
            <w:tcW w:type="dxa" w:w="519"/>
          </w:tcPr>
          <w:p>
            <w:pPr>
              <w:spacing w:after="20" w:before="20" w:line="240" w:lineRule="auto"/>
              <w:jc w:val="left"/>
            </w:pPr>
            <w:r/>
            <w:r>
              <w:rPr>
                <w:sz w:val="20"/>
              </w:rPr>
              <w:t>BM-07</w:t>
            </w:r>
          </w:p>
        </w:tc>
        <w:tc>
          <w:tcPr>
            <w:tcW w:type="dxa" w:w="3583"/>
          </w:tcPr>
          <w:p>
            <w:pPr>
              <w:spacing w:after="20" w:before="20" w:line="240" w:lineRule="auto"/>
              <w:jc w:val="left"/>
            </w:pPr>
            <w:r/>
            <w:r>
              <w:rPr>
                <w:b/>
                <w:sz w:val="20"/>
              </w:rPr>
              <w:t>Prioriser et traiter</w:t>
            </w:r>
            <w:r>
              <w:rPr>
                <w:sz w:val="20"/>
              </w:rPr>
              <w:t xml:space="preserve"> les alertes</w:t>
            </w:r>
          </w:p>
        </w:tc>
        <w:tc>
          <w:tcPr>
            <w:tcW w:type="dxa" w:w="5287"/>
          </w:tcPr>
          <w:p>
            <w:pPr>
              <w:spacing w:after="20" w:before="20" w:line="240" w:lineRule="auto"/>
              <w:jc w:val="left"/>
            </w:pPr>
            <w:r/>
            <w:r>
              <w:rPr>
                <w:sz w:val="20"/>
              </w:rPr>
              <w:t>Dossiers classés par risque et montant ; statuts ; affectation ; note obligatoire</w:t>
            </w:r>
          </w:p>
        </w:tc>
      </w:tr>
      <w:tr>
        <w:trPr>
          <w:cantSplit w:val="true"/>
        </w:trPr>
        <w:tc>
          <w:tcPr>
            <w:tcW w:type="dxa" w:w="519"/>
          </w:tcPr>
          <w:p>
            <w:pPr>
              <w:spacing w:after="20" w:before="20" w:line="240" w:lineRule="auto"/>
              <w:jc w:val="left"/>
            </w:pPr>
            <w:r/>
            <w:r>
              <w:rPr>
                <w:sz w:val="20"/>
              </w:rPr>
              <w:t>BM-08</w:t>
            </w:r>
          </w:p>
        </w:tc>
        <w:tc>
          <w:tcPr>
            <w:tcW w:type="dxa" w:w="3583"/>
          </w:tcPr>
          <w:p>
            <w:pPr>
              <w:spacing w:after="20" w:before="20" w:line="240" w:lineRule="auto"/>
              <w:jc w:val="left"/>
            </w:pPr>
            <w:r/>
            <w:r>
              <w:rPr>
                <w:b/>
                <w:sz w:val="20"/>
              </w:rPr>
              <w:t>Prévenir le client</w:t>
            </w:r>
          </w:p>
        </w:tc>
        <w:tc>
          <w:tcPr>
            <w:tcW w:type="dxa" w:w="5287"/>
          </w:tcPr>
          <w:p>
            <w:pPr>
              <w:spacing w:after="20" w:before="20" w:line="240" w:lineRule="auto"/>
              <w:jc w:val="left"/>
            </w:pPr>
            <w:r/>
            <w:r>
              <w:rPr>
                <w:sz w:val="20"/>
              </w:rPr>
              <w:t>SMS au client, e-mail à l'équipe pour les cas critiques</w:t>
            </w:r>
          </w:p>
        </w:tc>
      </w:tr>
      <w:tr>
        <w:trPr>
          <w:cantSplit w:val="true"/>
        </w:trPr>
        <w:tc>
          <w:tcPr>
            <w:tcW w:type="dxa" w:w="519"/>
          </w:tcPr>
          <w:p>
            <w:pPr>
              <w:spacing w:after="20" w:before="20" w:line="240" w:lineRule="auto"/>
              <w:jc w:val="left"/>
            </w:pPr>
            <w:r/>
            <w:r>
              <w:rPr>
                <w:sz w:val="20"/>
              </w:rPr>
              <w:t>BM-09</w:t>
            </w:r>
          </w:p>
        </w:tc>
        <w:tc>
          <w:tcPr>
            <w:tcW w:type="dxa" w:w="3583"/>
          </w:tcPr>
          <w:p>
            <w:pPr>
              <w:spacing w:after="20" w:before="20" w:line="240" w:lineRule="auto"/>
              <w:jc w:val="left"/>
            </w:pPr>
            <w:r/>
            <w:r>
              <w:rPr>
                <w:sz w:val="20"/>
              </w:rPr>
              <w:t xml:space="preserve">Enregistrer les </w:t>
            </w:r>
            <w:r>
              <w:rPr>
                <w:b/>
                <w:sz w:val="20"/>
              </w:rPr>
              <w:t>plaintes</w:t>
            </w:r>
            <w:r>
              <w:rPr>
                <w:sz w:val="20"/>
              </w:rPr>
              <w:t xml:space="preserve"> des clients</w:t>
            </w:r>
          </w:p>
        </w:tc>
        <w:tc>
          <w:tcPr>
            <w:tcW w:type="dxa" w:w="5287"/>
          </w:tcPr>
          <w:p>
            <w:pPr>
              <w:spacing w:after="20" w:before="20" w:line="240" w:lineRule="auto"/>
              <w:jc w:val="left"/>
            </w:pPr>
            <w:r/>
            <w:r>
              <w:rPr>
                <w:sz w:val="20"/>
              </w:rPr>
              <w:t>Plainte, dossier « fraude confirmée », étiquette d'apprentissage</w:t>
            </w:r>
          </w:p>
        </w:tc>
      </w:tr>
      <w:tr>
        <w:trPr>
          <w:cantSplit w:val="true"/>
        </w:trPr>
        <w:tc>
          <w:tcPr>
            <w:tcW w:type="dxa" w:w="519"/>
          </w:tcPr>
          <w:p>
            <w:pPr>
              <w:spacing w:after="20" w:before="20" w:line="240" w:lineRule="auto"/>
              <w:jc w:val="left"/>
            </w:pPr>
            <w:r/>
            <w:r>
              <w:rPr>
                <w:sz w:val="20"/>
              </w:rPr>
              <w:t>BM-10</w:t>
            </w:r>
          </w:p>
        </w:tc>
        <w:tc>
          <w:tcPr>
            <w:tcW w:type="dxa" w:w="3583"/>
          </w:tcPr>
          <w:p>
            <w:pPr>
              <w:spacing w:after="20" w:before="20" w:line="240" w:lineRule="auto"/>
              <w:jc w:val="left"/>
            </w:pPr>
            <w:r/>
            <w:r>
              <w:rPr>
                <w:sz w:val="20"/>
              </w:rPr>
              <w:t>Repérer l'</w:t>
            </w:r>
            <w:r>
              <w:rPr>
                <w:b/>
                <w:sz w:val="20"/>
              </w:rPr>
              <w:t>ingénierie sociale</w:t>
            </w:r>
          </w:p>
        </w:tc>
        <w:tc>
          <w:tcPr>
            <w:tcW w:type="dxa" w:w="5287"/>
          </w:tcPr>
          <w:p>
            <w:pPr>
              <w:spacing w:after="20" w:before="20" w:line="240" w:lineRule="auto"/>
              <w:jc w:val="left"/>
            </w:pPr>
            <w:r/>
            <w:r>
              <w:rPr>
                <w:sz w:val="20"/>
              </w:rPr>
              <w:t>Profilage, analyse du message (NLP), règle de vérification</w:t>
            </w:r>
          </w:p>
        </w:tc>
      </w:tr>
      <w:tr>
        <w:trPr>
          <w:cantSplit w:val="true"/>
        </w:trPr>
        <w:tc>
          <w:tcPr>
            <w:tcW w:type="dxa" w:w="519"/>
          </w:tcPr>
          <w:p>
            <w:pPr>
              <w:spacing w:after="20" w:before="20" w:line="240" w:lineRule="auto"/>
              <w:jc w:val="left"/>
            </w:pPr>
            <w:r/>
            <w:r>
              <w:rPr>
                <w:sz w:val="20"/>
              </w:rPr>
              <w:t>BM-11</w:t>
            </w:r>
          </w:p>
        </w:tc>
        <w:tc>
          <w:tcPr>
            <w:tcW w:type="dxa" w:w="3583"/>
          </w:tcPr>
          <w:p>
            <w:pPr>
              <w:spacing w:after="20" w:before="20" w:line="240" w:lineRule="auto"/>
              <w:jc w:val="left"/>
            </w:pPr>
            <w:r/>
            <w:r>
              <w:rPr>
                <w:sz w:val="20"/>
              </w:rPr>
              <w:t xml:space="preserve">Couvrir </w:t>
            </w:r>
            <w:r>
              <w:rPr>
                <w:b/>
                <w:sz w:val="20"/>
              </w:rPr>
              <w:t>plusieurs opérateurs et la carte Visa</w:t>
            </w:r>
          </w:p>
        </w:tc>
        <w:tc>
          <w:tcPr>
            <w:tcW w:type="dxa" w:w="5287"/>
          </w:tcPr>
          <w:p>
            <w:pPr>
              <w:spacing w:after="20" w:before="20" w:line="240" w:lineRule="auto"/>
              <w:jc w:val="left"/>
            </w:pPr>
            <w:r/>
            <w:r>
              <w:rPr>
                <w:sz w:val="20"/>
              </w:rPr>
              <w:t>Un adaptateur par format, vers un schéma unique</w:t>
            </w:r>
          </w:p>
        </w:tc>
      </w:tr>
      <w:tr>
        <w:trPr>
          <w:cantSplit w:val="true"/>
        </w:trPr>
        <w:tc>
          <w:tcPr>
            <w:tcW w:type="dxa" w:w="519"/>
          </w:tcPr>
          <w:p>
            <w:pPr>
              <w:spacing w:after="20" w:before="20" w:line="240" w:lineRule="auto"/>
              <w:jc w:val="left"/>
            </w:pPr>
            <w:r/>
            <w:r>
              <w:rPr>
                <w:sz w:val="20"/>
              </w:rPr>
              <w:t>BM-12</w:t>
            </w:r>
          </w:p>
        </w:tc>
        <w:tc>
          <w:tcPr>
            <w:tcW w:type="dxa" w:w="3583"/>
          </w:tcPr>
          <w:p>
            <w:pPr>
              <w:spacing w:after="20" w:before="20" w:line="240" w:lineRule="auto"/>
              <w:jc w:val="left"/>
            </w:pPr>
            <w:r/>
            <w:r>
              <w:rPr>
                <w:b/>
                <w:sz w:val="20"/>
              </w:rPr>
              <w:t>Comparer et transposer</w:t>
            </w:r>
            <w:r>
              <w:rPr>
                <w:sz w:val="20"/>
              </w:rPr>
              <w:t xml:space="preserve"> au canal Visa</w:t>
            </w:r>
          </w:p>
        </w:tc>
        <w:tc>
          <w:tcPr>
            <w:tcW w:type="dxa" w:w="5287"/>
          </w:tcPr>
          <w:p>
            <w:pPr>
              <w:spacing w:after="20" w:before="20" w:line="240" w:lineRule="auto"/>
              <w:jc w:val="left"/>
            </w:pPr>
            <w:r/>
            <w:r>
              <w:rPr>
                <w:sz w:val="20"/>
              </w:rPr>
              <w:t>Protocole d'évaluation Mobile Money vers Visa</w:t>
            </w:r>
          </w:p>
        </w:tc>
      </w:tr>
      <w:tr>
        <w:trPr>
          <w:cantSplit w:val="true"/>
        </w:trPr>
        <w:tc>
          <w:tcPr>
            <w:tcW w:type="dxa" w:w="519"/>
          </w:tcPr>
          <w:p>
            <w:pPr>
              <w:spacing w:after="20" w:before="20" w:line="240" w:lineRule="auto"/>
              <w:jc w:val="left"/>
            </w:pPr>
            <w:r/>
            <w:r>
              <w:rPr>
                <w:sz w:val="20"/>
              </w:rPr>
              <w:t>BM-13</w:t>
            </w:r>
          </w:p>
        </w:tc>
        <w:tc>
          <w:tcPr>
            <w:tcW w:type="dxa" w:w="3583"/>
          </w:tcPr>
          <w:p>
            <w:pPr>
              <w:spacing w:after="20" w:before="20" w:line="240" w:lineRule="auto"/>
              <w:jc w:val="left"/>
            </w:pPr>
            <w:r/>
            <w:r>
              <w:rPr>
                <w:sz w:val="20"/>
              </w:rPr>
              <w:t xml:space="preserve">Vision </w:t>
            </w:r>
            <w:r>
              <w:rPr>
                <w:b/>
                <w:sz w:val="20"/>
              </w:rPr>
              <w:t>géographique</w:t>
            </w:r>
            <w:r>
              <w:rPr>
                <w:sz w:val="20"/>
              </w:rPr>
              <w:t xml:space="preserve"> nationale</w:t>
            </w:r>
          </w:p>
        </w:tc>
        <w:tc>
          <w:tcPr>
            <w:tcW w:type="dxa" w:w="5287"/>
          </w:tcPr>
          <w:p>
            <w:pPr>
              <w:spacing w:after="20" w:before="20" w:line="240" w:lineRule="auto"/>
              <w:jc w:val="left"/>
            </w:pPr>
            <w:r/>
            <w:r>
              <w:rPr>
                <w:sz w:val="20"/>
              </w:rPr>
              <w:t>Carte des 26 provinces</w:t>
            </w:r>
          </w:p>
        </w:tc>
      </w:tr>
      <w:tr>
        <w:trPr>
          <w:cantSplit w:val="true"/>
        </w:trPr>
        <w:tc>
          <w:tcPr>
            <w:tcW w:type="dxa" w:w="519"/>
          </w:tcPr>
          <w:p>
            <w:pPr>
              <w:spacing w:after="20" w:before="20" w:line="240" w:lineRule="auto"/>
              <w:jc w:val="left"/>
            </w:pPr>
            <w:r/>
            <w:r>
              <w:rPr>
                <w:sz w:val="20"/>
              </w:rPr>
              <w:t>BM-14</w:t>
            </w:r>
          </w:p>
        </w:tc>
        <w:tc>
          <w:tcPr>
            <w:tcW w:type="dxa" w:w="3583"/>
          </w:tcPr>
          <w:p>
            <w:pPr>
              <w:spacing w:after="20" w:before="20" w:line="240" w:lineRule="auto"/>
              <w:jc w:val="left"/>
            </w:pPr>
            <w:r/>
            <w:r>
              <w:rPr>
                <w:b/>
                <w:sz w:val="20"/>
              </w:rPr>
              <w:t>Tableau de bord</w:t>
            </w:r>
            <w:r>
              <w:rPr>
                <w:sz w:val="20"/>
              </w:rPr>
              <w:t xml:space="preserve"> de supervision</w:t>
            </w:r>
          </w:p>
        </w:tc>
        <w:tc>
          <w:tcPr>
            <w:tcW w:type="dxa" w:w="5287"/>
          </w:tcPr>
          <w:p>
            <w:pPr>
              <w:spacing w:after="20" w:before="20" w:line="240" w:lineRule="auto"/>
              <w:jc w:val="left"/>
            </w:pPr>
            <w:r/>
            <w:r>
              <w:rPr>
                <w:sz w:val="20"/>
              </w:rPr>
              <w:t>Indicateurs temps réel, séries, répartitions, performance du modèle</w:t>
            </w:r>
          </w:p>
        </w:tc>
      </w:tr>
      <w:tr>
        <w:trPr>
          <w:cantSplit w:val="true"/>
        </w:trPr>
        <w:tc>
          <w:tcPr>
            <w:tcW w:type="dxa" w:w="519"/>
          </w:tcPr>
          <w:p>
            <w:pPr>
              <w:spacing w:after="20" w:before="20" w:line="240" w:lineRule="auto"/>
              <w:jc w:val="left"/>
            </w:pPr>
            <w:r/>
            <w:r>
              <w:rPr>
                <w:sz w:val="20"/>
              </w:rPr>
              <w:t>BM-15</w:t>
            </w:r>
          </w:p>
        </w:tc>
        <w:tc>
          <w:tcPr>
            <w:tcW w:type="dxa" w:w="3583"/>
          </w:tcPr>
          <w:p>
            <w:pPr>
              <w:spacing w:after="20" w:before="20" w:line="240" w:lineRule="auto"/>
              <w:jc w:val="left"/>
            </w:pPr>
            <w:r/>
            <w:r>
              <w:rPr>
                <w:b/>
                <w:sz w:val="20"/>
              </w:rPr>
              <w:t>S'adapter</w:t>
            </w:r>
            <w:r>
              <w:rPr>
                <w:sz w:val="20"/>
              </w:rPr>
              <w:t xml:space="preserve"> aux fraudes nouvelles</w:t>
            </w:r>
          </w:p>
        </w:tc>
        <w:tc>
          <w:tcPr>
            <w:tcW w:type="dxa" w:w="5287"/>
          </w:tcPr>
          <w:p>
            <w:pPr>
              <w:spacing w:after="20" w:before="20" w:line="240" w:lineRule="auto"/>
              <w:jc w:val="left"/>
            </w:pPr>
            <w:r/>
            <w:r>
              <w:rPr>
                <w:sz w:val="20"/>
              </w:rPr>
              <w:t>Réentraînement déclenché, stratégie champion / challenger</w:t>
            </w:r>
          </w:p>
        </w:tc>
      </w:tr>
      <w:tr>
        <w:trPr>
          <w:cantSplit w:val="true"/>
        </w:trPr>
        <w:tc>
          <w:tcPr>
            <w:tcW w:type="dxa" w:w="519"/>
          </w:tcPr>
          <w:p>
            <w:pPr>
              <w:spacing w:after="20" w:before="20" w:line="240" w:lineRule="auto"/>
              <w:jc w:val="left"/>
            </w:pPr>
            <w:r/>
            <w:r>
              <w:rPr>
                <w:sz w:val="20"/>
              </w:rPr>
              <w:t>BM-16</w:t>
            </w:r>
          </w:p>
        </w:tc>
        <w:tc>
          <w:tcPr>
            <w:tcW w:type="dxa" w:w="3583"/>
          </w:tcPr>
          <w:p>
            <w:pPr>
              <w:spacing w:after="20" w:before="20" w:line="240" w:lineRule="auto"/>
              <w:jc w:val="left"/>
            </w:pPr>
            <w:r/>
            <w:r>
              <w:rPr>
                <w:sz w:val="20"/>
              </w:rPr>
              <w:t xml:space="preserve">Faire </w:t>
            </w:r>
            <w:r>
              <w:rPr>
                <w:b/>
                <w:sz w:val="20"/>
              </w:rPr>
              <w:t>examiner les comportements nouveaux</w:t>
            </w:r>
          </w:p>
        </w:tc>
        <w:tc>
          <w:tcPr>
            <w:tcW w:type="dxa" w:w="5287"/>
          </w:tcPr>
          <w:p>
            <w:pPr>
              <w:spacing w:after="20" w:before="20" w:line="240" w:lineRule="auto"/>
              <w:jc w:val="left"/>
            </w:pPr>
            <w:r/>
            <w:r>
              <w:rPr>
                <w:sz w:val="20"/>
              </w:rPr>
              <w:t>Détection de nouveauté, revue d'analyste, étiquette</w:t>
            </w:r>
          </w:p>
        </w:tc>
      </w:tr>
      <w:tr>
        <w:trPr>
          <w:cantSplit w:val="true"/>
        </w:trPr>
        <w:tc>
          <w:tcPr>
            <w:tcW w:type="dxa" w:w="519"/>
          </w:tcPr>
          <w:p>
            <w:pPr>
              <w:spacing w:after="20" w:before="20" w:line="240" w:lineRule="auto"/>
              <w:jc w:val="left"/>
            </w:pPr>
            <w:r/>
            <w:r>
              <w:rPr>
                <w:sz w:val="20"/>
              </w:rPr>
              <w:t>BM-17</w:t>
            </w:r>
          </w:p>
        </w:tc>
        <w:tc>
          <w:tcPr>
            <w:tcW w:type="dxa" w:w="3583"/>
          </w:tcPr>
          <w:p>
            <w:pPr>
              <w:spacing w:after="20" w:before="20" w:line="240" w:lineRule="auto"/>
              <w:jc w:val="left"/>
            </w:pPr>
            <w:r/>
            <w:r>
              <w:rPr>
                <w:b/>
                <w:sz w:val="20"/>
              </w:rPr>
              <w:t>Traçabilité</w:t>
            </w:r>
          </w:p>
        </w:tc>
        <w:tc>
          <w:tcPr>
            <w:tcW w:type="dxa" w:w="5287"/>
          </w:tcPr>
          <w:p>
            <w:pPr>
              <w:spacing w:after="20" w:before="20" w:line="240" w:lineRule="auto"/>
              <w:jc w:val="left"/>
            </w:pPr>
            <w:r/>
            <w:r>
              <w:rPr>
                <w:sz w:val="20"/>
              </w:rPr>
              <w:t>Journal d'audit chaîné par hachage</w:t>
            </w:r>
          </w:p>
        </w:tc>
      </w:tr>
      <w:tr>
        <w:trPr>
          <w:cantSplit w:val="true"/>
        </w:trPr>
        <w:tc>
          <w:tcPr>
            <w:tcW w:type="dxa" w:w="519"/>
          </w:tcPr>
          <w:p>
            <w:pPr>
              <w:spacing w:after="20" w:before="20" w:line="240" w:lineRule="auto"/>
              <w:jc w:val="left"/>
            </w:pPr>
            <w:r/>
            <w:r>
              <w:rPr>
                <w:sz w:val="20"/>
              </w:rPr>
              <w:t>BM-18</w:t>
            </w:r>
          </w:p>
        </w:tc>
        <w:tc>
          <w:tcPr>
            <w:tcW w:type="dxa" w:w="3583"/>
          </w:tcPr>
          <w:p>
            <w:pPr>
              <w:spacing w:after="20" w:before="20" w:line="240" w:lineRule="auto"/>
              <w:jc w:val="left"/>
            </w:pPr>
            <w:r/>
            <w:r>
              <w:rPr>
                <w:b/>
                <w:sz w:val="20"/>
              </w:rPr>
              <w:t>Gérer les droits</w:t>
            </w:r>
            <w:r>
              <w:rPr>
                <w:sz w:val="20"/>
              </w:rPr>
              <w:t xml:space="preserve"> selon le rôle</w:t>
            </w:r>
          </w:p>
        </w:tc>
        <w:tc>
          <w:tcPr>
            <w:tcW w:type="dxa" w:w="5287"/>
          </w:tcPr>
          <w:p>
            <w:pPr>
              <w:spacing w:after="20" w:before="20" w:line="240" w:lineRule="auto"/>
              <w:jc w:val="left"/>
            </w:pPr>
            <w:r/>
            <w:r>
              <w:rPr>
                <w:sz w:val="20"/>
              </w:rPr>
              <w:t>Rôles analyste, superviseur, administrateur</w:t>
            </w:r>
          </w:p>
        </w:tc>
      </w:tr>
      <w:tr>
        <w:trPr>
          <w:cantSplit w:val="true"/>
        </w:trPr>
        <w:tc>
          <w:tcPr>
            <w:tcW w:type="dxa" w:w="519"/>
          </w:tcPr>
          <w:p>
            <w:pPr>
              <w:spacing w:after="20" w:before="20" w:line="240" w:lineRule="auto"/>
              <w:jc w:val="left"/>
            </w:pPr>
            <w:r/>
            <w:r>
              <w:rPr>
                <w:sz w:val="20"/>
              </w:rPr>
              <w:t>BM-19</w:t>
            </w:r>
          </w:p>
        </w:tc>
        <w:tc>
          <w:tcPr>
            <w:tcW w:type="dxa" w:w="3583"/>
          </w:tcPr>
          <w:p>
            <w:pPr>
              <w:spacing w:after="20" w:before="20" w:line="240" w:lineRule="auto"/>
              <w:jc w:val="left"/>
            </w:pPr>
            <w:r/>
            <w:r>
              <w:rPr>
                <w:sz w:val="20"/>
              </w:rPr>
              <w:t xml:space="preserve">Permettre aux institutions de </w:t>
            </w:r>
            <w:r>
              <w:rPr>
                <w:b/>
                <w:sz w:val="20"/>
              </w:rPr>
              <w:t>signaler les fraudes constatées</w:t>
            </w:r>
          </w:p>
        </w:tc>
        <w:tc>
          <w:tcPr>
            <w:tcW w:type="dxa" w:w="5287"/>
          </w:tcPr>
          <w:p>
            <w:pPr>
              <w:spacing w:after="20" w:before="20" w:line="240" w:lineRule="auto"/>
              <w:jc w:val="left"/>
            </w:pPr>
            <w:r/>
            <w:r>
              <w:rPr>
                <w:sz w:val="20"/>
              </w:rPr>
              <w:t>Route d'API de retour : le dossier est clos et l'étiquette sert au réentraînement</w:t>
            </w:r>
          </w:p>
        </w:tc>
      </w:tr>
      <w:tr>
        <w:trPr>
          <w:cantSplit w:val="true"/>
        </w:trPr>
        <w:tc>
          <w:tcPr>
            <w:tcW w:type="dxa" w:w="519"/>
          </w:tcPr>
          <w:p>
            <w:pPr>
              <w:spacing w:after="20" w:before="20" w:line="240" w:lineRule="auto"/>
              <w:jc w:val="left"/>
            </w:pPr>
            <w:r/>
            <w:r>
              <w:rPr>
                <w:sz w:val="20"/>
              </w:rPr>
              <w:t>BM-20</w:t>
            </w:r>
          </w:p>
        </w:tc>
        <w:tc>
          <w:tcPr>
            <w:tcW w:type="dxa" w:w="3583"/>
          </w:tcPr>
          <w:p>
            <w:pPr>
              <w:spacing w:after="20" w:before="20" w:line="240" w:lineRule="auto"/>
              <w:jc w:val="left"/>
            </w:pPr>
            <w:r/>
            <w:r>
              <w:rPr>
                <w:sz w:val="20"/>
              </w:rPr>
              <w:t xml:space="preserve">Permettre au régulateur de </w:t>
            </w:r>
            <w:r>
              <w:rPr>
                <w:b/>
                <w:sz w:val="20"/>
              </w:rPr>
              <w:t>superviser le secteur</w:t>
            </w:r>
          </w:p>
        </w:tc>
        <w:tc>
          <w:tcPr>
            <w:tcW w:type="dxa" w:w="5287"/>
          </w:tcPr>
          <w:p>
            <w:pPr>
              <w:spacing w:after="20" w:before="20" w:line="240" w:lineRule="auto"/>
              <w:jc w:val="left"/>
            </w:pPr>
            <w:r/>
            <w:r>
              <w:rPr>
                <w:sz w:val="20"/>
              </w:rPr>
              <w:t>API de supervision en lecture seule, agrégats sans donnée personnelle</w:t>
            </w:r>
          </w:p>
        </w:tc>
      </w:tr>
      <w:tr>
        <w:trPr>
          <w:cantSplit w:val="true"/>
        </w:trPr>
        <w:tc>
          <w:tcPr>
            <w:tcW w:type="dxa" w:w="519"/>
          </w:tcPr>
          <w:p>
            <w:pPr>
              <w:spacing w:after="20" w:before="20" w:line="240" w:lineRule="auto"/>
              <w:jc w:val="left"/>
            </w:pPr>
            <w:r/>
            <w:r>
              <w:rPr>
                <w:sz w:val="20"/>
              </w:rPr>
              <w:t>BM-21</w:t>
            </w:r>
          </w:p>
        </w:tc>
        <w:tc>
          <w:tcPr>
            <w:tcW w:type="dxa" w:w="3583"/>
          </w:tcPr>
          <w:p>
            <w:pPr>
              <w:spacing w:after="20" w:before="20" w:line="240" w:lineRule="auto"/>
              <w:jc w:val="left"/>
            </w:pPr>
            <w:r/>
            <w:r>
              <w:rPr>
                <w:b/>
                <w:sz w:val="20"/>
              </w:rPr>
              <w:t>Gérer les institutions partenaires</w:t>
            </w:r>
            <w:r>
              <w:rPr>
                <w:sz w:val="20"/>
              </w:rPr>
              <w:t xml:space="preserve"> et leurs accès</w:t>
            </w:r>
          </w:p>
        </w:tc>
        <w:tc>
          <w:tcPr>
            <w:tcW w:type="dxa" w:w="5287"/>
          </w:tcPr>
          <w:p>
            <w:pPr>
              <w:spacing w:after="20" w:before="20" w:line="240" w:lineRule="auto"/>
              <w:jc w:val="left"/>
            </w:pPr>
            <w:r/>
            <w:r>
              <w:rPr>
                <w:sz w:val="20"/>
              </w:rPr>
              <w:t>Création, droits, quota de débit, renouvellement et révocation des clés d'API</w:t>
            </w:r>
          </w:p>
        </w:tc>
      </w:tr>
      <w:tr>
        <w:trPr>
          <w:cantSplit w:val="true"/>
        </w:trPr>
        <w:tc>
          <w:tcPr>
            <w:tcW w:type="dxa" w:w="519"/>
          </w:tcPr>
          <w:p>
            <w:pPr>
              <w:spacing w:after="20" w:before="20" w:line="240" w:lineRule="auto"/>
              <w:jc w:val="left"/>
            </w:pPr>
            <w:r/>
            <w:r>
              <w:rPr>
                <w:sz w:val="20"/>
              </w:rPr>
              <w:t>BM-22</w:t>
            </w:r>
          </w:p>
        </w:tc>
        <w:tc>
          <w:tcPr>
            <w:tcW w:type="dxa" w:w="3583"/>
          </w:tcPr>
          <w:p>
            <w:pPr>
              <w:spacing w:after="20" w:before="20" w:line="240" w:lineRule="auto"/>
              <w:jc w:val="left"/>
            </w:pPr>
            <w:r/>
            <w:r>
              <w:rPr>
                <w:sz w:val="20"/>
              </w:rPr>
              <w:t xml:space="preserve">Révéler les </w:t>
            </w:r>
            <w:r>
              <w:rPr>
                <w:b/>
                <w:sz w:val="20"/>
              </w:rPr>
              <w:t>réseaux de fraude</w:t>
            </w:r>
            <w:r>
              <w:rPr>
                <w:sz w:val="20"/>
              </w:rPr>
              <w:t xml:space="preserve"> (comptes mules, appareils et agents partagés)</w:t>
            </w:r>
          </w:p>
        </w:tc>
        <w:tc>
          <w:tcPr>
            <w:tcW w:type="dxa" w:w="5287"/>
          </w:tcPr>
          <w:p>
            <w:pPr>
              <w:spacing w:after="20" w:before="20" w:line="240" w:lineRule="auto"/>
              <w:jc w:val="left"/>
            </w:pPr>
            <w:r/>
            <w:r>
              <w:rPr>
                <w:sz w:val="20"/>
              </w:rPr>
              <w:t>Analyse de graphe comptes, portefeuilles, appareils, agents, marchands</w:t>
            </w:r>
          </w:p>
        </w:tc>
      </w:tr>
      <w:tr>
        <w:trPr>
          <w:cantSplit w:val="true"/>
        </w:trPr>
        <w:tc>
          <w:tcPr>
            <w:tcW w:type="dxa" w:w="519"/>
          </w:tcPr>
          <w:p>
            <w:pPr>
              <w:spacing w:after="20" w:before="20" w:line="240" w:lineRule="auto"/>
              <w:jc w:val="left"/>
            </w:pPr>
            <w:r/>
            <w:r>
              <w:rPr>
                <w:sz w:val="20"/>
              </w:rPr>
              <w:t>BM-23</w:t>
            </w:r>
          </w:p>
        </w:tc>
        <w:tc>
          <w:tcPr>
            <w:tcW w:type="dxa" w:w="3583"/>
          </w:tcPr>
          <w:p>
            <w:pPr>
              <w:spacing w:after="20" w:before="20" w:line="240" w:lineRule="auto"/>
              <w:jc w:val="left"/>
            </w:pPr>
            <w:r/>
            <w:r>
              <w:rPr>
                <w:b/>
                <w:sz w:val="20"/>
              </w:rPr>
              <w:t>Mesurer la qualité réelle</w:t>
            </w:r>
            <w:r>
              <w:rPr>
                <w:sz w:val="20"/>
              </w:rPr>
              <w:t xml:space="preserve"> du modèle et choisir quoi faire revoir</w:t>
            </w:r>
          </w:p>
        </w:tc>
        <w:tc>
          <w:tcPr>
            <w:tcW w:type="dxa" w:w="5287"/>
          </w:tcPr>
          <w:p>
            <w:pPr>
              <w:spacing w:after="20" w:before="20" w:line="240" w:lineRule="auto"/>
              <w:jc w:val="left"/>
            </w:pPr>
            <w:r/>
            <w:r>
              <w:rPr>
                <w:sz w:val="20"/>
              </w:rPr>
              <w:t>File de revue (incertitude, nouveauté, réseau, échantillon témoin), fraudes manquées estimées</w:t>
            </w:r>
          </w:p>
        </w:tc>
      </w:tr>
      <w:tr>
        <w:trPr>
          <w:cantSplit w:val="true"/>
        </w:trPr>
        <w:tc>
          <w:tcPr>
            <w:tcW w:type="dxa" w:w="519"/>
          </w:tcPr>
          <w:p>
            <w:pPr>
              <w:spacing w:after="20" w:before="20" w:line="240" w:lineRule="auto"/>
              <w:jc w:val="left"/>
            </w:pPr>
            <w:r/>
            <w:r>
              <w:rPr>
                <w:sz w:val="20"/>
              </w:rPr>
              <w:t>BM-24</w:t>
            </w:r>
          </w:p>
        </w:tc>
        <w:tc>
          <w:tcPr>
            <w:tcW w:type="dxa" w:w="3583"/>
          </w:tcPr>
          <w:p>
            <w:pPr>
              <w:spacing w:after="20" w:before="20" w:line="240" w:lineRule="auto"/>
              <w:jc w:val="left"/>
            </w:pPr>
            <w:r/>
            <w:r>
              <w:rPr>
                <w:b/>
                <w:sz w:val="20"/>
              </w:rPr>
              <w:t>Régler les coûts</w:t>
            </w:r>
            <w:r>
              <w:rPr>
                <w:sz w:val="20"/>
              </w:rPr>
              <w:t xml:space="preserve"> de décision sans réentraîner</w:t>
            </w:r>
          </w:p>
        </w:tc>
        <w:tc>
          <w:tcPr>
            <w:tcW w:type="dxa" w:w="5287"/>
          </w:tcPr>
          <w:p>
            <w:pPr>
              <w:spacing w:after="20" w:before="20" w:line="240" w:lineRule="auto"/>
              <w:jc w:val="left"/>
            </w:pPr>
            <w:r/>
            <w:r>
              <w:rPr>
                <w:sz w:val="20"/>
              </w:rPr>
              <w:t>Politique de coût versionnée, simulée avant application, rechargée à chaud</w:t>
            </w:r>
          </w:p>
        </w:tc>
      </w:tr>
      <w:tr>
        <w:trPr>
          <w:cantSplit w:val="true"/>
        </w:trPr>
        <w:tc>
          <w:tcPr>
            <w:tcW w:type="dxa" w:w="519"/>
          </w:tcPr>
          <w:p>
            <w:pPr>
              <w:spacing w:after="20" w:before="20" w:line="240" w:lineRule="auto"/>
              <w:jc w:val="left"/>
            </w:pPr>
            <w:r/>
            <w:r>
              <w:rPr>
                <w:sz w:val="20"/>
              </w:rPr>
              <w:t>BM-25</w:t>
            </w:r>
          </w:p>
        </w:tc>
        <w:tc>
          <w:tcPr>
            <w:tcW w:type="dxa" w:w="3583"/>
          </w:tcPr>
          <w:p>
            <w:pPr>
              <w:spacing w:after="20" w:before="20" w:line="240" w:lineRule="auto"/>
              <w:jc w:val="left"/>
            </w:pPr>
            <w:r/>
            <w:r>
              <w:rPr>
                <w:sz w:val="20"/>
              </w:rPr>
              <w:t xml:space="preserve">Vérifier que les erreurs ne </w:t>
            </w:r>
            <w:r>
              <w:rPr>
                <w:b/>
                <w:sz w:val="20"/>
              </w:rPr>
              <w:t>pénalisent pas un groupe</w:t>
            </w:r>
            <w:r>
              <w:rPr>
                <w:sz w:val="20"/>
              </w:rPr>
              <w:t xml:space="preserve"> de clients</w:t>
            </w:r>
          </w:p>
        </w:tc>
        <w:tc>
          <w:tcPr>
            <w:tcW w:type="dxa" w:w="5287"/>
          </w:tcPr>
          <w:p>
            <w:pPr>
              <w:spacing w:after="20" w:before="20" w:line="240" w:lineRule="auto"/>
              <w:jc w:val="left"/>
            </w:pPr>
            <w:r/>
            <w:r>
              <w:rPr>
                <w:sz w:val="20"/>
              </w:rPr>
              <w:t>Taux de fausses alertes par groupe, avec intervalles de confiance</w:t>
            </w:r>
          </w:p>
        </w:tc>
      </w:tr>
      <w:tr>
        <w:trPr>
          <w:cantSplit w:val="true"/>
        </w:trPr>
        <w:tc>
          <w:tcPr>
            <w:tcW w:type="dxa" w:w="519"/>
          </w:tcPr>
          <w:p>
            <w:pPr>
              <w:spacing w:after="20" w:before="20" w:line="240" w:lineRule="auto"/>
              <w:jc w:val="left"/>
            </w:pPr>
            <w:r/>
            <w:r>
              <w:rPr>
                <w:sz w:val="20"/>
              </w:rPr>
              <w:t>BM-26</w:t>
            </w:r>
          </w:p>
        </w:tc>
        <w:tc>
          <w:tcPr>
            <w:tcW w:type="dxa" w:w="3583"/>
          </w:tcPr>
          <w:p>
            <w:pPr>
              <w:spacing w:after="20" w:before="20" w:line="240" w:lineRule="auto"/>
              <w:jc w:val="left"/>
            </w:pPr>
            <w:r/>
            <w:r>
              <w:rPr>
                <w:b/>
                <w:sz w:val="20"/>
              </w:rPr>
              <w:t>Protéger les comptes</w:t>
            </w:r>
            <w:r>
              <w:rPr>
                <w:sz w:val="20"/>
              </w:rPr>
              <w:t xml:space="preserve"> du back-office et les décisions sensibles</w:t>
            </w:r>
          </w:p>
        </w:tc>
        <w:tc>
          <w:tcPr>
            <w:tcW w:type="dxa" w:w="5287"/>
          </w:tcPr>
          <w:p>
            <w:pPr>
              <w:spacing w:after="20" w:before="20" w:line="240" w:lineRule="auto"/>
              <w:jc w:val="left"/>
            </w:pPr>
            <w:r/>
            <w:r>
              <w:rPr>
                <w:sz w:val="20"/>
              </w:rPr>
              <w:t>Double authentification, verrouillage, validation à quatre yeux</w:t>
            </w:r>
          </w:p>
        </w:tc>
      </w:tr>
    </w:tbl>
    <w:p>
      <w:pPr>
        <w:spacing w:after="120"/>
      </w:pPr>
    </w:p>
    <w:p>
      <w:pPr>
        <w:pStyle w:val="Titre4"/>
        <w:keepNext/>
        <w:numPr>
          <w:numId w:val="0"/>
        </w:numPr>
        <w:spacing w:before="200" w:after="120"/>
        <w:ind w:left="0" w:firstLine="0"/>
        <w:jc w:val="left"/>
      </w:pPr>
      <w:r>
        <w:rPr>
          <w:b/>
          <w:i/>
          <w:color w:val="000000"/>
          <w:sz w:val="25"/>
        </w:rPr>
        <w:t>1.7 Spécification des besoins non fonctionnels</w:t>
      </w:r>
    </w:p>
    <w:p>
      <w:pPr>
        <w:spacing w:before="0" w:after="120" w:line="360" w:lineRule="auto"/>
        <w:jc w:val="both"/>
      </w:pPr>
      <w:r>
        <w:rPr>
          <w:sz w:val="24"/>
        </w:rPr>
        <w:t>Les besoins non fonctionnels (BT pour « besoin technique ») fixent les qualités attendues du système : rapidité, fiabilité, sécurité, maintenabilité (tableau II.8).</w:t>
      </w:r>
    </w:p>
    <w:p>
      <w:pPr>
        <w:pStyle w:val="Légendetableau"/>
        <w:keepNext/>
        <w:spacing w:before="200" w:after="80"/>
        <w:jc w:val="center"/>
      </w:pPr>
      <w:r>
        <w:rPr>
          <w:b/>
          <w:sz w:val="20"/>
        </w:rPr>
        <w:t>Tableau II.8 — Besoins non fonctionnels.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1371"/>
        <w:gridCol w:w="527"/>
        <w:gridCol w:w="2439"/>
        <w:gridCol w:w="5052"/>
      </w:tblGrid>
      <w:tr>
        <w:trPr>
          <w:tblHeader w:val="true"/>
        </w:trPr>
        <w:tc>
          <w:tcPr>
            <w:tcW w:type="dxa" w:w="1371"/>
            <w:shd w:val="clear" w:color="auto" w:fill="D9E2F3"/>
          </w:tcPr>
          <w:p>
            <w:pPr>
              <w:spacing w:after="20" w:before="20" w:line="240" w:lineRule="auto"/>
              <w:jc w:val="left"/>
            </w:pPr>
            <w:r/>
            <w:r>
              <w:rPr>
                <w:b/>
                <w:sz w:val="18"/>
              </w:rPr>
              <w:t>Catégorie</w:t>
            </w:r>
          </w:p>
        </w:tc>
        <w:tc>
          <w:tcPr>
            <w:tcW w:type="dxa" w:w="527"/>
            <w:shd w:val="clear" w:color="auto" w:fill="D9E2F3"/>
          </w:tcPr>
          <w:p>
            <w:pPr>
              <w:spacing w:after="20" w:before="20" w:line="240" w:lineRule="auto"/>
              <w:jc w:val="left"/>
            </w:pPr>
            <w:r/>
            <w:r>
              <w:rPr>
                <w:b/>
                <w:sz w:val="18"/>
              </w:rPr>
              <w:t>Réf.</w:t>
            </w:r>
          </w:p>
        </w:tc>
        <w:tc>
          <w:tcPr>
            <w:tcW w:type="dxa" w:w="2439"/>
            <w:shd w:val="clear" w:color="auto" w:fill="D9E2F3"/>
          </w:tcPr>
          <w:p>
            <w:pPr>
              <w:spacing w:after="20" w:before="20" w:line="240" w:lineRule="auto"/>
              <w:jc w:val="left"/>
            </w:pPr>
            <w:r/>
            <w:r>
              <w:rPr>
                <w:b/>
                <w:sz w:val="18"/>
              </w:rPr>
              <w:t>Exigence</w:t>
            </w:r>
          </w:p>
        </w:tc>
        <w:tc>
          <w:tcPr>
            <w:tcW w:type="dxa" w:w="5052"/>
            <w:shd w:val="clear" w:color="auto" w:fill="D9E2F3"/>
          </w:tcPr>
          <w:p>
            <w:pPr>
              <w:spacing w:after="20" w:before="20" w:line="240" w:lineRule="auto"/>
              <w:jc w:val="left"/>
            </w:pPr>
            <w:r/>
            <w:r>
              <w:rPr>
                <w:b/>
                <w:sz w:val="18"/>
              </w:rPr>
              <w:t>Réponse prévue</w:t>
            </w:r>
          </w:p>
        </w:tc>
      </w:tr>
      <w:tr>
        <w:trPr>
          <w:cantSplit w:val="true"/>
        </w:trPr>
        <w:tc>
          <w:tcPr>
            <w:tcW w:type="dxa" w:w="1371"/>
          </w:tcPr>
          <w:p>
            <w:pPr>
              <w:spacing w:after="20" w:before="20" w:line="240" w:lineRule="auto"/>
              <w:jc w:val="left"/>
            </w:pPr>
            <w:r/>
            <w:r>
              <w:rPr>
                <w:sz w:val="18"/>
              </w:rPr>
              <w:t>Performance</w:t>
            </w:r>
          </w:p>
        </w:tc>
        <w:tc>
          <w:tcPr>
            <w:tcW w:type="dxa" w:w="527"/>
          </w:tcPr>
          <w:p>
            <w:pPr>
              <w:spacing w:after="20" w:before="20" w:line="240" w:lineRule="auto"/>
              <w:jc w:val="left"/>
            </w:pPr>
            <w:r/>
            <w:r>
              <w:rPr>
                <w:sz w:val="18"/>
              </w:rPr>
              <w:t>BT-01</w:t>
            </w:r>
          </w:p>
        </w:tc>
        <w:tc>
          <w:tcPr>
            <w:tcW w:type="dxa" w:w="2439"/>
          </w:tcPr>
          <w:p>
            <w:pPr>
              <w:spacing w:after="20" w:before="20" w:line="240" w:lineRule="auto"/>
              <w:jc w:val="left"/>
            </w:pPr>
            <w:r/>
            <w:r>
              <w:rPr>
                <w:sz w:val="18"/>
              </w:rPr>
              <w:t>Décision avant exécution, en moins de 100 ms</w:t>
            </w:r>
          </w:p>
        </w:tc>
        <w:tc>
          <w:tcPr>
            <w:tcW w:type="dxa" w:w="5052"/>
          </w:tcPr>
          <w:p>
            <w:pPr>
              <w:spacing w:after="20" w:before="20" w:line="240" w:lineRule="auto"/>
              <w:jc w:val="left"/>
            </w:pPr>
            <w:r/>
            <w:r>
              <w:rPr>
                <w:sz w:val="18"/>
              </w:rPr>
              <w:t>Chemin critique synchrone réduit au minimum ; profil en mémoire (Redis)</w:t>
            </w:r>
          </w:p>
        </w:tc>
      </w:tr>
      <w:tr>
        <w:trPr>
          <w:cantSplit w:val="true"/>
        </w:trPr>
        <w:tc>
          <w:tcPr>
            <w:tcW w:type="dxa" w:w="1371"/>
          </w:tcPr>
          <w:p>
            <w:pPr>
              <w:spacing w:after="20" w:before="20" w:line="240" w:lineRule="auto"/>
              <w:jc w:val="left"/>
            </w:pPr>
            <w:r/>
          </w:p>
        </w:tc>
        <w:tc>
          <w:tcPr>
            <w:tcW w:type="dxa" w:w="527"/>
          </w:tcPr>
          <w:p>
            <w:pPr>
              <w:spacing w:after="20" w:before="20" w:line="240" w:lineRule="auto"/>
              <w:jc w:val="left"/>
            </w:pPr>
            <w:r/>
            <w:r>
              <w:rPr>
                <w:sz w:val="18"/>
              </w:rPr>
              <w:t>BT-02</w:t>
            </w:r>
          </w:p>
        </w:tc>
        <w:tc>
          <w:tcPr>
            <w:tcW w:type="dxa" w:w="2439"/>
          </w:tcPr>
          <w:p>
            <w:pPr>
              <w:spacing w:after="20" w:before="20" w:line="240" w:lineRule="auto"/>
              <w:jc w:val="left"/>
            </w:pPr>
            <w:r/>
            <w:r>
              <w:rPr>
                <w:sz w:val="18"/>
              </w:rPr>
              <w:t>Absorber le débit des opérateurs</w:t>
            </w:r>
          </w:p>
        </w:tc>
        <w:tc>
          <w:tcPr>
            <w:tcW w:type="dxa" w:w="5052"/>
          </w:tcPr>
          <w:p>
            <w:pPr>
              <w:spacing w:after="20" w:before="20" w:line="240" w:lineRule="auto"/>
              <w:jc w:val="left"/>
            </w:pPr>
            <w:r/>
            <w:r>
              <w:rPr>
                <w:sz w:val="18"/>
              </w:rPr>
              <w:t>Plusieurs processus de notation, limitation de débit, réplicas</w:t>
            </w:r>
          </w:p>
        </w:tc>
      </w:tr>
      <w:tr>
        <w:trPr>
          <w:cantSplit w:val="true"/>
        </w:trPr>
        <w:tc>
          <w:tcPr>
            <w:tcW w:type="dxa" w:w="1371"/>
          </w:tcPr>
          <w:p>
            <w:pPr>
              <w:spacing w:after="20" w:before="20" w:line="240" w:lineRule="auto"/>
              <w:jc w:val="left"/>
            </w:pPr>
            <w:r/>
            <w:r>
              <w:rPr>
                <w:sz w:val="18"/>
              </w:rPr>
              <w:t>Disponibilité</w:t>
            </w:r>
          </w:p>
        </w:tc>
        <w:tc>
          <w:tcPr>
            <w:tcW w:type="dxa" w:w="527"/>
          </w:tcPr>
          <w:p>
            <w:pPr>
              <w:spacing w:after="20" w:before="20" w:line="240" w:lineRule="auto"/>
              <w:jc w:val="left"/>
            </w:pPr>
            <w:r/>
            <w:r>
              <w:rPr>
                <w:sz w:val="18"/>
              </w:rPr>
              <w:t>BT-03</w:t>
            </w:r>
          </w:p>
        </w:tc>
        <w:tc>
          <w:tcPr>
            <w:tcW w:type="dxa" w:w="2439"/>
          </w:tcPr>
          <w:p>
            <w:pPr>
              <w:spacing w:after="20" w:before="20" w:line="240" w:lineRule="auto"/>
              <w:jc w:val="left"/>
            </w:pPr>
            <w:r/>
            <w:r>
              <w:rPr>
                <w:sz w:val="18"/>
              </w:rPr>
              <w:t>Continuité si la notation est indisponible</w:t>
            </w:r>
          </w:p>
        </w:tc>
        <w:tc>
          <w:tcPr>
            <w:tcW w:type="dxa" w:w="5052"/>
          </w:tcPr>
          <w:p>
            <w:pPr>
              <w:spacing w:after="20" w:before="20" w:line="240" w:lineRule="auto"/>
              <w:jc w:val="left"/>
            </w:pPr>
            <w:r/>
            <w:r>
              <w:rPr>
                <w:sz w:val="18"/>
              </w:rPr>
              <w:t>Politique de repli configurable, relances bornées</w:t>
            </w:r>
          </w:p>
        </w:tc>
      </w:tr>
      <w:tr>
        <w:trPr>
          <w:cantSplit w:val="true"/>
        </w:trPr>
        <w:tc>
          <w:tcPr>
            <w:tcW w:type="dxa" w:w="1371"/>
          </w:tcPr>
          <w:p>
            <w:pPr>
              <w:spacing w:after="20" w:before="20" w:line="240" w:lineRule="auto"/>
              <w:jc w:val="left"/>
            </w:pPr>
            <w:r/>
          </w:p>
        </w:tc>
        <w:tc>
          <w:tcPr>
            <w:tcW w:type="dxa" w:w="527"/>
          </w:tcPr>
          <w:p>
            <w:pPr>
              <w:spacing w:after="20" w:before="20" w:line="240" w:lineRule="auto"/>
              <w:jc w:val="left"/>
            </w:pPr>
            <w:r/>
            <w:r>
              <w:rPr>
                <w:sz w:val="18"/>
              </w:rPr>
              <w:t>BT-04</w:t>
            </w:r>
          </w:p>
        </w:tc>
        <w:tc>
          <w:tcPr>
            <w:tcW w:type="dxa" w:w="2439"/>
          </w:tcPr>
          <w:p>
            <w:pPr>
              <w:spacing w:after="20" w:before="20" w:line="240" w:lineRule="auto"/>
              <w:jc w:val="left"/>
            </w:pPr>
            <w:r/>
            <w:r>
              <w:rPr>
                <w:sz w:val="18"/>
              </w:rPr>
              <w:t>Résilience aux doublons</w:t>
            </w:r>
          </w:p>
        </w:tc>
        <w:tc>
          <w:tcPr>
            <w:tcW w:type="dxa" w:w="5052"/>
          </w:tcPr>
          <w:p>
            <w:pPr>
              <w:spacing w:after="20" w:before="20" w:line="240" w:lineRule="auto"/>
              <w:jc w:val="left"/>
            </w:pPr>
            <w:r/>
            <w:r>
              <w:rPr>
                <w:sz w:val="18"/>
              </w:rPr>
              <w:t>Idempotence (RG-03)</w:t>
            </w:r>
          </w:p>
        </w:tc>
      </w:tr>
      <w:tr>
        <w:trPr>
          <w:cantSplit w:val="true"/>
        </w:trPr>
        <w:tc>
          <w:tcPr>
            <w:tcW w:type="dxa" w:w="1371"/>
          </w:tcPr>
          <w:p>
            <w:pPr>
              <w:spacing w:after="20" w:before="20" w:line="240" w:lineRule="auto"/>
              <w:jc w:val="left"/>
            </w:pPr>
            <w:r/>
            <w:r>
              <w:rPr>
                <w:sz w:val="18"/>
              </w:rPr>
              <w:t>Intégration</w:t>
            </w:r>
          </w:p>
        </w:tc>
        <w:tc>
          <w:tcPr>
            <w:tcW w:type="dxa" w:w="527"/>
          </w:tcPr>
          <w:p>
            <w:pPr>
              <w:spacing w:after="20" w:before="20" w:line="240" w:lineRule="auto"/>
              <w:jc w:val="left"/>
            </w:pPr>
            <w:r/>
            <w:r>
              <w:rPr>
                <w:sz w:val="18"/>
              </w:rPr>
              <w:t>BT-06</w:t>
            </w:r>
          </w:p>
        </w:tc>
        <w:tc>
          <w:tcPr>
            <w:tcW w:type="dxa" w:w="2439"/>
          </w:tcPr>
          <w:p>
            <w:pPr>
              <w:spacing w:after="20" w:before="20" w:line="240" w:lineRule="auto"/>
              <w:jc w:val="left"/>
            </w:pPr>
            <w:r/>
            <w:r>
              <w:rPr>
                <w:sz w:val="18"/>
              </w:rPr>
              <w:t>Formats hétérogènes des opérateurs</w:t>
            </w:r>
          </w:p>
        </w:tc>
        <w:tc>
          <w:tcPr>
            <w:tcW w:type="dxa" w:w="5052"/>
          </w:tcPr>
          <w:p>
            <w:pPr>
              <w:spacing w:after="20" w:before="20" w:line="240" w:lineRule="auto"/>
              <w:jc w:val="left"/>
            </w:pPr>
            <w:r/>
            <w:r>
              <w:rPr>
                <w:sz w:val="18"/>
              </w:rPr>
              <w:t xml:space="preserve">Patron </w:t>
            </w:r>
            <w:r>
              <w:rPr>
                <w:i/>
                <w:sz w:val="18"/>
              </w:rPr>
              <w:t>Adapter</w:t>
            </w:r>
            <w:r>
              <w:rPr>
                <w:sz w:val="18"/>
              </w:rPr>
              <w:t xml:space="preserve"> et schéma pivot </w:t>
            </w:r>
            <w:r>
              <w:rPr>
                <w:rFonts w:ascii="Courier New" w:hAnsi="Courier New"/>
                <w:b w:val="0"/>
                <w:sz w:val="14"/>
              </w:rPr>
              <w:t>UnifiedTransaction</w:t>
            </w:r>
          </w:p>
        </w:tc>
      </w:tr>
      <w:tr>
        <w:trPr>
          <w:cantSplit w:val="true"/>
        </w:trPr>
        <w:tc>
          <w:tcPr>
            <w:tcW w:type="dxa" w:w="1371"/>
          </w:tcPr>
          <w:p>
            <w:pPr>
              <w:spacing w:after="20" w:before="20" w:line="240" w:lineRule="auto"/>
              <w:jc w:val="left"/>
            </w:pPr>
            <w:r/>
          </w:p>
        </w:tc>
        <w:tc>
          <w:tcPr>
            <w:tcW w:type="dxa" w:w="527"/>
          </w:tcPr>
          <w:p>
            <w:pPr>
              <w:spacing w:after="20" w:before="20" w:line="240" w:lineRule="auto"/>
              <w:jc w:val="left"/>
            </w:pPr>
            <w:r/>
            <w:r>
              <w:rPr>
                <w:sz w:val="18"/>
              </w:rPr>
              <w:t>BT-07</w:t>
            </w:r>
          </w:p>
        </w:tc>
        <w:tc>
          <w:tcPr>
            <w:tcW w:type="dxa" w:w="2439"/>
          </w:tcPr>
          <w:p>
            <w:pPr>
              <w:spacing w:after="20" w:before="20" w:line="240" w:lineRule="auto"/>
              <w:jc w:val="left"/>
            </w:pPr>
            <w:r/>
            <w:r>
              <w:rPr>
                <w:sz w:val="18"/>
              </w:rPr>
              <w:t>Double monnaie</w:t>
            </w:r>
          </w:p>
        </w:tc>
        <w:tc>
          <w:tcPr>
            <w:tcW w:type="dxa" w:w="5052"/>
          </w:tcPr>
          <w:p>
            <w:pPr>
              <w:spacing w:after="20" w:before="20" w:line="240" w:lineRule="auto"/>
              <w:jc w:val="left"/>
            </w:pPr>
            <w:r/>
            <w:r>
              <w:rPr>
                <w:sz w:val="18"/>
              </w:rPr>
              <w:t>Conversion CDF vers USD au taux de l'année (RG-02)</w:t>
            </w:r>
          </w:p>
        </w:tc>
      </w:tr>
      <w:tr>
        <w:trPr>
          <w:cantSplit w:val="true"/>
        </w:trPr>
        <w:tc>
          <w:tcPr>
            <w:tcW w:type="dxa" w:w="1371"/>
          </w:tcPr>
          <w:p>
            <w:pPr>
              <w:spacing w:after="20" w:before="20" w:line="240" w:lineRule="auto"/>
              <w:jc w:val="left"/>
            </w:pPr>
            <w:r/>
          </w:p>
        </w:tc>
        <w:tc>
          <w:tcPr>
            <w:tcW w:type="dxa" w:w="527"/>
          </w:tcPr>
          <w:p>
            <w:pPr>
              <w:spacing w:after="20" w:before="20" w:line="240" w:lineRule="auto"/>
              <w:jc w:val="left"/>
            </w:pPr>
            <w:r/>
            <w:r>
              <w:rPr>
                <w:sz w:val="18"/>
              </w:rPr>
              <w:t>BT-10</w:t>
            </w:r>
          </w:p>
        </w:tc>
        <w:tc>
          <w:tcPr>
            <w:tcW w:type="dxa" w:w="2439"/>
          </w:tcPr>
          <w:p>
            <w:pPr>
              <w:spacing w:after="20" w:before="20" w:line="240" w:lineRule="auto"/>
              <w:jc w:val="left"/>
            </w:pPr>
            <w:r/>
            <w:r>
              <w:rPr>
                <w:sz w:val="18"/>
              </w:rPr>
              <w:t>Découplage des traitements</w:t>
            </w:r>
          </w:p>
        </w:tc>
        <w:tc>
          <w:tcPr>
            <w:tcW w:type="dxa" w:w="5052"/>
          </w:tcPr>
          <w:p>
            <w:pPr>
              <w:spacing w:after="20" w:before="20" w:line="240" w:lineRule="auto"/>
              <w:jc w:val="left"/>
            </w:pPr>
            <w:r/>
            <w:r>
              <w:rPr>
                <w:sz w:val="18"/>
              </w:rPr>
              <w:t>Bus d'événements Kafka et workers indépendants</w:t>
            </w:r>
          </w:p>
        </w:tc>
      </w:tr>
      <w:tr>
        <w:trPr>
          <w:cantSplit w:val="true"/>
        </w:trPr>
        <w:tc>
          <w:tcPr>
            <w:tcW w:type="dxa" w:w="1371"/>
          </w:tcPr>
          <w:p>
            <w:pPr>
              <w:spacing w:after="20" w:before="20" w:line="240" w:lineRule="auto"/>
              <w:jc w:val="left"/>
            </w:pPr>
            <w:r/>
            <w:r>
              <w:rPr>
                <w:sz w:val="18"/>
              </w:rPr>
              <w:t>Apprentissage automatique</w:t>
            </w:r>
          </w:p>
        </w:tc>
        <w:tc>
          <w:tcPr>
            <w:tcW w:type="dxa" w:w="527"/>
          </w:tcPr>
          <w:p>
            <w:pPr>
              <w:spacing w:after="20" w:before="20" w:line="240" w:lineRule="auto"/>
              <w:jc w:val="left"/>
            </w:pPr>
            <w:r/>
            <w:r>
              <w:rPr>
                <w:sz w:val="18"/>
              </w:rPr>
              <w:t>BT-11</w:t>
            </w:r>
          </w:p>
        </w:tc>
        <w:tc>
          <w:tcPr>
            <w:tcW w:type="dxa" w:w="2439"/>
          </w:tcPr>
          <w:p>
            <w:pPr>
              <w:spacing w:after="20" w:before="20" w:line="240" w:lineRule="auto"/>
              <w:jc w:val="left"/>
            </w:pPr>
            <w:r/>
            <w:r>
              <w:rPr>
                <w:sz w:val="18"/>
              </w:rPr>
              <w:t>Cohérence entre entraînement et production</w:t>
            </w:r>
          </w:p>
        </w:tc>
        <w:tc>
          <w:tcPr>
            <w:tcW w:type="dxa" w:w="5052"/>
          </w:tcPr>
          <w:p>
            <w:pPr>
              <w:spacing w:after="20" w:before="20" w:line="240" w:lineRule="auto"/>
              <w:jc w:val="left"/>
            </w:pPr>
            <w:r/>
            <w:r>
              <w:rPr>
                <w:sz w:val="18"/>
              </w:rPr>
              <w:t>Mêmes fonctions de calcul des variables ; contrôle de l'empreinte de la normalisation</w:t>
            </w:r>
          </w:p>
        </w:tc>
      </w:tr>
      <w:tr>
        <w:trPr>
          <w:cantSplit w:val="true"/>
        </w:trPr>
        <w:tc>
          <w:tcPr>
            <w:tcW w:type="dxa" w:w="1371"/>
          </w:tcPr>
          <w:p>
            <w:pPr>
              <w:spacing w:after="20" w:before="20" w:line="240" w:lineRule="auto"/>
              <w:jc w:val="left"/>
            </w:pPr>
            <w:r/>
          </w:p>
        </w:tc>
        <w:tc>
          <w:tcPr>
            <w:tcW w:type="dxa" w:w="527"/>
          </w:tcPr>
          <w:p>
            <w:pPr>
              <w:spacing w:after="20" w:before="20" w:line="240" w:lineRule="auto"/>
              <w:jc w:val="left"/>
            </w:pPr>
            <w:r/>
            <w:r>
              <w:rPr>
                <w:sz w:val="18"/>
              </w:rPr>
              <w:t>BT-12</w:t>
            </w:r>
          </w:p>
        </w:tc>
        <w:tc>
          <w:tcPr>
            <w:tcW w:type="dxa" w:w="2439"/>
          </w:tcPr>
          <w:p>
            <w:pPr>
              <w:spacing w:after="20" w:before="20" w:line="240" w:lineRule="auto"/>
              <w:jc w:val="left"/>
            </w:pPr>
            <w:r/>
            <w:r>
              <w:rPr>
                <w:sz w:val="18"/>
              </w:rPr>
              <w:t>Déséquilibre des classes (environ 1,3 % de fraudes)</w:t>
            </w:r>
          </w:p>
        </w:tc>
        <w:tc>
          <w:tcPr>
            <w:tcW w:type="dxa" w:w="5052"/>
          </w:tcPr>
          <w:p>
            <w:pPr>
              <w:spacing w:after="20" w:before="20" w:line="240" w:lineRule="auto"/>
              <w:jc w:val="left"/>
            </w:pPr>
            <w:r/>
            <w:r>
              <w:rPr>
                <w:sz w:val="18"/>
              </w:rPr>
              <w:t>Pondération, sous-échantillonnage, métrique PR-AUC</w:t>
            </w:r>
          </w:p>
        </w:tc>
      </w:tr>
      <w:tr>
        <w:trPr>
          <w:cantSplit w:val="true"/>
        </w:trPr>
        <w:tc>
          <w:tcPr>
            <w:tcW w:type="dxa" w:w="1371"/>
          </w:tcPr>
          <w:p>
            <w:pPr>
              <w:spacing w:after="20" w:before="20" w:line="240" w:lineRule="auto"/>
              <w:jc w:val="left"/>
            </w:pPr>
            <w:r/>
          </w:p>
        </w:tc>
        <w:tc>
          <w:tcPr>
            <w:tcW w:type="dxa" w:w="527"/>
          </w:tcPr>
          <w:p>
            <w:pPr>
              <w:spacing w:after="20" w:before="20" w:line="240" w:lineRule="auto"/>
              <w:jc w:val="left"/>
            </w:pPr>
            <w:r/>
            <w:r>
              <w:rPr>
                <w:sz w:val="18"/>
              </w:rPr>
              <w:t>BT-13</w:t>
            </w:r>
          </w:p>
        </w:tc>
        <w:tc>
          <w:tcPr>
            <w:tcW w:type="dxa" w:w="2439"/>
          </w:tcPr>
          <w:p>
            <w:pPr>
              <w:spacing w:after="20" w:before="20" w:line="240" w:lineRule="auto"/>
              <w:jc w:val="left"/>
            </w:pPr>
            <w:r/>
            <w:r>
              <w:rPr>
                <w:sz w:val="18"/>
              </w:rPr>
              <w:t>Absence de fuite d'information</w:t>
            </w:r>
          </w:p>
        </w:tc>
        <w:tc>
          <w:tcPr>
            <w:tcW w:type="dxa" w:w="5052"/>
          </w:tcPr>
          <w:p>
            <w:pPr>
              <w:spacing w:after="20" w:before="20" w:line="240" w:lineRule="auto"/>
              <w:jc w:val="left"/>
            </w:pPr>
            <w:r/>
            <w:r>
              <w:rPr>
                <w:sz w:val="18"/>
              </w:rPr>
              <w:t>Variables calculées sur le passé ; découpage temporel</w:t>
            </w:r>
          </w:p>
        </w:tc>
      </w:tr>
      <w:tr>
        <w:trPr>
          <w:cantSplit w:val="true"/>
        </w:trPr>
        <w:tc>
          <w:tcPr>
            <w:tcW w:type="dxa" w:w="1371"/>
          </w:tcPr>
          <w:p>
            <w:pPr>
              <w:spacing w:after="20" w:before="20" w:line="240" w:lineRule="auto"/>
              <w:jc w:val="left"/>
            </w:pPr>
            <w:r/>
          </w:p>
        </w:tc>
        <w:tc>
          <w:tcPr>
            <w:tcW w:type="dxa" w:w="527"/>
          </w:tcPr>
          <w:p>
            <w:pPr>
              <w:spacing w:after="20" w:before="20" w:line="240" w:lineRule="auto"/>
              <w:jc w:val="left"/>
            </w:pPr>
            <w:r/>
            <w:r>
              <w:rPr>
                <w:sz w:val="18"/>
              </w:rPr>
              <w:t>BT-14</w:t>
            </w:r>
          </w:p>
        </w:tc>
        <w:tc>
          <w:tcPr>
            <w:tcW w:type="dxa" w:w="2439"/>
          </w:tcPr>
          <w:p>
            <w:pPr>
              <w:spacing w:after="20" w:before="20" w:line="240" w:lineRule="auto"/>
              <w:jc w:val="left"/>
            </w:pPr>
            <w:r/>
            <w:r>
              <w:rPr>
                <w:sz w:val="18"/>
              </w:rPr>
              <w:t>Explicabilité</w:t>
            </w:r>
          </w:p>
        </w:tc>
        <w:tc>
          <w:tcPr>
            <w:tcW w:type="dxa" w:w="5052"/>
          </w:tcPr>
          <w:p>
            <w:pPr>
              <w:spacing w:after="20" w:before="20" w:line="240" w:lineRule="auto"/>
              <w:jc w:val="left"/>
            </w:pPr>
            <w:r/>
            <w:r>
              <w:rPr>
                <w:sz w:val="18"/>
              </w:rPr>
              <w:t>TreeSHAP exact, attention, recherche de cas similaires</w:t>
            </w:r>
          </w:p>
        </w:tc>
      </w:tr>
      <w:tr>
        <w:trPr>
          <w:cantSplit w:val="true"/>
        </w:trPr>
        <w:tc>
          <w:tcPr>
            <w:tcW w:type="dxa" w:w="1371"/>
          </w:tcPr>
          <w:p>
            <w:pPr>
              <w:spacing w:after="20" w:before="20" w:line="240" w:lineRule="auto"/>
              <w:jc w:val="left"/>
            </w:pPr>
            <w:r/>
          </w:p>
        </w:tc>
        <w:tc>
          <w:tcPr>
            <w:tcW w:type="dxa" w:w="527"/>
          </w:tcPr>
          <w:p>
            <w:pPr>
              <w:spacing w:after="20" w:before="20" w:line="240" w:lineRule="auto"/>
              <w:jc w:val="left"/>
            </w:pPr>
            <w:r/>
            <w:r>
              <w:rPr>
                <w:sz w:val="18"/>
              </w:rPr>
              <w:t>BT-15</w:t>
            </w:r>
          </w:p>
        </w:tc>
        <w:tc>
          <w:tcPr>
            <w:tcW w:type="dxa" w:w="2439"/>
          </w:tcPr>
          <w:p>
            <w:pPr>
              <w:spacing w:after="20" w:before="20" w:line="240" w:lineRule="auto"/>
              <w:jc w:val="left"/>
            </w:pPr>
            <w:r/>
            <w:r>
              <w:rPr>
                <w:sz w:val="18"/>
              </w:rPr>
              <w:t>Évaluation statistiquement fondée</w:t>
            </w:r>
          </w:p>
        </w:tc>
        <w:tc>
          <w:tcPr>
            <w:tcW w:type="dxa" w:w="5052"/>
          </w:tcPr>
          <w:p>
            <w:pPr>
              <w:spacing w:after="20" w:before="20" w:line="240" w:lineRule="auto"/>
              <w:jc w:val="left"/>
            </w:pPr>
            <w:r/>
            <w:r>
              <w:rPr>
                <w:sz w:val="18"/>
              </w:rPr>
              <w:t>Bootstrap apparié par usager, test de McNemar</w:t>
            </w:r>
          </w:p>
        </w:tc>
      </w:tr>
      <w:tr>
        <w:trPr>
          <w:cantSplit w:val="true"/>
        </w:trPr>
        <w:tc>
          <w:tcPr>
            <w:tcW w:type="dxa" w:w="1371"/>
          </w:tcPr>
          <w:p>
            <w:pPr>
              <w:spacing w:after="20" w:before="20" w:line="240" w:lineRule="auto"/>
              <w:jc w:val="left"/>
            </w:pPr>
            <w:r/>
          </w:p>
        </w:tc>
        <w:tc>
          <w:tcPr>
            <w:tcW w:type="dxa" w:w="527"/>
          </w:tcPr>
          <w:p>
            <w:pPr>
              <w:spacing w:after="20" w:before="20" w:line="240" w:lineRule="auto"/>
              <w:jc w:val="left"/>
            </w:pPr>
            <w:r/>
            <w:r>
              <w:rPr>
                <w:sz w:val="18"/>
              </w:rPr>
              <w:t>BT-16</w:t>
            </w:r>
          </w:p>
        </w:tc>
        <w:tc>
          <w:tcPr>
            <w:tcW w:type="dxa" w:w="2439"/>
          </w:tcPr>
          <w:p>
            <w:pPr>
              <w:spacing w:after="20" w:before="20" w:line="240" w:lineRule="auto"/>
              <w:jc w:val="left"/>
            </w:pPr>
            <w:r/>
            <w:r>
              <w:rPr>
                <w:sz w:val="18"/>
              </w:rPr>
              <w:t>Surveillance de la dérive</w:t>
            </w:r>
          </w:p>
        </w:tc>
        <w:tc>
          <w:tcPr>
            <w:tcW w:type="dxa" w:w="5052"/>
          </w:tcPr>
          <w:p>
            <w:pPr>
              <w:spacing w:after="20" w:before="20" w:line="240" w:lineRule="auto"/>
              <w:jc w:val="left"/>
            </w:pPr>
            <w:r/>
            <w:r>
              <w:rPr>
                <w:sz w:val="18"/>
              </w:rPr>
              <w:t>Kolmogorov-Smirnov, PSI, taux de nouveauté</w:t>
            </w:r>
          </w:p>
        </w:tc>
      </w:tr>
      <w:tr>
        <w:trPr>
          <w:cantSplit w:val="true"/>
        </w:trPr>
        <w:tc>
          <w:tcPr>
            <w:tcW w:type="dxa" w:w="1371"/>
          </w:tcPr>
          <w:p>
            <w:pPr>
              <w:spacing w:after="20" w:before="20" w:line="240" w:lineRule="auto"/>
              <w:jc w:val="left"/>
            </w:pPr>
            <w:r/>
          </w:p>
        </w:tc>
        <w:tc>
          <w:tcPr>
            <w:tcW w:type="dxa" w:w="527"/>
          </w:tcPr>
          <w:p>
            <w:pPr>
              <w:spacing w:after="20" w:before="20" w:line="240" w:lineRule="auto"/>
              <w:jc w:val="left"/>
            </w:pPr>
            <w:r/>
            <w:r>
              <w:rPr>
                <w:sz w:val="18"/>
              </w:rPr>
              <w:t>BT-17</w:t>
            </w:r>
          </w:p>
        </w:tc>
        <w:tc>
          <w:tcPr>
            <w:tcW w:type="dxa" w:w="2439"/>
          </w:tcPr>
          <w:p>
            <w:pPr>
              <w:spacing w:after="20" w:before="20" w:line="240" w:lineRule="auto"/>
              <w:jc w:val="left"/>
            </w:pPr>
            <w:r/>
            <w:r>
              <w:rPr>
                <w:sz w:val="18"/>
              </w:rPr>
              <w:t>Réentraînement maîtrisé</w:t>
            </w:r>
          </w:p>
        </w:tc>
        <w:tc>
          <w:tcPr>
            <w:tcW w:type="dxa" w:w="5052"/>
          </w:tcPr>
          <w:p>
            <w:pPr>
              <w:spacing w:after="20" w:before="20" w:line="240" w:lineRule="auto"/>
              <w:jc w:val="left"/>
            </w:pPr>
            <w:r/>
            <w:r>
              <w:rPr>
                <w:sz w:val="18"/>
              </w:rPr>
              <w:t>Champion / challenger, porte de détection, garde-fou contre le surapprentissage</w:t>
            </w:r>
          </w:p>
        </w:tc>
      </w:tr>
      <w:tr>
        <w:trPr>
          <w:cantSplit w:val="true"/>
        </w:trPr>
        <w:tc>
          <w:tcPr>
            <w:tcW w:type="dxa" w:w="1371"/>
          </w:tcPr>
          <w:p>
            <w:pPr>
              <w:spacing w:after="20" w:before="20" w:line="240" w:lineRule="auto"/>
              <w:jc w:val="left"/>
            </w:pPr>
            <w:r/>
          </w:p>
        </w:tc>
        <w:tc>
          <w:tcPr>
            <w:tcW w:type="dxa" w:w="527"/>
          </w:tcPr>
          <w:p>
            <w:pPr>
              <w:spacing w:after="20" w:before="20" w:line="240" w:lineRule="auto"/>
              <w:jc w:val="left"/>
            </w:pPr>
            <w:r/>
            <w:r>
              <w:rPr>
                <w:sz w:val="18"/>
              </w:rPr>
              <w:t>BT-19</w:t>
            </w:r>
          </w:p>
        </w:tc>
        <w:tc>
          <w:tcPr>
            <w:tcW w:type="dxa" w:w="2439"/>
          </w:tcPr>
          <w:p>
            <w:pPr>
              <w:spacing w:after="20" w:before="20" w:line="240" w:lineRule="auto"/>
              <w:jc w:val="left"/>
            </w:pPr>
            <w:r/>
            <w:r>
              <w:rPr>
                <w:sz w:val="18"/>
              </w:rPr>
              <w:t>Robustesse aux attaques inédites</w:t>
            </w:r>
          </w:p>
        </w:tc>
        <w:tc>
          <w:tcPr>
            <w:tcW w:type="dxa" w:w="5052"/>
          </w:tcPr>
          <w:p>
            <w:pPr>
              <w:spacing w:after="20" w:before="20" w:line="240" w:lineRule="auto"/>
              <w:jc w:val="left"/>
            </w:pPr>
            <w:r/>
            <w:r>
              <w:rPr>
                <w:sz w:val="18"/>
              </w:rPr>
              <w:t>Lois physiques (cinématique, conservation)</w:t>
            </w:r>
          </w:p>
        </w:tc>
      </w:tr>
      <w:tr>
        <w:trPr>
          <w:cantSplit w:val="true"/>
        </w:trPr>
        <w:tc>
          <w:tcPr>
            <w:tcW w:type="dxa" w:w="1371"/>
          </w:tcPr>
          <w:p>
            <w:pPr>
              <w:spacing w:after="20" w:before="20" w:line="240" w:lineRule="auto"/>
              <w:jc w:val="left"/>
            </w:pPr>
            <w:r/>
          </w:p>
        </w:tc>
        <w:tc>
          <w:tcPr>
            <w:tcW w:type="dxa" w:w="527"/>
          </w:tcPr>
          <w:p>
            <w:pPr>
              <w:spacing w:after="20" w:before="20" w:line="240" w:lineRule="auto"/>
              <w:jc w:val="left"/>
            </w:pPr>
            <w:r/>
            <w:r>
              <w:rPr>
                <w:sz w:val="18"/>
              </w:rPr>
              <w:t>BT-29</w:t>
            </w:r>
          </w:p>
        </w:tc>
        <w:tc>
          <w:tcPr>
            <w:tcW w:type="dxa" w:w="2439"/>
          </w:tcPr>
          <w:p>
            <w:pPr>
              <w:spacing w:after="20" w:before="20" w:line="240" w:lineRule="auto"/>
              <w:jc w:val="left"/>
            </w:pPr>
            <w:r/>
            <w:r>
              <w:rPr>
                <w:sz w:val="18"/>
              </w:rPr>
              <w:t>Équité mesurable</w:t>
            </w:r>
          </w:p>
        </w:tc>
        <w:tc>
          <w:tcPr>
            <w:tcW w:type="dxa" w:w="5052"/>
          </w:tcPr>
          <w:p>
            <w:pPr>
              <w:spacing w:after="20" w:before="20" w:line="240" w:lineRule="auto"/>
              <w:jc w:val="left"/>
            </w:pPr>
            <w:r/>
            <w:r>
              <w:rPr>
                <w:sz w:val="18"/>
              </w:rPr>
              <w:t>Taux d'erreur par groupe avec intervalles de confiance de Wilson</w:t>
            </w:r>
          </w:p>
        </w:tc>
      </w:tr>
      <w:tr>
        <w:trPr>
          <w:cantSplit w:val="true"/>
        </w:trPr>
        <w:tc>
          <w:tcPr>
            <w:tcW w:type="dxa" w:w="1371"/>
          </w:tcPr>
          <w:p>
            <w:pPr>
              <w:spacing w:after="20" w:before="20" w:line="240" w:lineRule="auto"/>
              <w:jc w:val="left"/>
            </w:pPr>
            <w:r/>
            <w:r>
              <w:rPr>
                <w:sz w:val="18"/>
              </w:rPr>
              <w:t>Sécurité</w:t>
            </w:r>
          </w:p>
        </w:tc>
        <w:tc>
          <w:tcPr>
            <w:tcW w:type="dxa" w:w="527"/>
          </w:tcPr>
          <w:p>
            <w:pPr>
              <w:spacing w:after="20" w:before="20" w:line="240" w:lineRule="auto"/>
              <w:jc w:val="left"/>
            </w:pPr>
            <w:r/>
            <w:r>
              <w:rPr>
                <w:sz w:val="18"/>
              </w:rPr>
              <w:t>BT-20</w:t>
            </w:r>
          </w:p>
        </w:tc>
        <w:tc>
          <w:tcPr>
            <w:tcW w:type="dxa" w:w="2439"/>
          </w:tcPr>
          <w:p>
            <w:pPr>
              <w:spacing w:after="20" w:before="20" w:line="240" w:lineRule="auto"/>
              <w:jc w:val="left"/>
            </w:pPr>
            <w:r/>
            <w:r>
              <w:rPr>
                <w:sz w:val="18"/>
              </w:rPr>
              <w:t>Authentification des systèmes partenaires</w:t>
            </w:r>
          </w:p>
        </w:tc>
        <w:tc>
          <w:tcPr>
            <w:tcW w:type="dxa" w:w="5052"/>
          </w:tcPr>
          <w:p>
            <w:pPr>
              <w:spacing w:after="20" w:before="20" w:line="240" w:lineRule="auto"/>
              <w:jc w:val="left"/>
            </w:pPr>
            <w:r/>
            <w:r>
              <w:rPr>
                <w:sz w:val="18"/>
              </w:rPr>
              <w:t>Clé d'API par institution (empreinte SHA-256), droits par institution</w:t>
            </w:r>
          </w:p>
        </w:tc>
      </w:tr>
      <w:tr>
        <w:trPr>
          <w:cantSplit w:val="true"/>
        </w:trPr>
        <w:tc>
          <w:tcPr>
            <w:tcW w:type="dxa" w:w="1371"/>
          </w:tcPr>
          <w:p>
            <w:pPr>
              <w:spacing w:after="20" w:before="20" w:line="240" w:lineRule="auto"/>
              <w:jc w:val="left"/>
            </w:pPr>
            <w:r/>
          </w:p>
        </w:tc>
        <w:tc>
          <w:tcPr>
            <w:tcW w:type="dxa" w:w="527"/>
          </w:tcPr>
          <w:p>
            <w:pPr>
              <w:spacing w:after="20" w:before="20" w:line="240" w:lineRule="auto"/>
              <w:jc w:val="left"/>
            </w:pPr>
            <w:r/>
            <w:r>
              <w:rPr>
                <w:sz w:val="18"/>
              </w:rPr>
              <w:t>BT-21</w:t>
            </w:r>
          </w:p>
        </w:tc>
        <w:tc>
          <w:tcPr>
            <w:tcW w:type="dxa" w:w="2439"/>
          </w:tcPr>
          <w:p>
            <w:pPr>
              <w:spacing w:after="20" w:before="20" w:line="240" w:lineRule="auto"/>
              <w:jc w:val="left"/>
            </w:pPr>
            <w:r/>
            <w:r>
              <w:rPr>
                <w:sz w:val="18"/>
              </w:rPr>
              <w:t>Authentification des utilisateurs</w:t>
            </w:r>
          </w:p>
        </w:tc>
        <w:tc>
          <w:tcPr>
            <w:tcW w:type="dxa" w:w="5052"/>
          </w:tcPr>
          <w:p>
            <w:pPr>
              <w:spacing w:after="20" w:before="20" w:line="240" w:lineRule="auto"/>
              <w:jc w:val="left"/>
            </w:pPr>
            <w:r/>
            <w:r>
              <w:rPr>
                <w:sz w:val="18"/>
              </w:rPr>
              <w:t>Jeton JWT, contrôle d'accès par rôle, double authentification facultative</w:t>
            </w:r>
          </w:p>
        </w:tc>
      </w:tr>
      <w:tr>
        <w:trPr>
          <w:cantSplit w:val="true"/>
        </w:trPr>
        <w:tc>
          <w:tcPr>
            <w:tcW w:type="dxa" w:w="1371"/>
          </w:tcPr>
          <w:p>
            <w:pPr>
              <w:spacing w:after="20" w:before="20" w:line="240" w:lineRule="auto"/>
              <w:jc w:val="left"/>
            </w:pPr>
            <w:r/>
          </w:p>
        </w:tc>
        <w:tc>
          <w:tcPr>
            <w:tcW w:type="dxa" w:w="527"/>
          </w:tcPr>
          <w:p>
            <w:pPr>
              <w:spacing w:after="20" w:before="20" w:line="240" w:lineRule="auto"/>
              <w:jc w:val="left"/>
            </w:pPr>
            <w:r/>
            <w:r>
              <w:rPr>
                <w:sz w:val="18"/>
              </w:rPr>
              <w:t>BT-22</w:t>
            </w:r>
          </w:p>
        </w:tc>
        <w:tc>
          <w:tcPr>
            <w:tcW w:type="dxa" w:w="2439"/>
          </w:tcPr>
          <w:p>
            <w:pPr>
              <w:spacing w:after="20" w:before="20" w:line="240" w:lineRule="auto"/>
              <w:jc w:val="left"/>
            </w:pPr>
            <w:r/>
            <w:r>
              <w:rPr>
                <w:sz w:val="18"/>
              </w:rPr>
              <w:t>Intégrité du journal</w:t>
            </w:r>
          </w:p>
        </w:tc>
        <w:tc>
          <w:tcPr>
            <w:tcW w:type="dxa" w:w="5052"/>
          </w:tcPr>
          <w:p>
            <w:pPr>
              <w:spacing w:after="20" w:before="20" w:line="240" w:lineRule="auto"/>
              <w:jc w:val="left"/>
            </w:pPr>
            <w:r/>
            <w:r>
              <w:rPr>
                <w:sz w:val="18"/>
              </w:rPr>
              <w:t>Chaînage SHA-256, modification et suppression interdites en base</w:t>
            </w:r>
          </w:p>
        </w:tc>
      </w:tr>
      <w:tr>
        <w:trPr>
          <w:cantSplit w:val="true"/>
        </w:trPr>
        <w:tc>
          <w:tcPr>
            <w:tcW w:type="dxa" w:w="1371"/>
          </w:tcPr>
          <w:p>
            <w:pPr>
              <w:spacing w:after="20" w:before="20" w:line="240" w:lineRule="auto"/>
              <w:jc w:val="left"/>
            </w:pPr>
            <w:r/>
          </w:p>
        </w:tc>
        <w:tc>
          <w:tcPr>
            <w:tcW w:type="dxa" w:w="527"/>
          </w:tcPr>
          <w:p>
            <w:pPr>
              <w:spacing w:after="20" w:before="20" w:line="240" w:lineRule="auto"/>
              <w:jc w:val="left"/>
            </w:pPr>
            <w:r/>
            <w:r>
              <w:rPr>
                <w:sz w:val="18"/>
              </w:rPr>
              <w:t>BT-23</w:t>
            </w:r>
          </w:p>
        </w:tc>
        <w:tc>
          <w:tcPr>
            <w:tcW w:type="dxa" w:w="2439"/>
          </w:tcPr>
          <w:p>
            <w:pPr>
              <w:spacing w:after="20" w:before="20" w:line="240" w:lineRule="auto"/>
              <w:jc w:val="left"/>
            </w:pPr>
            <w:r/>
            <w:r>
              <w:rPr>
                <w:sz w:val="18"/>
              </w:rPr>
              <w:t>Confidentialité</w:t>
            </w:r>
          </w:p>
        </w:tc>
        <w:tc>
          <w:tcPr>
            <w:tcW w:type="dxa" w:w="5052"/>
          </w:tcPr>
          <w:p>
            <w:pPr>
              <w:spacing w:after="20" w:before="20" w:line="240" w:lineRule="auto"/>
              <w:jc w:val="left"/>
            </w:pPr>
            <w:r/>
            <w:r>
              <w:rPr>
                <w:sz w:val="18"/>
              </w:rPr>
              <w:t>Aucun service externe ; texte des messages jamais stocké ; isolement des données par institution</w:t>
            </w:r>
          </w:p>
        </w:tc>
      </w:tr>
      <w:tr>
        <w:trPr>
          <w:cantSplit w:val="true"/>
        </w:trPr>
        <w:tc>
          <w:tcPr>
            <w:tcW w:type="dxa" w:w="1371"/>
          </w:tcPr>
          <w:p>
            <w:pPr>
              <w:spacing w:after="20" w:before="20" w:line="240" w:lineRule="auto"/>
              <w:jc w:val="left"/>
            </w:pPr>
            <w:r/>
          </w:p>
        </w:tc>
        <w:tc>
          <w:tcPr>
            <w:tcW w:type="dxa" w:w="527"/>
          </w:tcPr>
          <w:p>
            <w:pPr>
              <w:spacing w:after="20" w:before="20" w:line="240" w:lineRule="auto"/>
              <w:jc w:val="left"/>
            </w:pPr>
            <w:r/>
            <w:r>
              <w:rPr>
                <w:sz w:val="18"/>
              </w:rPr>
              <w:t>BT-28</w:t>
            </w:r>
          </w:p>
        </w:tc>
        <w:tc>
          <w:tcPr>
            <w:tcW w:type="dxa" w:w="2439"/>
          </w:tcPr>
          <w:p>
            <w:pPr>
              <w:spacing w:after="20" w:before="20" w:line="240" w:lineRule="auto"/>
              <w:jc w:val="left"/>
            </w:pPr>
            <w:r/>
            <w:r>
              <w:rPr>
                <w:sz w:val="18"/>
              </w:rPr>
              <w:t>Protection contre les abus</w:t>
            </w:r>
          </w:p>
        </w:tc>
        <w:tc>
          <w:tcPr>
            <w:tcW w:type="dxa" w:w="5052"/>
          </w:tcPr>
          <w:p>
            <w:pPr>
              <w:spacing w:after="20" w:before="20" w:line="240" w:lineRule="auto"/>
              <w:jc w:val="left"/>
            </w:pPr>
            <w:r/>
            <w:r>
              <w:rPr>
                <w:sz w:val="18"/>
              </w:rPr>
              <w:t>Quota par institution (seau à jetons), limitation par adresse (Nginx)</w:t>
            </w:r>
          </w:p>
        </w:tc>
      </w:tr>
      <w:tr>
        <w:trPr>
          <w:cantSplit w:val="true"/>
        </w:trPr>
        <w:tc>
          <w:tcPr>
            <w:tcW w:type="dxa" w:w="1371"/>
          </w:tcPr>
          <w:p>
            <w:pPr>
              <w:spacing w:after="20" w:before="20" w:line="240" w:lineRule="auto"/>
              <w:jc w:val="left"/>
            </w:pPr>
            <w:r/>
            <w:r>
              <w:rPr>
                <w:sz w:val="18"/>
              </w:rPr>
              <w:t>Exploitation</w:t>
            </w:r>
          </w:p>
        </w:tc>
        <w:tc>
          <w:tcPr>
            <w:tcW w:type="dxa" w:w="527"/>
          </w:tcPr>
          <w:p>
            <w:pPr>
              <w:spacing w:after="20" w:before="20" w:line="240" w:lineRule="auto"/>
              <w:jc w:val="left"/>
            </w:pPr>
            <w:r/>
            <w:r>
              <w:rPr>
                <w:sz w:val="18"/>
              </w:rPr>
              <w:t>BT-25</w:t>
            </w:r>
          </w:p>
        </w:tc>
        <w:tc>
          <w:tcPr>
            <w:tcW w:type="dxa" w:w="2439"/>
          </w:tcPr>
          <w:p>
            <w:pPr>
              <w:spacing w:after="20" w:before="20" w:line="240" w:lineRule="auto"/>
              <w:jc w:val="left"/>
            </w:pPr>
            <w:r/>
            <w:r>
              <w:rPr>
                <w:sz w:val="18"/>
              </w:rPr>
              <w:t>Observabilité</w:t>
            </w:r>
          </w:p>
        </w:tc>
        <w:tc>
          <w:tcPr>
            <w:tcW w:type="dxa" w:w="5052"/>
          </w:tcPr>
          <w:p>
            <w:pPr>
              <w:spacing w:after="20" w:before="20" w:line="240" w:lineRule="auto"/>
              <w:jc w:val="left"/>
            </w:pPr>
            <w:r/>
            <w:r>
              <w:rPr>
                <w:sz w:val="18"/>
              </w:rPr>
              <w:t>Métriques, tableaux de bord, journaux centralisés, alertes</w:t>
            </w:r>
          </w:p>
        </w:tc>
      </w:tr>
      <w:tr>
        <w:trPr>
          <w:cantSplit w:val="true"/>
        </w:trPr>
        <w:tc>
          <w:tcPr>
            <w:tcW w:type="dxa" w:w="1371"/>
          </w:tcPr>
          <w:p>
            <w:pPr>
              <w:spacing w:after="20" w:before="20" w:line="240" w:lineRule="auto"/>
              <w:jc w:val="left"/>
            </w:pPr>
            <w:r/>
          </w:p>
        </w:tc>
        <w:tc>
          <w:tcPr>
            <w:tcW w:type="dxa" w:w="527"/>
          </w:tcPr>
          <w:p>
            <w:pPr>
              <w:spacing w:after="20" w:before="20" w:line="240" w:lineRule="auto"/>
              <w:jc w:val="left"/>
            </w:pPr>
            <w:r/>
            <w:r>
              <w:rPr>
                <w:sz w:val="18"/>
              </w:rPr>
              <w:t>BT-26</w:t>
            </w:r>
          </w:p>
        </w:tc>
        <w:tc>
          <w:tcPr>
            <w:tcW w:type="dxa" w:w="2439"/>
          </w:tcPr>
          <w:p>
            <w:pPr>
              <w:spacing w:after="20" w:before="20" w:line="240" w:lineRule="auto"/>
              <w:jc w:val="left"/>
            </w:pPr>
            <w:r/>
            <w:r>
              <w:rPr>
                <w:sz w:val="18"/>
              </w:rPr>
              <w:t>Qualité logicielle</w:t>
            </w:r>
          </w:p>
        </w:tc>
        <w:tc>
          <w:tcPr>
            <w:tcW w:type="dxa" w:w="5052"/>
          </w:tcPr>
          <w:p>
            <w:pPr>
              <w:spacing w:after="20" w:before="20" w:line="240" w:lineRule="auto"/>
              <w:jc w:val="left"/>
            </w:pPr>
            <w:r/>
            <w:r>
              <w:rPr>
                <w:sz w:val="18"/>
              </w:rPr>
              <w:t>Tests automatisés par service</w:t>
            </w:r>
          </w:p>
        </w:tc>
      </w:tr>
      <w:tr>
        <w:trPr>
          <w:cantSplit w:val="true"/>
        </w:trPr>
        <w:tc>
          <w:tcPr>
            <w:tcW w:type="dxa" w:w="1371"/>
          </w:tcPr>
          <w:p>
            <w:pPr>
              <w:spacing w:after="20" w:before="20" w:line="240" w:lineRule="auto"/>
              <w:jc w:val="left"/>
            </w:pPr>
            <w:r/>
          </w:p>
        </w:tc>
        <w:tc>
          <w:tcPr>
            <w:tcW w:type="dxa" w:w="527"/>
          </w:tcPr>
          <w:p>
            <w:pPr>
              <w:spacing w:after="20" w:before="20" w:line="240" w:lineRule="auto"/>
              <w:jc w:val="left"/>
            </w:pPr>
            <w:r/>
            <w:r>
              <w:rPr>
                <w:sz w:val="18"/>
              </w:rPr>
              <w:t>BT-27</w:t>
            </w:r>
          </w:p>
        </w:tc>
        <w:tc>
          <w:tcPr>
            <w:tcW w:type="dxa" w:w="2439"/>
          </w:tcPr>
          <w:p>
            <w:pPr>
              <w:spacing w:after="20" w:before="20" w:line="240" w:lineRule="auto"/>
              <w:jc w:val="left"/>
            </w:pPr>
            <w:r/>
            <w:r>
              <w:rPr>
                <w:sz w:val="18"/>
              </w:rPr>
              <w:t>Portabilité</w:t>
            </w:r>
          </w:p>
        </w:tc>
        <w:tc>
          <w:tcPr>
            <w:tcW w:type="dxa" w:w="5052"/>
          </w:tcPr>
          <w:p>
            <w:pPr>
              <w:spacing w:after="20" w:before="20" w:line="240" w:lineRule="auto"/>
              <w:jc w:val="left"/>
            </w:pPr>
            <w:r/>
            <w:r>
              <w:rPr>
                <w:sz w:val="18"/>
              </w:rPr>
              <w:t>Conteneurs Docker, Docker Compose, Kubernetes</w:t>
            </w:r>
          </w:p>
        </w:tc>
      </w:tr>
    </w:tbl>
    <w:p>
      <w:pPr>
        <w:spacing w:after="120"/>
      </w:pPr>
    </w:p>
    <w:p>
      <w:pPr>
        <w:pStyle w:val="Titre4"/>
        <w:keepNext/>
        <w:numPr>
          <w:numId w:val="0"/>
        </w:numPr>
        <w:spacing w:before="200" w:after="120"/>
        <w:ind w:left="0" w:firstLine="0"/>
        <w:jc w:val="left"/>
      </w:pPr>
      <w:r>
        <w:rPr>
          <w:b/>
          <w:i/>
          <w:color w:val="000000"/>
          <w:sz w:val="25"/>
        </w:rPr>
        <w:t>1.8 Contraintes propres au contexte congolais</w:t>
      </w:r>
    </w:p>
    <w:p>
      <w:pPr>
        <w:spacing w:before="0" w:after="120" w:line="360" w:lineRule="auto"/>
        <w:jc w:val="both"/>
      </w:pPr>
      <w:r>
        <w:rPr>
          <w:sz w:val="24"/>
        </w:rPr>
        <w:t>Le contexte congolais impose des contraintes dont la conception tient compte explicitement (tableau II.9).</w:t>
      </w:r>
    </w:p>
    <w:p>
      <w:pPr>
        <w:pStyle w:val="Légendetableau"/>
        <w:keepNext/>
        <w:spacing w:before="200" w:after="80"/>
        <w:jc w:val="center"/>
      </w:pPr>
      <w:r>
        <w:rPr>
          <w:b/>
          <w:sz w:val="20"/>
        </w:rPr>
        <w:t>Tableau II.9 — Contraintes du contexte et conséquences.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3176"/>
        <w:gridCol w:w="6213"/>
      </w:tblGrid>
      <w:tr>
        <w:trPr>
          <w:tblHeader w:val="true"/>
        </w:trPr>
        <w:tc>
          <w:tcPr>
            <w:tcW w:type="dxa" w:w="3176"/>
            <w:shd w:val="clear" w:color="auto" w:fill="D9E2F3"/>
          </w:tcPr>
          <w:p>
            <w:pPr>
              <w:spacing w:after="20" w:before="20" w:line="240" w:lineRule="auto"/>
              <w:jc w:val="left"/>
            </w:pPr>
            <w:r/>
            <w:r>
              <w:rPr>
                <w:b/>
                <w:sz w:val="20"/>
              </w:rPr>
              <w:t>Contrainte</w:t>
            </w:r>
          </w:p>
        </w:tc>
        <w:tc>
          <w:tcPr>
            <w:tcW w:type="dxa" w:w="6213"/>
            <w:shd w:val="clear" w:color="auto" w:fill="D9E2F3"/>
          </w:tcPr>
          <w:p>
            <w:pPr>
              <w:spacing w:after="20" w:before="20" w:line="240" w:lineRule="auto"/>
              <w:jc w:val="left"/>
            </w:pPr>
            <w:r/>
            <w:r>
              <w:rPr>
                <w:b/>
                <w:sz w:val="20"/>
              </w:rPr>
              <w:t>Conséquence sur la conception</w:t>
            </w:r>
          </w:p>
        </w:tc>
      </w:tr>
      <w:tr>
        <w:trPr>
          <w:cantSplit w:val="true"/>
        </w:trPr>
        <w:tc>
          <w:tcPr>
            <w:tcW w:type="dxa" w:w="3176"/>
          </w:tcPr>
          <w:p>
            <w:pPr>
              <w:spacing w:after="20" w:before="20" w:line="240" w:lineRule="auto"/>
              <w:jc w:val="left"/>
            </w:pPr>
            <w:r/>
            <w:r>
              <w:rPr>
                <w:sz w:val="20"/>
              </w:rPr>
              <w:t>Téléphones simples et USSD très répandus</w:t>
            </w:r>
          </w:p>
        </w:tc>
        <w:tc>
          <w:tcPr>
            <w:tcW w:type="dxa" w:w="6213"/>
          </w:tcPr>
          <w:p>
            <w:pPr>
              <w:spacing w:after="20" w:before="20" w:line="240" w:lineRule="auto"/>
              <w:jc w:val="left"/>
            </w:pPr>
            <w:r/>
            <w:r>
              <w:rPr>
                <w:sz w:val="20"/>
              </w:rPr>
              <w:t>Variables indépendantes de l'application (montant, fréquence, agent, destinataire)</w:t>
            </w:r>
          </w:p>
        </w:tc>
      </w:tr>
      <w:tr>
        <w:trPr>
          <w:cantSplit w:val="true"/>
        </w:trPr>
        <w:tc>
          <w:tcPr>
            <w:tcW w:type="dxa" w:w="3176"/>
          </w:tcPr>
          <w:p>
            <w:pPr>
              <w:spacing w:after="20" w:before="20" w:line="240" w:lineRule="auto"/>
              <w:jc w:val="left"/>
            </w:pPr>
            <w:r/>
            <w:r>
              <w:rPr>
                <w:sz w:val="20"/>
              </w:rPr>
              <w:t>Réseau d'agents de proximité</w:t>
            </w:r>
          </w:p>
        </w:tc>
        <w:tc>
          <w:tcPr>
            <w:tcW w:type="dxa" w:w="6213"/>
          </w:tcPr>
          <w:p>
            <w:pPr>
              <w:spacing w:after="20" w:before="20" w:line="240" w:lineRule="auto"/>
              <w:jc w:val="left"/>
            </w:pPr>
            <w:r/>
            <w:r>
              <w:rPr>
                <w:sz w:val="20"/>
              </w:rPr>
              <w:t>Variables liées à l'agent ; typologie « fraude d'agent »</w:t>
            </w:r>
          </w:p>
        </w:tc>
      </w:tr>
      <w:tr>
        <w:trPr>
          <w:cantSplit w:val="true"/>
        </w:trPr>
        <w:tc>
          <w:tcPr>
            <w:tcW w:type="dxa" w:w="3176"/>
          </w:tcPr>
          <w:p>
            <w:pPr>
              <w:spacing w:after="20" w:before="20" w:line="240" w:lineRule="auto"/>
              <w:jc w:val="left"/>
            </w:pPr>
            <w:r/>
            <w:r>
              <w:rPr>
                <w:sz w:val="20"/>
              </w:rPr>
              <w:t>Double monnaie CDF / USD, dépréciation du franc</w:t>
            </w:r>
          </w:p>
        </w:tc>
        <w:tc>
          <w:tcPr>
            <w:tcW w:type="dxa" w:w="6213"/>
          </w:tcPr>
          <w:p>
            <w:pPr>
              <w:spacing w:after="20" w:before="20" w:line="240" w:lineRule="auto"/>
              <w:jc w:val="left"/>
            </w:pPr>
            <w:r/>
            <w:r>
              <w:rPr>
                <w:sz w:val="20"/>
              </w:rPr>
              <w:t>Montants ramenés en USD au taux de l'année</w:t>
            </w:r>
          </w:p>
        </w:tc>
      </w:tr>
      <w:tr>
        <w:trPr>
          <w:cantSplit w:val="true"/>
        </w:trPr>
        <w:tc>
          <w:tcPr>
            <w:tcW w:type="dxa" w:w="3176"/>
          </w:tcPr>
          <w:p>
            <w:pPr>
              <w:spacing w:after="20" w:before="20" w:line="240" w:lineRule="auto"/>
              <w:jc w:val="left"/>
            </w:pPr>
            <w:r/>
            <w:r>
              <w:rPr>
                <w:sz w:val="20"/>
              </w:rPr>
              <w:t>Connectivité inégale</w:t>
            </w:r>
          </w:p>
        </w:tc>
        <w:tc>
          <w:tcPr>
            <w:tcW w:type="dxa" w:w="6213"/>
          </w:tcPr>
          <w:p>
            <w:pPr>
              <w:spacing w:after="20" w:before="20" w:line="240" w:lineRule="auto"/>
              <w:jc w:val="left"/>
            </w:pPr>
            <w:r/>
            <w:r>
              <w:rPr>
                <w:sz w:val="20"/>
              </w:rPr>
              <w:t>Aucune dépendance à un service en ligne externe pour décider</w:t>
            </w:r>
          </w:p>
        </w:tc>
      </w:tr>
      <w:tr>
        <w:trPr>
          <w:cantSplit w:val="true"/>
        </w:trPr>
        <w:tc>
          <w:tcPr>
            <w:tcW w:type="dxa" w:w="3176"/>
          </w:tcPr>
          <w:p>
            <w:pPr>
              <w:spacing w:after="20" w:before="20" w:line="240" w:lineRule="auto"/>
              <w:jc w:val="left"/>
            </w:pPr>
            <w:r/>
            <w:r>
              <w:rPr>
                <w:sz w:val="20"/>
              </w:rPr>
              <w:t>26 provinces, territoire très vaste</w:t>
            </w:r>
          </w:p>
        </w:tc>
        <w:tc>
          <w:tcPr>
            <w:tcW w:type="dxa" w:w="6213"/>
          </w:tcPr>
          <w:p>
            <w:pPr>
              <w:spacing w:after="20" w:before="20" w:line="240" w:lineRule="auto"/>
              <w:jc w:val="left"/>
            </w:pPr>
            <w:r/>
            <w:r>
              <w:rPr>
                <w:sz w:val="20"/>
              </w:rPr>
              <w:t>Localisation par province ; loi physique de déplacement entre chefs-lieux</w:t>
            </w:r>
          </w:p>
        </w:tc>
      </w:tr>
      <w:tr>
        <w:trPr>
          <w:cantSplit w:val="true"/>
        </w:trPr>
        <w:tc>
          <w:tcPr>
            <w:tcW w:type="dxa" w:w="3176"/>
          </w:tcPr>
          <w:p>
            <w:pPr>
              <w:spacing w:after="20" w:before="20" w:line="240" w:lineRule="auto"/>
              <w:jc w:val="left"/>
            </w:pPr>
            <w:r/>
            <w:r>
              <w:rPr>
                <w:sz w:val="20"/>
              </w:rPr>
              <w:t>Niveaux KYC et plafonds</w:t>
            </w:r>
          </w:p>
        </w:tc>
        <w:tc>
          <w:tcPr>
            <w:tcW w:type="dxa" w:w="6213"/>
          </w:tcPr>
          <w:p>
            <w:pPr>
              <w:spacing w:after="20" w:before="20" w:line="240" w:lineRule="auto"/>
              <w:jc w:val="left"/>
            </w:pPr>
            <w:r/>
            <w:r>
              <w:rPr>
                <w:sz w:val="20"/>
              </w:rPr>
              <w:t>Variable « montant / plafond KYC » ; règle RG-08</w:t>
            </w:r>
          </w:p>
        </w:tc>
      </w:tr>
      <w:tr>
        <w:trPr>
          <w:cantSplit w:val="true"/>
        </w:trPr>
        <w:tc>
          <w:tcPr>
            <w:tcW w:type="dxa" w:w="3176"/>
          </w:tcPr>
          <w:p>
            <w:pPr>
              <w:spacing w:after="20" w:before="20" w:line="240" w:lineRule="auto"/>
              <w:jc w:val="left"/>
            </w:pPr>
            <w:r/>
            <w:r>
              <w:rPr>
                <w:sz w:val="20"/>
              </w:rPr>
              <w:t>Marché multi-opérateurs régulé par la BCC</w:t>
            </w:r>
          </w:p>
        </w:tc>
        <w:tc>
          <w:tcPr>
            <w:tcW w:type="dxa" w:w="6213"/>
          </w:tcPr>
          <w:p>
            <w:pPr>
              <w:spacing w:after="20" w:before="20" w:line="240" w:lineRule="auto"/>
              <w:jc w:val="left"/>
            </w:pPr>
            <w:r/>
            <w:r>
              <w:rPr>
                <w:sz w:val="20"/>
              </w:rPr>
              <w:t>API ouverte aux institutions, isolement des données, supervision par le régulateur</w:t>
            </w:r>
          </w:p>
        </w:tc>
      </w:tr>
      <w:tr>
        <w:trPr>
          <w:cantSplit w:val="true"/>
        </w:trPr>
        <w:tc>
          <w:tcPr>
            <w:tcW w:type="dxa" w:w="3176"/>
          </w:tcPr>
          <w:p>
            <w:pPr>
              <w:spacing w:after="20" w:before="20" w:line="240" w:lineRule="auto"/>
              <w:jc w:val="left"/>
            </w:pPr>
            <w:r/>
            <w:r>
              <w:rPr>
                <w:sz w:val="20"/>
              </w:rPr>
              <w:t>Absence de jeu de données public</w:t>
            </w:r>
          </w:p>
        </w:tc>
        <w:tc>
          <w:tcPr>
            <w:tcW w:type="dxa" w:w="6213"/>
          </w:tcPr>
          <w:p>
            <w:pPr>
              <w:spacing w:after="20" w:before="20" w:line="240" w:lineRule="auto"/>
              <w:jc w:val="left"/>
            </w:pPr>
            <w:r/>
            <w:r>
              <w:rPr>
                <w:sz w:val="20"/>
              </w:rPr>
              <w:t>Générateur de données synthétiques ; validation sur données réelles à prévoir</w:t>
            </w:r>
          </w:p>
        </w:tc>
      </w:tr>
    </w:tbl>
    <w:p>
      <w:pPr>
        <w:spacing w:after="120"/>
      </w:pPr>
    </w:p>
    <w:p>
      <w:pPr>
        <w:pStyle w:val="Titre4"/>
        <w:keepNext/>
        <w:numPr>
          <w:numId w:val="0"/>
        </w:numPr>
        <w:spacing w:before="200" w:after="120"/>
        <w:ind w:left="0" w:firstLine="0"/>
        <w:jc w:val="left"/>
      </w:pPr>
      <w:r>
        <w:rPr>
          <w:b/>
          <w:i/>
          <w:color w:val="000000"/>
          <w:sz w:val="25"/>
        </w:rPr>
        <w:t>1.9 Cas d'utilisation</w:t>
      </w:r>
    </w:p>
    <w:p>
      <w:pPr>
        <w:spacing w:before="0" w:after="120" w:line="360" w:lineRule="auto"/>
        <w:jc w:val="both"/>
      </w:pPr>
      <w:r>
        <w:rPr>
          <w:sz w:val="24"/>
        </w:rPr>
        <w:t>Le diagramme des cas d'utilisation représente les services que le système rend à chaque acteur. Les cas sont regroupés en quatre paquetages : détection en temps réel, investigation, supervision et gouvernance, ouverture aux partenaires.</w:t>
      </w:r>
    </w:p>
    <w:p>
      <w:pPr>
        <w:keepNext/>
        <w:spacing w:before="160" w:after="40"/>
        <w:jc w:val="center"/>
      </w:pPr>
      <w:r>
        <w:drawing>
          <wp:inline xmlns:a="http://schemas.openxmlformats.org/drawingml/2006/main" xmlns:pic="http://schemas.openxmlformats.org/drawingml/2006/picture">
            <wp:extent cx="5580000" cy="6436772"/>
            <wp:docPr id="41" name="Picture 41"/>
            <wp:cNvGraphicFramePr>
              <a:graphicFrameLocks noChangeAspect="1"/>
            </wp:cNvGraphicFramePr>
            <a:graphic>
              <a:graphicData uri="http://schemas.openxmlformats.org/drawingml/2006/picture">
                <pic:pic>
                  <pic:nvPicPr>
                    <pic:cNvPr id="0" name="besoins_metier.png"/>
                    <pic:cNvPicPr/>
                  </pic:nvPicPr>
                  <pic:blipFill>
                    <a:blip r:embed="rId15"/>
                    <a:stretch>
                      <a:fillRect/>
                    </a:stretch>
                  </pic:blipFill>
                  <pic:spPr>
                    <a:xfrm>
                      <a:off x="0" y="0"/>
                      <a:ext cx="5580000" cy="6436772"/>
                    </a:xfrm>
                    <a:prstGeom prst="rect"/>
                  </pic:spPr>
                </pic:pic>
              </a:graphicData>
            </a:graphic>
          </wp:inline>
        </w:drawing>
      </w:r>
    </w:p>
    <w:p>
      <w:pPr>
        <w:pStyle w:val="Légendefigure"/>
        <w:spacing w:before="40" w:after="240"/>
        <w:jc w:val="center"/>
      </w:pPr>
      <w:r>
        <w:rPr>
          <w:i/>
          <w:sz w:val="20"/>
        </w:rPr>
        <w:t>Figure II.3 — Diagramme des cas d'utilisation.</w:t>
      </w:r>
    </w:p>
    <w:p>
      <w:pPr>
        <w:spacing w:before="0" w:after="120" w:line="360" w:lineRule="auto"/>
        <w:jc w:val="both"/>
      </w:pPr>
      <w:r>
        <w:rPr>
          <w:sz w:val="24"/>
        </w:rPr>
        <w:t>Le diagramme ne dit pas comment chaque cas se déroule. Les trois cas les plus structurants sont donc décrits sous forme textuelle (tableaux II.10 à II.12).</w:t>
      </w:r>
    </w:p>
    <w:p>
      <w:pPr>
        <w:pStyle w:val="Légendetableau"/>
        <w:keepNext/>
        <w:spacing w:before="200" w:after="80"/>
        <w:jc w:val="center"/>
      </w:pPr>
      <w:r>
        <w:rPr>
          <w:b/>
          <w:sz w:val="20"/>
        </w:rPr>
        <w:t>Tableau II.10 — Cas n° 1 : soumettre une opération au scoring.</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1986"/>
        <w:gridCol w:w="7403"/>
      </w:tblGrid>
      <w:tr>
        <w:trPr>
          <w:tblHeader w:val="true"/>
        </w:trPr>
        <w:tc>
          <w:tcPr>
            <w:tcW w:type="dxa" w:w="1986"/>
            <w:shd w:val="clear" w:color="auto" w:fill="D9E2F3"/>
          </w:tcPr>
          <w:p>
            <w:pPr>
              <w:spacing w:after="20" w:before="20" w:line="240" w:lineRule="auto"/>
              <w:jc w:val="left"/>
            </w:pPr>
            <w:r/>
            <w:r>
              <w:rPr>
                <w:b/>
                <w:sz w:val="20"/>
              </w:rPr>
              <w:t>Rubrique</w:t>
            </w:r>
          </w:p>
        </w:tc>
        <w:tc>
          <w:tcPr>
            <w:tcW w:type="dxa" w:w="7403"/>
            <w:shd w:val="clear" w:color="auto" w:fill="D9E2F3"/>
          </w:tcPr>
          <w:p>
            <w:pPr>
              <w:spacing w:after="20" w:before="20" w:line="240" w:lineRule="auto"/>
              <w:jc w:val="left"/>
            </w:pPr>
            <w:r/>
            <w:r>
              <w:rPr>
                <w:b/>
                <w:sz w:val="20"/>
              </w:rPr>
              <w:t>Description</w:t>
            </w:r>
          </w:p>
        </w:tc>
      </w:tr>
      <w:tr>
        <w:trPr>
          <w:cantSplit w:val="true"/>
        </w:trPr>
        <w:tc>
          <w:tcPr>
            <w:tcW w:type="dxa" w:w="1986"/>
          </w:tcPr>
          <w:p>
            <w:pPr>
              <w:spacing w:after="20" w:before="20" w:line="240" w:lineRule="auto"/>
              <w:jc w:val="left"/>
            </w:pPr>
            <w:r/>
            <w:r>
              <w:rPr>
                <w:sz w:val="20"/>
              </w:rPr>
              <w:t>Acteur principal</w:t>
            </w:r>
          </w:p>
        </w:tc>
        <w:tc>
          <w:tcPr>
            <w:tcW w:type="dxa" w:w="7403"/>
          </w:tcPr>
          <w:p>
            <w:pPr>
              <w:spacing w:after="20" w:before="20" w:line="240" w:lineRule="auto"/>
              <w:jc w:val="left"/>
            </w:pPr>
            <w:r/>
            <w:r>
              <w:rPr>
                <w:sz w:val="20"/>
              </w:rPr>
              <w:t>Opérateur Mobile Money (ou émetteur Visa, banque partenaire)</w:t>
            </w:r>
          </w:p>
        </w:tc>
      </w:tr>
      <w:tr>
        <w:trPr>
          <w:cantSplit w:val="true"/>
        </w:trPr>
        <w:tc>
          <w:tcPr>
            <w:tcW w:type="dxa" w:w="1986"/>
          </w:tcPr>
          <w:p>
            <w:pPr>
              <w:spacing w:after="20" w:before="20" w:line="240" w:lineRule="auto"/>
              <w:jc w:val="left"/>
            </w:pPr>
            <w:r/>
            <w:r>
              <w:rPr>
                <w:sz w:val="20"/>
              </w:rPr>
              <w:t>Objectif</w:t>
            </w:r>
          </w:p>
        </w:tc>
        <w:tc>
          <w:tcPr>
            <w:tcW w:type="dxa" w:w="7403"/>
          </w:tcPr>
          <w:p>
            <w:pPr>
              <w:spacing w:after="20" w:before="20" w:line="240" w:lineRule="auto"/>
              <w:jc w:val="left"/>
            </w:pPr>
            <w:r/>
            <w:r>
              <w:rPr>
                <w:sz w:val="20"/>
              </w:rPr>
              <w:t>Obtenir une décision sur une opération avant de l'exécuter</w:t>
            </w:r>
          </w:p>
        </w:tc>
      </w:tr>
      <w:tr>
        <w:trPr>
          <w:cantSplit w:val="true"/>
        </w:trPr>
        <w:tc>
          <w:tcPr>
            <w:tcW w:type="dxa" w:w="1986"/>
          </w:tcPr>
          <w:p>
            <w:pPr>
              <w:spacing w:after="20" w:before="20" w:line="240" w:lineRule="auto"/>
              <w:jc w:val="left"/>
            </w:pPr>
            <w:r/>
            <w:r>
              <w:rPr>
                <w:sz w:val="20"/>
              </w:rPr>
              <w:t>Préconditions</w:t>
            </w:r>
          </w:p>
        </w:tc>
        <w:tc>
          <w:tcPr>
            <w:tcW w:type="dxa" w:w="7403"/>
          </w:tcPr>
          <w:p>
            <w:pPr>
              <w:spacing w:after="20" w:before="20" w:line="240" w:lineRule="auto"/>
              <w:jc w:val="left"/>
            </w:pPr>
            <w:r/>
            <w:r>
              <w:rPr>
                <w:sz w:val="20"/>
              </w:rPr>
              <w:t>L'institution dispose d'une clé d'API active, du droit « transactions » et n'a pas dépassé son quota de débit</w:t>
            </w:r>
          </w:p>
        </w:tc>
      </w:tr>
      <w:tr>
        <w:trPr>
          <w:cantSplit w:val="true"/>
        </w:trPr>
        <w:tc>
          <w:tcPr>
            <w:tcW w:type="dxa" w:w="1986"/>
          </w:tcPr>
          <w:p>
            <w:pPr>
              <w:spacing w:after="20" w:before="20" w:line="240" w:lineRule="auto"/>
              <w:jc w:val="left"/>
            </w:pPr>
            <w:r/>
            <w:r>
              <w:rPr>
                <w:sz w:val="20"/>
              </w:rPr>
              <w:t>Scénario nominal</w:t>
            </w:r>
          </w:p>
        </w:tc>
        <w:tc>
          <w:tcPr>
            <w:tcW w:type="dxa" w:w="7403"/>
          </w:tcPr>
          <w:p>
            <w:pPr>
              <w:spacing w:after="20" w:before="20" w:line="240" w:lineRule="auto"/>
              <w:jc w:val="left"/>
            </w:pPr>
            <w:r/>
            <w:r>
              <w:rPr>
                <w:sz w:val="20"/>
              </w:rPr>
              <w:t>1. L'institution envoie l'opération, au format commun ou dans son format natif. 2. Le système vérifie la clé, les droits et le quota. 3. Il convertit l'opération au format commun et la rattache à l'institution. 4. Il met à jour le profil du client et calcule les variables. 5. Il évalue les lois physiques, calcule la probabilité de fraude et le type probable. 6. Il choisit l'action de coût minimal, puis applique les règles métier. 7. Il renvoie la décision, le niveau de risque, le type probable et les motifs.</w:t>
            </w:r>
          </w:p>
        </w:tc>
      </w:tr>
      <w:tr>
        <w:trPr>
          <w:cantSplit w:val="true"/>
        </w:trPr>
        <w:tc>
          <w:tcPr>
            <w:tcW w:type="dxa" w:w="1986"/>
          </w:tcPr>
          <w:p>
            <w:pPr>
              <w:spacing w:after="20" w:before="20" w:line="240" w:lineRule="auto"/>
              <w:jc w:val="left"/>
            </w:pPr>
            <w:r/>
            <w:r>
              <w:rPr>
                <w:sz w:val="20"/>
              </w:rPr>
              <w:t>Scénarios alternatifs</w:t>
            </w:r>
          </w:p>
        </w:tc>
        <w:tc>
          <w:tcPr>
            <w:tcW w:type="dxa" w:w="7403"/>
          </w:tcPr>
          <w:p>
            <w:pPr>
              <w:spacing w:after="20" w:before="20" w:line="240" w:lineRule="auto"/>
              <w:jc w:val="left"/>
            </w:pPr>
            <w:r/>
            <w:r>
              <w:rPr>
                <w:sz w:val="20"/>
              </w:rPr>
              <w:t>2a. Clé absente, invalide ou révoquée : refus (401 ou 403). 2b. Quota dépassé : refus (429) avec le délai d'attente. 3a. Format non reconnu : refus (422). 4a. Opération déjà reçue : renvoi de la décision d'origine (RG-03). 5a. Service de notation indisponible : politique de repli (BT-03).</w:t>
            </w:r>
          </w:p>
        </w:tc>
      </w:tr>
      <w:tr>
        <w:trPr>
          <w:cantSplit w:val="true"/>
        </w:trPr>
        <w:tc>
          <w:tcPr>
            <w:tcW w:type="dxa" w:w="1986"/>
          </w:tcPr>
          <w:p>
            <w:pPr>
              <w:spacing w:after="20" w:before="20" w:line="240" w:lineRule="auto"/>
              <w:jc w:val="left"/>
            </w:pPr>
            <w:r/>
            <w:r>
              <w:rPr>
                <w:sz w:val="20"/>
              </w:rPr>
              <w:t>Postconditions</w:t>
            </w:r>
          </w:p>
        </w:tc>
        <w:tc>
          <w:tcPr>
            <w:tcW w:type="dxa" w:w="7403"/>
          </w:tcPr>
          <w:p>
            <w:pPr>
              <w:spacing w:after="20" w:before="20" w:line="240" w:lineRule="auto"/>
              <w:jc w:val="left"/>
            </w:pPr>
            <w:r/>
            <w:r>
              <w:rPr>
                <w:sz w:val="20"/>
              </w:rPr>
              <w:t>L'opération et sa décision sont publiées dans le bus d'événements ; si la décision est VERIFY ou BLOCK, un dossier est ouvert (RG-12).</w:t>
            </w:r>
          </w:p>
        </w:tc>
      </w:tr>
      <w:tr>
        <w:trPr>
          <w:cantSplit w:val="true"/>
        </w:trPr>
        <w:tc>
          <w:tcPr>
            <w:tcW w:type="dxa" w:w="1986"/>
          </w:tcPr>
          <w:p>
            <w:pPr>
              <w:spacing w:after="20" w:before="20" w:line="240" w:lineRule="auto"/>
              <w:jc w:val="left"/>
            </w:pPr>
            <w:r/>
            <w:r>
              <w:rPr>
                <w:sz w:val="20"/>
              </w:rPr>
              <w:t>Exigences liées</w:t>
            </w:r>
          </w:p>
        </w:tc>
        <w:tc>
          <w:tcPr>
            <w:tcW w:type="dxa" w:w="7403"/>
          </w:tcPr>
          <w:p>
            <w:pPr>
              <w:spacing w:after="20" w:before="20" w:line="240" w:lineRule="auto"/>
              <w:jc w:val="left"/>
            </w:pPr>
            <w:r/>
            <w:r>
              <w:rPr>
                <w:sz w:val="20"/>
              </w:rPr>
              <w:t>BM-01 à BM-06, BM-11 ; BT-01, BT-04, BT-06, BT-20, BT-28</w:t>
            </w:r>
          </w:p>
        </w:tc>
      </w:tr>
    </w:tbl>
    <w:p>
      <w:pPr>
        <w:spacing w:after="120"/>
      </w:pPr>
    </w:p>
    <w:p>
      <w:pPr>
        <w:pStyle w:val="Légendetableau"/>
        <w:keepNext/>
        <w:spacing w:before="200" w:after="80"/>
        <w:jc w:val="center"/>
      </w:pPr>
      <w:r>
        <w:rPr>
          <w:b/>
          <w:sz w:val="20"/>
        </w:rPr>
        <w:t>Tableau II.11 — Cas n° 2 : traiter un dossier d'alerte.</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1986"/>
        <w:gridCol w:w="7403"/>
      </w:tblGrid>
      <w:tr>
        <w:trPr>
          <w:tblHeader w:val="true"/>
        </w:trPr>
        <w:tc>
          <w:tcPr>
            <w:tcW w:type="dxa" w:w="1986"/>
            <w:shd w:val="clear" w:color="auto" w:fill="D9E2F3"/>
          </w:tcPr>
          <w:p>
            <w:pPr>
              <w:spacing w:after="20" w:before="20" w:line="240" w:lineRule="auto"/>
              <w:jc w:val="left"/>
            </w:pPr>
            <w:r/>
            <w:r>
              <w:rPr>
                <w:b/>
                <w:sz w:val="20"/>
              </w:rPr>
              <w:t>Rubrique</w:t>
            </w:r>
          </w:p>
        </w:tc>
        <w:tc>
          <w:tcPr>
            <w:tcW w:type="dxa" w:w="7403"/>
            <w:shd w:val="clear" w:color="auto" w:fill="D9E2F3"/>
          </w:tcPr>
          <w:p>
            <w:pPr>
              <w:spacing w:after="20" w:before="20" w:line="240" w:lineRule="auto"/>
              <w:jc w:val="left"/>
            </w:pPr>
            <w:r/>
            <w:r>
              <w:rPr>
                <w:b/>
                <w:sz w:val="20"/>
              </w:rPr>
              <w:t>Description</w:t>
            </w:r>
          </w:p>
        </w:tc>
      </w:tr>
      <w:tr>
        <w:trPr>
          <w:cantSplit w:val="true"/>
        </w:trPr>
        <w:tc>
          <w:tcPr>
            <w:tcW w:type="dxa" w:w="1986"/>
          </w:tcPr>
          <w:p>
            <w:pPr>
              <w:spacing w:after="20" w:before="20" w:line="240" w:lineRule="auto"/>
              <w:jc w:val="left"/>
            </w:pPr>
            <w:r/>
            <w:r>
              <w:rPr>
                <w:sz w:val="20"/>
              </w:rPr>
              <w:t>Acteur principal</w:t>
            </w:r>
          </w:p>
        </w:tc>
        <w:tc>
          <w:tcPr>
            <w:tcW w:type="dxa" w:w="7403"/>
          </w:tcPr>
          <w:p>
            <w:pPr>
              <w:spacing w:after="20" w:before="20" w:line="240" w:lineRule="auto"/>
              <w:jc w:val="left"/>
            </w:pPr>
            <w:r/>
            <w:r>
              <w:rPr>
                <w:sz w:val="20"/>
              </w:rPr>
              <w:t>Analyste anti-fraude (ou superviseur)</w:t>
            </w:r>
          </w:p>
        </w:tc>
      </w:tr>
      <w:tr>
        <w:trPr>
          <w:cantSplit w:val="true"/>
        </w:trPr>
        <w:tc>
          <w:tcPr>
            <w:tcW w:type="dxa" w:w="1986"/>
          </w:tcPr>
          <w:p>
            <w:pPr>
              <w:spacing w:after="20" w:before="20" w:line="240" w:lineRule="auto"/>
              <w:jc w:val="left"/>
            </w:pPr>
            <w:r/>
            <w:r>
              <w:rPr>
                <w:sz w:val="20"/>
              </w:rPr>
              <w:t>Objectif</w:t>
            </w:r>
          </w:p>
        </w:tc>
        <w:tc>
          <w:tcPr>
            <w:tcW w:type="dxa" w:w="7403"/>
          </w:tcPr>
          <w:p>
            <w:pPr>
              <w:spacing w:after="20" w:before="20" w:line="240" w:lineRule="auto"/>
              <w:jc w:val="left"/>
            </w:pPr>
            <w:r/>
            <w:r>
              <w:rPr>
                <w:sz w:val="20"/>
              </w:rPr>
              <w:t>Établir si une opération signalée est une fraude</w:t>
            </w:r>
          </w:p>
        </w:tc>
      </w:tr>
      <w:tr>
        <w:trPr>
          <w:cantSplit w:val="true"/>
        </w:trPr>
        <w:tc>
          <w:tcPr>
            <w:tcW w:type="dxa" w:w="1986"/>
          </w:tcPr>
          <w:p>
            <w:pPr>
              <w:spacing w:after="20" w:before="20" w:line="240" w:lineRule="auto"/>
              <w:jc w:val="left"/>
            </w:pPr>
            <w:r/>
            <w:r>
              <w:rPr>
                <w:sz w:val="20"/>
              </w:rPr>
              <w:t>Préconditions</w:t>
            </w:r>
          </w:p>
        </w:tc>
        <w:tc>
          <w:tcPr>
            <w:tcW w:type="dxa" w:w="7403"/>
          </w:tcPr>
          <w:p>
            <w:pPr>
              <w:spacing w:after="20" w:before="20" w:line="240" w:lineRule="auto"/>
              <w:jc w:val="left"/>
            </w:pPr>
            <w:r/>
            <w:r>
              <w:rPr>
                <w:sz w:val="20"/>
              </w:rPr>
              <w:t>L'analyste est authentifié ; au moins un dossier est ouvert</w:t>
            </w:r>
          </w:p>
        </w:tc>
      </w:tr>
      <w:tr>
        <w:trPr>
          <w:cantSplit w:val="true"/>
        </w:trPr>
        <w:tc>
          <w:tcPr>
            <w:tcW w:type="dxa" w:w="1986"/>
          </w:tcPr>
          <w:p>
            <w:pPr>
              <w:spacing w:after="20" w:before="20" w:line="240" w:lineRule="auto"/>
              <w:jc w:val="left"/>
            </w:pPr>
            <w:r/>
            <w:r>
              <w:rPr>
                <w:sz w:val="20"/>
              </w:rPr>
              <w:t>Scénario nominal</w:t>
            </w:r>
          </w:p>
        </w:tc>
        <w:tc>
          <w:tcPr>
            <w:tcW w:type="dxa" w:w="7403"/>
          </w:tcPr>
          <w:p>
            <w:pPr>
              <w:spacing w:after="20" w:before="20" w:line="240" w:lineRule="auto"/>
              <w:jc w:val="left"/>
            </w:pPr>
            <w:r/>
            <w:r>
              <w:rPr>
                <w:sz w:val="20"/>
              </w:rPr>
              <w:t>1. L'analyste consulte la file des dossiers, triée par niveau de risque puis par montant. 2. Il ouvre un dossier, qui passe au statut EN_COURS et lui est affecté. 3. Il consulte l'explication : variables déterminantes, contribution de chaque composante du modèle, lois physiques, historique récent, cas passés similaires, réseau du compte et procédure recommandée. 4. Il rend son verdict (FRAUDE_CONFIRMEE ou FAUX_POSITIF) avec une note de résolution. 5. Le système enregistre l'étiquette et journalise l'action.</w:t>
            </w:r>
          </w:p>
        </w:tc>
      </w:tr>
      <w:tr>
        <w:trPr>
          <w:cantSplit w:val="true"/>
        </w:trPr>
        <w:tc>
          <w:tcPr>
            <w:tcW w:type="dxa" w:w="1986"/>
          </w:tcPr>
          <w:p>
            <w:pPr>
              <w:spacing w:after="20" w:before="20" w:line="240" w:lineRule="auto"/>
              <w:jc w:val="left"/>
            </w:pPr>
            <w:r/>
            <w:r>
              <w:rPr>
                <w:sz w:val="20"/>
              </w:rPr>
              <w:t>Scénarios alternatifs</w:t>
            </w:r>
          </w:p>
        </w:tc>
        <w:tc>
          <w:tcPr>
            <w:tcW w:type="dxa" w:w="7403"/>
          </w:tcPr>
          <w:p>
            <w:pPr>
              <w:spacing w:after="20" w:before="20" w:line="240" w:lineRule="auto"/>
              <w:jc w:val="left"/>
            </w:pPr>
            <w:r/>
            <w:r>
              <w:rPr>
                <w:sz w:val="20"/>
              </w:rPr>
              <w:t>4a. Note absente : refus de la clôture (RG-13). 4b. Faux positif sur une opération bloquée d'au moins 500 USD : le verdict devient une demande en attente d'un second validateur (RG-19). 2a. Le superviseur réaffecte le dossier (RG-14).</w:t>
            </w:r>
          </w:p>
        </w:tc>
      </w:tr>
      <w:tr>
        <w:trPr>
          <w:cantSplit w:val="true"/>
        </w:trPr>
        <w:tc>
          <w:tcPr>
            <w:tcW w:type="dxa" w:w="1986"/>
          </w:tcPr>
          <w:p>
            <w:pPr>
              <w:spacing w:after="20" w:before="20" w:line="240" w:lineRule="auto"/>
              <w:jc w:val="left"/>
            </w:pPr>
            <w:r/>
            <w:r>
              <w:rPr>
                <w:sz w:val="20"/>
              </w:rPr>
              <w:t>Postconditions</w:t>
            </w:r>
          </w:p>
        </w:tc>
        <w:tc>
          <w:tcPr>
            <w:tcW w:type="dxa" w:w="7403"/>
          </w:tcPr>
          <w:p>
            <w:pPr>
              <w:spacing w:after="20" w:before="20" w:line="240" w:lineRule="auto"/>
              <w:jc w:val="left"/>
            </w:pPr>
            <w:r/>
            <w:r>
              <w:rPr>
                <w:sz w:val="20"/>
              </w:rPr>
              <w:t>Le dossier est clos ; l'étiquette est disponible pour le réentraînement ; l'action figure au journal d'audit.</w:t>
            </w:r>
          </w:p>
        </w:tc>
      </w:tr>
      <w:tr>
        <w:trPr>
          <w:cantSplit w:val="true"/>
        </w:trPr>
        <w:tc>
          <w:tcPr>
            <w:tcW w:type="dxa" w:w="1986"/>
          </w:tcPr>
          <w:p>
            <w:pPr>
              <w:spacing w:after="20" w:before="20" w:line="240" w:lineRule="auto"/>
              <w:jc w:val="left"/>
            </w:pPr>
            <w:r/>
            <w:r>
              <w:rPr>
                <w:sz w:val="20"/>
              </w:rPr>
              <w:t>Exigences liées</w:t>
            </w:r>
          </w:p>
        </w:tc>
        <w:tc>
          <w:tcPr>
            <w:tcW w:type="dxa" w:w="7403"/>
          </w:tcPr>
          <w:p>
            <w:pPr>
              <w:spacing w:after="20" w:before="20" w:line="240" w:lineRule="auto"/>
              <w:jc w:val="left"/>
            </w:pPr>
            <w:r/>
            <w:r>
              <w:rPr>
                <w:sz w:val="20"/>
              </w:rPr>
              <w:t>BM-06, BM-07, BM-15, BM-17, BM-22, BM-26</w:t>
            </w:r>
          </w:p>
        </w:tc>
      </w:tr>
    </w:tbl>
    <w:p>
      <w:pPr>
        <w:spacing w:after="120"/>
      </w:pPr>
    </w:p>
    <w:p>
      <w:pPr>
        <w:pStyle w:val="Légendetableau"/>
        <w:keepNext/>
        <w:spacing w:before="200" w:after="80"/>
        <w:jc w:val="center"/>
      </w:pPr>
      <w:r>
        <w:rPr>
          <w:b/>
          <w:sz w:val="20"/>
        </w:rPr>
        <w:t>Tableau II.12 — Cas n° 3 : déclencher le réentraînement du modèle.</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1776"/>
        <w:gridCol w:w="7613"/>
      </w:tblGrid>
      <w:tr>
        <w:trPr>
          <w:tblHeader w:val="true"/>
        </w:trPr>
        <w:tc>
          <w:tcPr>
            <w:tcW w:type="dxa" w:w="1776"/>
            <w:shd w:val="clear" w:color="auto" w:fill="D9E2F3"/>
          </w:tcPr>
          <w:p>
            <w:pPr>
              <w:spacing w:after="20" w:before="20" w:line="240" w:lineRule="auto"/>
              <w:jc w:val="left"/>
            </w:pPr>
            <w:r/>
            <w:r>
              <w:rPr>
                <w:b/>
                <w:sz w:val="20"/>
              </w:rPr>
              <w:t>Rubrique</w:t>
            </w:r>
          </w:p>
        </w:tc>
        <w:tc>
          <w:tcPr>
            <w:tcW w:type="dxa" w:w="7613"/>
            <w:shd w:val="clear" w:color="auto" w:fill="D9E2F3"/>
          </w:tcPr>
          <w:p>
            <w:pPr>
              <w:spacing w:after="20" w:before="20" w:line="240" w:lineRule="auto"/>
              <w:jc w:val="left"/>
            </w:pPr>
            <w:r/>
            <w:r>
              <w:rPr>
                <w:b/>
                <w:sz w:val="20"/>
              </w:rPr>
              <w:t>Description</w:t>
            </w:r>
          </w:p>
        </w:tc>
      </w:tr>
      <w:tr>
        <w:trPr>
          <w:cantSplit w:val="true"/>
        </w:trPr>
        <w:tc>
          <w:tcPr>
            <w:tcW w:type="dxa" w:w="1776"/>
          </w:tcPr>
          <w:p>
            <w:pPr>
              <w:spacing w:after="20" w:before="20" w:line="240" w:lineRule="auto"/>
              <w:jc w:val="left"/>
            </w:pPr>
            <w:r/>
            <w:r>
              <w:rPr>
                <w:sz w:val="20"/>
              </w:rPr>
              <w:t>Acteur principal</w:t>
            </w:r>
          </w:p>
        </w:tc>
        <w:tc>
          <w:tcPr>
            <w:tcW w:type="dxa" w:w="7613"/>
          </w:tcPr>
          <w:p>
            <w:pPr>
              <w:spacing w:after="20" w:before="20" w:line="240" w:lineRule="auto"/>
              <w:jc w:val="left"/>
            </w:pPr>
            <w:r/>
            <w:r>
              <w:rPr>
                <w:sz w:val="20"/>
              </w:rPr>
              <w:t>Superviseur (déclenchement manuel) ou planificateur (déclenchement automatique)</w:t>
            </w:r>
          </w:p>
        </w:tc>
      </w:tr>
      <w:tr>
        <w:trPr>
          <w:cantSplit w:val="true"/>
        </w:trPr>
        <w:tc>
          <w:tcPr>
            <w:tcW w:type="dxa" w:w="1776"/>
          </w:tcPr>
          <w:p>
            <w:pPr>
              <w:spacing w:after="20" w:before="20" w:line="240" w:lineRule="auto"/>
              <w:jc w:val="left"/>
            </w:pPr>
            <w:r/>
            <w:r>
              <w:rPr>
                <w:sz w:val="20"/>
              </w:rPr>
              <w:t>Objectif</w:t>
            </w:r>
          </w:p>
        </w:tc>
        <w:tc>
          <w:tcPr>
            <w:tcW w:type="dxa" w:w="7613"/>
          </w:tcPr>
          <w:p>
            <w:pPr>
              <w:spacing w:after="20" w:before="20" w:line="240" w:lineRule="auto"/>
              <w:jc w:val="left"/>
            </w:pPr>
            <w:r/>
            <w:r>
              <w:rPr>
                <w:sz w:val="20"/>
              </w:rPr>
              <w:t>Adapter le modèle aux fraudes nouvelles</w:t>
            </w:r>
          </w:p>
        </w:tc>
      </w:tr>
      <w:tr>
        <w:trPr>
          <w:cantSplit w:val="true"/>
        </w:trPr>
        <w:tc>
          <w:tcPr>
            <w:tcW w:type="dxa" w:w="1776"/>
          </w:tcPr>
          <w:p>
            <w:pPr>
              <w:spacing w:after="20" w:before="20" w:line="240" w:lineRule="auto"/>
              <w:jc w:val="left"/>
            </w:pPr>
            <w:r/>
            <w:r>
              <w:rPr>
                <w:sz w:val="20"/>
              </w:rPr>
              <w:t>Scénario nominal</w:t>
            </w:r>
          </w:p>
        </w:tc>
        <w:tc>
          <w:tcPr>
            <w:tcW w:type="dxa" w:w="7613"/>
          </w:tcPr>
          <w:p>
            <w:pPr>
              <w:spacing w:after="20" w:before="20" w:line="240" w:lineRule="auto"/>
              <w:jc w:val="left"/>
            </w:pPr>
            <w:r/>
            <w:r>
              <w:rPr>
                <w:sz w:val="20"/>
              </w:rPr>
              <w:t>1. Un signal est constaté : nouvelles étiquettes, dérive des données, comportements nouveaux, ou demande du superviseur. 2. Le planificateur vérifie le délai de carence. 3. Un modèle candidat (</w:t>
            </w:r>
            <w:r>
              <w:rPr>
                <w:i/>
                <w:sz w:val="20"/>
              </w:rPr>
              <w:t>challenger</w:t>
            </w:r>
            <w:r>
              <w:rPr>
                <w:sz w:val="20"/>
              </w:rPr>
              <w:t>) est entraîné, les verdicts vérifiés pesant trois fois les étiquettes supposées. 4. Il est soumis aux contrôles de qualité. 5. S'il est meilleur que le modèle en service (</w:t>
            </w:r>
            <w:r>
              <w:rPr>
                <w:i/>
                <w:sz w:val="20"/>
              </w:rPr>
              <w:t>champion</w:t>
            </w:r>
            <w:r>
              <w:rPr>
                <w:sz w:val="20"/>
              </w:rPr>
              <w:t>), il est promu et chargé à chaud.</w:t>
            </w:r>
          </w:p>
        </w:tc>
      </w:tr>
      <w:tr>
        <w:trPr>
          <w:cantSplit w:val="true"/>
        </w:trPr>
        <w:tc>
          <w:tcPr>
            <w:tcW w:type="dxa" w:w="1776"/>
          </w:tcPr>
          <w:p>
            <w:pPr>
              <w:spacing w:after="20" w:before="20" w:line="240" w:lineRule="auto"/>
              <w:jc w:val="left"/>
            </w:pPr>
            <w:r/>
            <w:r>
              <w:rPr>
                <w:sz w:val="20"/>
              </w:rPr>
              <w:t>Scénarios alternatifs</w:t>
            </w:r>
          </w:p>
        </w:tc>
        <w:tc>
          <w:tcPr>
            <w:tcW w:type="dxa" w:w="7613"/>
          </w:tcPr>
          <w:p>
            <w:pPr>
              <w:spacing w:after="20" w:before="20" w:line="240" w:lineRule="auto"/>
              <w:jc w:val="left"/>
            </w:pPr>
            <w:r/>
            <w:r>
              <w:rPr>
                <w:sz w:val="20"/>
              </w:rPr>
              <w:t>4a. Échec d'un contrôle : le candidat est rejeté et une alerte est levée ; le champion reste en service (RG-18).</w:t>
            </w:r>
          </w:p>
        </w:tc>
      </w:tr>
      <w:tr>
        <w:trPr>
          <w:cantSplit w:val="true"/>
        </w:trPr>
        <w:tc>
          <w:tcPr>
            <w:tcW w:type="dxa" w:w="1776"/>
          </w:tcPr>
          <w:p>
            <w:pPr>
              <w:spacing w:after="20" w:before="20" w:line="240" w:lineRule="auto"/>
              <w:jc w:val="left"/>
            </w:pPr>
            <w:r/>
            <w:r>
              <w:rPr>
                <w:sz w:val="20"/>
              </w:rPr>
              <w:t>Exigences liées</w:t>
            </w:r>
          </w:p>
        </w:tc>
        <w:tc>
          <w:tcPr>
            <w:tcW w:type="dxa" w:w="7613"/>
          </w:tcPr>
          <w:p>
            <w:pPr>
              <w:spacing w:after="20" w:before="20" w:line="240" w:lineRule="auto"/>
              <w:jc w:val="left"/>
            </w:pPr>
            <w:r/>
            <w:r>
              <w:rPr>
                <w:sz w:val="20"/>
              </w:rPr>
              <w:t>BM-15, BM-16, BM-23, BT-16, BT-17</w:t>
            </w:r>
          </w:p>
        </w:tc>
      </w:tr>
    </w:tbl>
    <w:p>
      <w:pPr>
        <w:spacing w:after="120"/>
      </w:pPr>
    </w:p>
    <w:p>
      <w:pPr>
        <w:pStyle w:val="Titre4"/>
        <w:keepNext/>
        <w:numPr>
          <w:numId w:val="0"/>
        </w:numPr>
        <w:spacing w:before="200" w:after="120"/>
        <w:ind w:left="0" w:firstLine="0"/>
        <w:jc w:val="left"/>
      </w:pPr>
      <w:r>
        <w:rPr>
          <w:b/>
          <w:i/>
          <w:color w:val="000000"/>
          <w:sz w:val="25"/>
        </w:rPr>
        <w:t>1.10 Priorisation et traçabilité des besoins</w:t>
      </w:r>
    </w:p>
    <w:p>
      <w:pPr>
        <w:spacing w:before="0" w:after="120" w:line="360" w:lineRule="auto"/>
        <w:jc w:val="both"/>
      </w:pPr>
      <w:r>
        <w:rPr>
          <w:sz w:val="24"/>
        </w:rPr>
        <w:t xml:space="preserve">Les besoins ont été priorisés par la méthode </w:t>
      </w:r>
      <w:r>
        <w:rPr>
          <w:b/>
          <w:sz w:val="24"/>
        </w:rPr>
        <w:t>MoSCoW</w:t>
      </w:r>
      <w:r>
        <w:rPr>
          <w:sz w:val="24"/>
        </w:rPr>
        <w:t>, qui distingue l'indispensable (</w:t>
      </w:r>
      <w:r>
        <w:rPr>
          <w:i/>
          <w:sz w:val="24"/>
        </w:rPr>
        <w:t>Must</w:t>
      </w:r>
      <w:r>
        <w:rPr>
          <w:sz w:val="24"/>
        </w:rPr>
        <w:t>), l'important (</w:t>
      </w:r>
      <w:r>
        <w:rPr>
          <w:i/>
          <w:sz w:val="24"/>
        </w:rPr>
        <w:t>Should</w:t>
      </w:r>
      <w:r>
        <w:rPr>
          <w:sz w:val="24"/>
        </w:rPr>
        <w:t>), le souhaitable (</w:t>
      </w:r>
      <w:r>
        <w:rPr>
          <w:i/>
          <w:sz w:val="24"/>
        </w:rPr>
        <w:t>Could</w:t>
      </w:r>
      <w:r>
        <w:rPr>
          <w:sz w:val="24"/>
        </w:rPr>
        <w:t>) et ce qui est hors périmètre pour l'instant (</w:t>
      </w:r>
      <w:r>
        <w:rPr>
          <w:i/>
          <w:sz w:val="24"/>
        </w:rPr>
        <w:t>Won't</w:t>
      </w:r>
      <w:r>
        <w:rPr>
          <w:sz w:val="24"/>
        </w:rPr>
        <w:t>). Cette priorisation a guidé l'ordre de réalisation (tableau II.13).</w:t>
      </w:r>
    </w:p>
    <w:p>
      <w:pPr>
        <w:pStyle w:val="Légendetableau"/>
        <w:keepNext/>
        <w:spacing w:before="200" w:after="80"/>
        <w:jc w:val="center"/>
      </w:pPr>
      <w:r>
        <w:rPr>
          <w:b/>
          <w:sz w:val="20"/>
        </w:rPr>
        <w:t>Tableau II.13 — Priorisation MoSCoW.</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2399"/>
        <w:gridCol w:w="6990"/>
      </w:tblGrid>
      <w:tr>
        <w:trPr>
          <w:tblHeader w:val="true"/>
        </w:trPr>
        <w:tc>
          <w:tcPr>
            <w:tcW w:type="dxa" w:w="2399"/>
            <w:shd w:val="clear" w:color="auto" w:fill="D9E2F3"/>
          </w:tcPr>
          <w:p>
            <w:pPr>
              <w:spacing w:after="20" w:before="20" w:line="240" w:lineRule="auto"/>
              <w:jc w:val="left"/>
            </w:pPr>
            <w:r/>
            <w:r>
              <w:rPr>
                <w:b/>
                <w:sz w:val="20"/>
              </w:rPr>
              <w:t>Priorité</w:t>
            </w:r>
          </w:p>
        </w:tc>
        <w:tc>
          <w:tcPr>
            <w:tcW w:type="dxa" w:w="6990"/>
            <w:shd w:val="clear" w:color="auto" w:fill="D9E2F3"/>
          </w:tcPr>
          <w:p>
            <w:pPr>
              <w:spacing w:after="20" w:before="20" w:line="240" w:lineRule="auto"/>
              <w:jc w:val="left"/>
            </w:pPr>
            <w:r/>
            <w:r>
              <w:rPr>
                <w:b/>
                <w:sz w:val="20"/>
              </w:rPr>
              <w:t>Besoins</w:t>
            </w:r>
          </w:p>
        </w:tc>
      </w:tr>
      <w:tr>
        <w:trPr>
          <w:cantSplit w:val="true"/>
        </w:trPr>
        <w:tc>
          <w:tcPr>
            <w:tcW w:type="dxa" w:w="2399"/>
          </w:tcPr>
          <w:p>
            <w:pPr>
              <w:spacing w:after="20" w:before="20" w:line="240" w:lineRule="auto"/>
              <w:jc w:val="left"/>
            </w:pPr>
            <w:r/>
            <w:r>
              <w:rPr>
                <w:b/>
                <w:sz w:val="20"/>
              </w:rPr>
              <w:t>Indispensable</w:t>
            </w:r>
            <w:r>
              <w:rPr>
                <w:sz w:val="20"/>
              </w:rPr>
              <w:t xml:space="preserve"> (</w:t>
            </w:r>
            <w:r>
              <w:rPr>
                <w:i/>
                <w:sz w:val="20"/>
              </w:rPr>
              <w:t>Must</w:t>
            </w:r>
            <w:r>
              <w:rPr>
                <w:sz w:val="20"/>
              </w:rPr>
              <w:t>)</w:t>
            </w:r>
          </w:p>
        </w:tc>
        <w:tc>
          <w:tcPr>
            <w:tcW w:type="dxa" w:w="6990"/>
          </w:tcPr>
          <w:p>
            <w:pPr>
              <w:spacing w:after="20" w:before="20" w:line="240" w:lineRule="auto"/>
              <w:jc w:val="left"/>
            </w:pPr>
            <w:r/>
            <w:r>
              <w:rPr>
                <w:sz w:val="20"/>
              </w:rPr>
              <w:t>BM-01, BM-02, BM-03, BM-04, BM-06, BM-17, BT-01, BT-11, BT-13, BT-21, BT-22</w:t>
            </w:r>
          </w:p>
        </w:tc>
      </w:tr>
      <w:tr>
        <w:trPr>
          <w:cantSplit w:val="true"/>
        </w:trPr>
        <w:tc>
          <w:tcPr>
            <w:tcW w:type="dxa" w:w="2399"/>
          </w:tcPr>
          <w:p>
            <w:pPr>
              <w:spacing w:after="20" w:before="20" w:line="240" w:lineRule="auto"/>
              <w:jc w:val="left"/>
            </w:pPr>
            <w:r/>
            <w:r>
              <w:rPr>
                <w:b/>
                <w:sz w:val="20"/>
              </w:rPr>
              <w:t>Important</w:t>
            </w:r>
            <w:r>
              <w:rPr>
                <w:sz w:val="20"/>
              </w:rPr>
              <w:t xml:space="preserve"> (</w:t>
            </w:r>
            <w:r>
              <w:rPr>
                <w:i/>
                <w:sz w:val="20"/>
              </w:rPr>
              <w:t>Should</w:t>
            </w:r>
            <w:r>
              <w:rPr>
                <w:sz w:val="20"/>
              </w:rPr>
              <w:t>)</w:t>
            </w:r>
          </w:p>
        </w:tc>
        <w:tc>
          <w:tcPr>
            <w:tcW w:type="dxa" w:w="6990"/>
          </w:tcPr>
          <w:p>
            <w:pPr>
              <w:spacing w:after="20" w:before="20" w:line="240" w:lineRule="auto"/>
              <w:jc w:val="left"/>
            </w:pPr>
            <w:r/>
            <w:r>
              <w:rPr>
                <w:sz w:val="20"/>
              </w:rPr>
              <w:t>BM-05, BM-07, BM-08, BM-09, BM-11, BM-15, BM-19, BM-21, BM-26, BT-03, BT-04, BT-16, BT-17, BT-20, BT-28</w:t>
            </w:r>
          </w:p>
        </w:tc>
      </w:tr>
      <w:tr>
        <w:trPr>
          <w:cantSplit w:val="true"/>
        </w:trPr>
        <w:tc>
          <w:tcPr>
            <w:tcW w:type="dxa" w:w="2399"/>
          </w:tcPr>
          <w:p>
            <w:pPr>
              <w:spacing w:after="20" w:before="20" w:line="240" w:lineRule="auto"/>
              <w:jc w:val="left"/>
            </w:pPr>
            <w:r/>
            <w:r>
              <w:rPr>
                <w:b/>
                <w:sz w:val="20"/>
              </w:rPr>
              <w:t>Souhaitable</w:t>
            </w:r>
            <w:r>
              <w:rPr>
                <w:sz w:val="20"/>
              </w:rPr>
              <w:t xml:space="preserve"> (</w:t>
            </w:r>
            <w:r>
              <w:rPr>
                <w:i/>
                <w:sz w:val="20"/>
              </w:rPr>
              <w:t>Could</w:t>
            </w:r>
            <w:r>
              <w:rPr>
                <w:sz w:val="20"/>
              </w:rPr>
              <w:t>)</w:t>
            </w:r>
          </w:p>
        </w:tc>
        <w:tc>
          <w:tcPr>
            <w:tcW w:type="dxa" w:w="6990"/>
          </w:tcPr>
          <w:p>
            <w:pPr>
              <w:spacing w:after="20" w:before="20" w:line="240" w:lineRule="auto"/>
              <w:jc w:val="left"/>
            </w:pPr>
            <w:r/>
            <w:r>
              <w:rPr>
                <w:sz w:val="20"/>
              </w:rPr>
              <w:t>BM-10, BM-12, BM-13, BM-14, BM-16, BM-20, BM-22, BM-23, BM-24, BM-25, BT-19, BT-25, BT-29</w:t>
            </w:r>
          </w:p>
        </w:tc>
      </w:tr>
      <w:tr>
        <w:trPr>
          <w:cantSplit w:val="true"/>
        </w:trPr>
        <w:tc>
          <w:tcPr>
            <w:tcW w:type="dxa" w:w="2399"/>
          </w:tcPr>
          <w:p>
            <w:pPr>
              <w:spacing w:after="20" w:before="20" w:line="240" w:lineRule="auto"/>
              <w:jc w:val="left"/>
            </w:pPr>
            <w:r/>
            <w:r>
              <w:rPr>
                <w:b/>
                <w:sz w:val="20"/>
              </w:rPr>
              <w:t>Hors périmètre</w:t>
            </w:r>
            <w:r>
              <w:rPr>
                <w:sz w:val="20"/>
              </w:rPr>
              <w:t xml:space="preserve"> (</w:t>
            </w:r>
            <w:r>
              <w:rPr>
                <w:i/>
                <w:sz w:val="20"/>
              </w:rPr>
              <w:t>Won't</w:t>
            </w:r>
            <w:r>
              <w:rPr>
                <w:sz w:val="20"/>
              </w:rPr>
              <w:t>, pour l'instant)</w:t>
            </w:r>
          </w:p>
        </w:tc>
        <w:tc>
          <w:tcPr>
            <w:tcW w:type="dxa" w:w="6990"/>
          </w:tcPr>
          <w:p>
            <w:pPr>
              <w:spacing w:after="20" w:before="20" w:line="240" w:lineRule="auto"/>
              <w:jc w:val="left"/>
            </w:pPr>
            <w:r/>
            <w:r>
              <w:rPr>
                <w:sz w:val="20"/>
              </w:rPr>
              <w:t>Raccordement aux systèmes réels des opérateurs ; validation sur données réelles ; analyse de messages en lingala et en swahili</w:t>
            </w:r>
          </w:p>
        </w:tc>
      </w:tr>
    </w:tbl>
    <w:p>
      <w:pPr>
        <w:spacing w:after="120"/>
      </w:pPr>
    </w:p>
    <w:p>
      <w:pPr>
        <w:spacing w:before="0" w:after="120" w:line="360" w:lineRule="auto"/>
        <w:jc w:val="both"/>
      </w:pPr>
      <w:r>
        <w:rPr>
          <w:sz w:val="24"/>
        </w:rPr>
        <w:t xml:space="preserve">Une </w:t>
      </w:r>
      <w:r>
        <w:rPr>
          <w:b/>
          <w:sz w:val="24"/>
        </w:rPr>
        <w:t>matrice de traçabilité</w:t>
      </w:r>
      <w:r>
        <w:rPr>
          <w:sz w:val="24"/>
        </w:rPr>
        <w:t xml:space="preserve"> relie chaque hypothèse aux besoins qui permettent de l'éprouver (tableau II.14). Elle garantit que le système construit sert la question de recherche, et non l'inverse.</w:t>
      </w:r>
    </w:p>
    <w:p>
      <w:pPr>
        <w:pStyle w:val="Légendetableau"/>
        <w:keepNext/>
        <w:spacing w:before="200" w:after="80"/>
        <w:jc w:val="center"/>
      </w:pPr>
      <w:r>
        <w:rPr>
          <w:b/>
          <w:sz w:val="20"/>
        </w:rPr>
        <w:t>Tableau II.14 — Traçabilité entre hypothèses et besoins.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3219"/>
        <w:gridCol w:w="6170"/>
      </w:tblGrid>
      <w:tr>
        <w:trPr>
          <w:tblHeader w:val="true"/>
        </w:trPr>
        <w:tc>
          <w:tcPr>
            <w:tcW w:type="dxa" w:w="3219"/>
            <w:shd w:val="clear" w:color="auto" w:fill="D9E2F3"/>
          </w:tcPr>
          <w:p>
            <w:pPr>
              <w:spacing w:after="20" w:before="20" w:line="240" w:lineRule="auto"/>
              <w:jc w:val="left"/>
            </w:pPr>
            <w:r/>
            <w:r>
              <w:rPr>
                <w:b/>
                <w:sz w:val="20"/>
              </w:rPr>
              <w:t>Hypothèse</w:t>
            </w:r>
          </w:p>
        </w:tc>
        <w:tc>
          <w:tcPr>
            <w:tcW w:type="dxa" w:w="6170"/>
            <w:shd w:val="clear" w:color="auto" w:fill="D9E2F3"/>
          </w:tcPr>
          <w:p>
            <w:pPr>
              <w:spacing w:after="20" w:before="20" w:line="240" w:lineRule="auto"/>
              <w:jc w:val="left"/>
            </w:pPr>
            <w:r/>
            <w:r>
              <w:rPr>
                <w:b/>
                <w:sz w:val="20"/>
              </w:rPr>
              <w:t>Besoins concernés</w:t>
            </w:r>
          </w:p>
        </w:tc>
      </w:tr>
      <w:tr>
        <w:trPr>
          <w:cantSplit w:val="true"/>
        </w:trPr>
        <w:tc>
          <w:tcPr>
            <w:tcW w:type="dxa" w:w="3219"/>
          </w:tcPr>
          <w:p>
            <w:pPr>
              <w:spacing w:after="20" w:before="20" w:line="240" w:lineRule="auto"/>
              <w:jc w:val="left"/>
            </w:pPr>
            <w:r/>
            <w:r>
              <w:rPr>
                <w:sz w:val="20"/>
              </w:rPr>
              <w:t>H1</w:t>
            </w:r>
          </w:p>
        </w:tc>
        <w:tc>
          <w:tcPr>
            <w:tcW w:type="dxa" w:w="6170"/>
          </w:tcPr>
          <w:p>
            <w:pPr>
              <w:spacing w:after="20" w:before="20" w:line="240" w:lineRule="auto"/>
              <w:jc w:val="left"/>
            </w:pPr>
            <w:r/>
            <w:r>
              <w:rPr>
                <w:sz w:val="20"/>
              </w:rPr>
              <w:t>BM-01, BM-02, BM-04</w:t>
            </w:r>
          </w:p>
        </w:tc>
      </w:tr>
      <w:tr>
        <w:trPr>
          <w:cantSplit w:val="true"/>
        </w:trPr>
        <w:tc>
          <w:tcPr>
            <w:tcW w:type="dxa" w:w="3219"/>
          </w:tcPr>
          <w:p>
            <w:pPr>
              <w:spacing w:after="20" w:before="20" w:line="240" w:lineRule="auto"/>
              <w:jc w:val="left"/>
            </w:pPr>
            <w:r/>
            <w:r>
              <w:rPr>
                <w:sz w:val="20"/>
              </w:rPr>
              <w:t>H2</w:t>
            </w:r>
          </w:p>
        </w:tc>
        <w:tc>
          <w:tcPr>
            <w:tcW w:type="dxa" w:w="6170"/>
          </w:tcPr>
          <w:p>
            <w:pPr>
              <w:spacing w:after="20" w:before="20" w:line="240" w:lineRule="auto"/>
              <w:jc w:val="left"/>
            </w:pPr>
            <w:r/>
            <w:r>
              <w:rPr>
                <w:sz w:val="20"/>
              </w:rPr>
              <w:t>BM-02, BT-13</w:t>
            </w:r>
          </w:p>
        </w:tc>
      </w:tr>
      <w:tr>
        <w:trPr>
          <w:cantSplit w:val="true"/>
        </w:trPr>
        <w:tc>
          <w:tcPr>
            <w:tcW w:type="dxa" w:w="3219"/>
          </w:tcPr>
          <w:p>
            <w:pPr>
              <w:spacing w:after="20" w:before="20" w:line="240" w:lineRule="auto"/>
              <w:jc w:val="left"/>
            </w:pPr>
            <w:r/>
            <w:r>
              <w:rPr>
                <w:sz w:val="20"/>
              </w:rPr>
              <w:t>H3</w:t>
            </w:r>
          </w:p>
        </w:tc>
        <w:tc>
          <w:tcPr>
            <w:tcW w:type="dxa" w:w="6170"/>
          </w:tcPr>
          <w:p>
            <w:pPr>
              <w:spacing w:after="20" w:before="20" w:line="240" w:lineRule="auto"/>
              <w:jc w:val="left"/>
            </w:pPr>
            <w:r/>
            <w:r>
              <w:rPr>
                <w:sz w:val="20"/>
              </w:rPr>
              <w:t>BM-01, BT-12, BT-15</w:t>
            </w:r>
          </w:p>
        </w:tc>
      </w:tr>
      <w:tr>
        <w:trPr>
          <w:cantSplit w:val="true"/>
        </w:trPr>
        <w:tc>
          <w:tcPr>
            <w:tcW w:type="dxa" w:w="3219"/>
          </w:tcPr>
          <w:p>
            <w:pPr>
              <w:spacing w:after="20" w:before="20" w:line="240" w:lineRule="auto"/>
              <w:jc w:val="left"/>
            </w:pPr>
            <w:r/>
            <w:r>
              <w:rPr>
                <w:sz w:val="20"/>
              </w:rPr>
              <w:t>H4</w:t>
            </w:r>
          </w:p>
        </w:tc>
        <w:tc>
          <w:tcPr>
            <w:tcW w:type="dxa" w:w="6170"/>
          </w:tcPr>
          <w:p>
            <w:pPr>
              <w:spacing w:after="20" w:before="20" w:line="240" w:lineRule="auto"/>
              <w:jc w:val="left"/>
            </w:pPr>
            <w:r/>
            <w:r>
              <w:rPr>
                <w:sz w:val="20"/>
              </w:rPr>
              <w:t>BM-11, BM-12</w:t>
            </w:r>
          </w:p>
        </w:tc>
      </w:tr>
      <w:tr>
        <w:trPr>
          <w:cantSplit w:val="true"/>
        </w:trPr>
        <w:tc>
          <w:tcPr>
            <w:tcW w:type="dxa" w:w="3219"/>
          </w:tcPr>
          <w:p>
            <w:pPr>
              <w:spacing w:after="20" w:before="20" w:line="240" w:lineRule="auto"/>
              <w:jc w:val="left"/>
            </w:pPr>
            <w:r/>
            <w:r>
              <w:rPr>
                <w:sz w:val="20"/>
              </w:rPr>
              <w:t>H5</w:t>
            </w:r>
          </w:p>
        </w:tc>
        <w:tc>
          <w:tcPr>
            <w:tcW w:type="dxa" w:w="6170"/>
          </w:tcPr>
          <w:p>
            <w:pPr>
              <w:spacing w:after="20" w:before="20" w:line="240" w:lineRule="auto"/>
              <w:jc w:val="left"/>
            </w:pPr>
            <w:r/>
            <w:r>
              <w:rPr>
                <w:sz w:val="20"/>
              </w:rPr>
              <w:t>BM-15, BM-16, BM-19, BM-23, BT-16, BT-17</w:t>
            </w:r>
          </w:p>
        </w:tc>
      </w:tr>
    </w:tbl>
    <w:p>
      <w:pPr>
        <w:spacing w:after="120"/>
      </w:pPr>
    </w:p>
    <w:p>
      <w:pPr>
        <w:pStyle w:val="Titre3"/>
        <w:keepNext/>
        <w:numPr>
          <w:numId w:val="0"/>
        </w:numPr>
        <w:spacing w:before="280" w:after="120"/>
        <w:ind w:left="0" w:firstLine="0"/>
        <w:jc w:val="left"/>
      </w:pPr>
      <w:r>
        <w:rPr>
          <w:b/>
          <w:color w:val="1F2A44"/>
          <w:sz w:val="28"/>
        </w:rPr>
        <w:t>2. Sources de données</w:t>
      </w:r>
    </w:p>
    <w:p>
      <w:pPr>
        <w:pStyle w:val="Titre4"/>
        <w:keepNext/>
        <w:numPr>
          <w:numId w:val="0"/>
        </w:numPr>
        <w:spacing w:before="200" w:after="120"/>
        <w:ind w:left="0" w:firstLine="0"/>
        <w:jc w:val="left"/>
      </w:pPr>
      <w:r>
        <w:rPr>
          <w:b/>
          <w:i/>
          <w:color w:val="000000"/>
          <w:sz w:val="25"/>
        </w:rPr>
        <w:t>2.1 Panorama des sources</w:t>
      </w:r>
    </w:p>
    <w:p>
      <w:pPr>
        <w:spacing w:before="0" w:after="120" w:line="360" w:lineRule="auto"/>
        <w:jc w:val="both"/>
      </w:pPr>
      <w:r>
        <w:rPr>
          <w:sz w:val="24"/>
        </w:rPr>
        <w:t>Le système s'appuie sur quatre sources de données, de nature et de rôle différents (tableau II.15).</w:t>
      </w:r>
    </w:p>
    <w:p>
      <w:pPr>
        <w:pStyle w:val="Légendetableau"/>
        <w:keepNext/>
        <w:spacing w:before="200" w:after="80"/>
        <w:jc w:val="center"/>
      </w:pPr>
      <w:r>
        <w:rPr>
          <w:b/>
          <w:sz w:val="20"/>
        </w:rPr>
        <w:t>Tableau II.15 — Sources de données du système.</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1119"/>
        <w:gridCol w:w="3912"/>
        <w:gridCol w:w="2521"/>
        <w:gridCol w:w="1836"/>
      </w:tblGrid>
      <w:tr>
        <w:trPr>
          <w:tblHeader w:val="true"/>
        </w:trPr>
        <w:tc>
          <w:tcPr>
            <w:tcW w:type="dxa" w:w="1119"/>
            <w:shd w:val="clear" w:color="auto" w:fill="D9E2F3"/>
          </w:tcPr>
          <w:p>
            <w:pPr>
              <w:spacing w:after="20" w:before="20" w:line="240" w:lineRule="auto"/>
              <w:jc w:val="left"/>
            </w:pPr>
            <w:r/>
            <w:r>
              <w:rPr>
                <w:b/>
                <w:sz w:val="18"/>
              </w:rPr>
              <w:t>Source</w:t>
            </w:r>
          </w:p>
        </w:tc>
        <w:tc>
          <w:tcPr>
            <w:tcW w:type="dxa" w:w="3912"/>
            <w:shd w:val="clear" w:color="auto" w:fill="D9E2F3"/>
          </w:tcPr>
          <w:p>
            <w:pPr>
              <w:spacing w:after="20" w:before="20" w:line="240" w:lineRule="auto"/>
              <w:jc w:val="left"/>
            </w:pPr>
            <w:r/>
            <w:r>
              <w:rPr>
                <w:b/>
                <w:sz w:val="18"/>
              </w:rPr>
              <w:t>Nature</w:t>
            </w:r>
          </w:p>
        </w:tc>
        <w:tc>
          <w:tcPr>
            <w:tcW w:type="dxa" w:w="2521"/>
            <w:shd w:val="clear" w:color="auto" w:fill="D9E2F3"/>
          </w:tcPr>
          <w:p>
            <w:pPr>
              <w:spacing w:after="20" w:before="20" w:line="240" w:lineRule="auto"/>
              <w:jc w:val="left"/>
            </w:pPr>
            <w:r/>
            <w:r>
              <w:rPr>
                <w:b/>
                <w:sz w:val="18"/>
              </w:rPr>
              <w:t>Rôle</w:t>
            </w:r>
          </w:p>
        </w:tc>
        <w:tc>
          <w:tcPr>
            <w:tcW w:type="dxa" w:w="1836"/>
            <w:shd w:val="clear" w:color="auto" w:fill="D9E2F3"/>
          </w:tcPr>
          <w:p>
            <w:pPr>
              <w:spacing w:after="20" w:before="20" w:line="240" w:lineRule="auto"/>
              <w:jc w:val="left"/>
            </w:pPr>
            <w:r/>
            <w:r>
              <w:rPr>
                <w:b/>
                <w:sz w:val="18"/>
              </w:rPr>
              <w:t>Volume</w:t>
            </w:r>
          </w:p>
        </w:tc>
      </w:tr>
      <w:tr>
        <w:trPr>
          <w:cantSplit w:val="true"/>
        </w:trPr>
        <w:tc>
          <w:tcPr>
            <w:tcW w:type="dxa" w:w="1119"/>
          </w:tcPr>
          <w:p>
            <w:pPr>
              <w:spacing w:after="20" w:before="20" w:line="240" w:lineRule="auto"/>
              <w:jc w:val="left"/>
            </w:pPr>
            <w:r/>
            <w:r>
              <w:rPr>
                <w:sz w:val="18"/>
              </w:rPr>
              <w:t>Transactions simulées</w:t>
            </w:r>
          </w:p>
        </w:tc>
        <w:tc>
          <w:tcPr>
            <w:tcW w:type="dxa" w:w="3912"/>
          </w:tcPr>
          <w:p>
            <w:pPr>
              <w:spacing w:after="20" w:before="20" w:line="240" w:lineRule="auto"/>
              <w:jc w:val="left"/>
            </w:pPr>
            <w:r/>
            <w:r>
              <w:rPr>
                <w:sz w:val="18"/>
              </w:rPr>
              <w:t>Données primaires synthétiques, produites par le générateur du projet</w:t>
            </w:r>
          </w:p>
        </w:tc>
        <w:tc>
          <w:tcPr>
            <w:tcW w:type="dxa" w:w="2521"/>
          </w:tcPr>
          <w:p>
            <w:pPr>
              <w:spacing w:after="20" w:before="20" w:line="240" w:lineRule="auto"/>
              <w:jc w:val="left"/>
            </w:pPr>
            <w:r/>
            <w:r>
              <w:rPr>
                <w:sz w:val="18"/>
              </w:rPr>
              <w:t>Entraînement, validation et test des modèles</w:t>
            </w:r>
          </w:p>
        </w:tc>
        <w:tc>
          <w:tcPr>
            <w:tcW w:type="dxa" w:w="1836"/>
          </w:tcPr>
          <w:p>
            <w:pPr>
              <w:spacing w:after="20" w:before="20" w:line="240" w:lineRule="auto"/>
              <w:jc w:val="left"/>
            </w:pPr>
            <w:r/>
            <w:r>
              <w:rPr>
                <w:sz w:val="18"/>
              </w:rPr>
              <w:t>631 968 transactions, 500 clients, 800 agents, 900 marchands</w:t>
            </w:r>
          </w:p>
        </w:tc>
      </w:tr>
      <w:tr>
        <w:trPr>
          <w:cantSplit w:val="true"/>
        </w:trPr>
        <w:tc>
          <w:tcPr>
            <w:tcW w:type="dxa" w:w="1119"/>
          </w:tcPr>
          <w:p>
            <w:pPr>
              <w:spacing w:after="20" w:before="20" w:line="240" w:lineRule="auto"/>
              <w:jc w:val="left"/>
            </w:pPr>
            <w:r/>
            <w:r>
              <w:rPr>
                <w:sz w:val="18"/>
              </w:rPr>
              <w:t>Données de production</w:t>
            </w:r>
          </w:p>
        </w:tc>
        <w:tc>
          <w:tcPr>
            <w:tcW w:type="dxa" w:w="3912"/>
          </w:tcPr>
          <w:p>
            <w:pPr>
              <w:spacing w:after="20" w:before="20" w:line="240" w:lineRule="auto"/>
              <w:jc w:val="left"/>
            </w:pPr>
            <w:r/>
            <w:r>
              <w:rPr>
                <w:sz w:val="18"/>
              </w:rPr>
              <w:t>Opérations notées par le système en fonctionnement, avec décisions, explications et verdicts</w:t>
            </w:r>
          </w:p>
        </w:tc>
        <w:tc>
          <w:tcPr>
            <w:tcW w:type="dxa" w:w="2521"/>
          </w:tcPr>
          <w:p>
            <w:pPr>
              <w:spacing w:after="20" w:before="20" w:line="240" w:lineRule="auto"/>
              <w:jc w:val="left"/>
            </w:pPr>
            <w:r/>
            <w:r>
              <w:rPr>
                <w:sz w:val="18"/>
              </w:rPr>
              <w:t>Suivi, apprentissage continu, qualité réelle, équité</w:t>
            </w:r>
          </w:p>
        </w:tc>
        <w:tc>
          <w:tcPr>
            <w:tcW w:type="dxa" w:w="1836"/>
          </w:tcPr>
          <w:p>
            <w:pPr>
              <w:spacing w:after="20" w:before="20" w:line="240" w:lineRule="auto"/>
              <w:jc w:val="left"/>
            </w:pPr>
            <w:r/>
            <w:r>
              <w:rPr>
                <w:sz w:val="18"/>
              </w:rPr>
              <w:t>Croît avec l'usage (base PostgreSQL)</w:t>
            </w:r>
          </w:p>
        </w:tc>
      </w:tr>
      <w:tr>
        <w:trPr>
          <w:cantSplit w:val="true"/>
        </w:trPr>
        <w:tc>
          <w:tcPr>
            <w:tcW w:type="dxa" w:w="1119"/>
          </w:tcPr>
          <w:p>
            <w:pPr>
              <w:spacing w:after="20" w:before="20" w:line="240" w:lineRule="auto"/>
              <w:jc w:val="left"/>
            </w:pPr>
            <w:r/>
            <w:r>
              <w:rPr>
                <w:sz w:val="18"/>
              </w:rPr>
              <w:t>Corpus de messages</w:t>
            </w:r>
          </w:p>
        </w:tc>
        <w:tc>
          <w:tcPr>
            <w:tcW w:type="dxa" w:w="3912"/>
          </w:tcPr>
          <w:p>
            <w:pPr>
              <w:spacing w:after="20" w:before="20" w:line="240" w:lineRule="auto"/>
              <w:jc w:val="left"/>
            </w:pPr>
            <w:r/>
            <w:r>
              <w:rPr>
                <w:sz w:val="18"/>
              </w:rPr>
              <w:t>Messages de transfert rédigés pour le projet, annotés (manipulation, sentiment)</w:t>
            </w:r>
          </w:p>
        </w:tc>
        <w:tc>
          <w:tcPr>
            <w:tcW w:type="dxa" w:w="2521"/>
          </w:tcPr>
          <w:p>
            <w:pPr>
              <w:spacing w:after="20" w:before="20" w:line="240" w:lineRule="auto"/>
              <w:jc w:val="left"/>
            </w:pPr>
            <w:r/>
            <w:r>
              <w:rPr>
                <w:sz w:val="18"/>
              </w:rPr>
              <w:t>Mise au point et évaluation de l'analyse de texte</w:t>
            </w:r>
          </w:p>
        </w:tc>
        <w:tc>
          <w:tcPr>
            <w:tcW w:type="dxa" w:w="1836"/>
          </w:tcPr>
          <w:p>
            <w:pPr>
              <w:spacing w:after="20" w:before="20" w:line="240" w:lineRule="auto"/>
              <w:jc w:val="left"/>
            </w:pPr>
            <w:r/>
            <w:r>
              <w:rPr>
                <w:sz w:val="18"/>
              </w:rPr>
              <w:t>50 messages de développement, 61 de test</w:t>
            </w:r>
          </w:p>
        </w:tc>
      </w:tr>
      <w:tr>
        <w:trPr>
          <w:cantSplit w:val="true"/>
        </w:trPr>
        <w:tc>
          <w:tcPr>
            <w:tcW w:type="dxa" w:w="1119"/>
          </w:tcPr>
          <w:p>
            <w:pPr>
              <w:spacing w:after="20" w:before="20" w:line="240" w:lineRule="auto"/>
              <w:jc w:val="left"/>
            </w:pPr>
            <w:r/>
            <w:r>
              <w:rPr>
                <w:sz w:val="18"/>
              </w:rPr>
              <w:t>Base de connaissances</w:t>
            </w:r>
          </w:p>
        </w:tc>
        <w:tc>
          <w:tcPr>
            <w:tcW w:type="dxa" w:w="3912"/>
          </w:tcPr>
          <w:p>
            <w:pPr>
              <w:spacing w:after="20" w:before="20" w:line="240" w:lineRule="auto"/>
              <w:jc w:val="left"/>
            </w:pPr>
            <w:r/>
            <w:r>
              <w:rPr>
                <w:sz w:val="18"/>
              </w:rPr>
              <w:t>Neuf fiches de procédures (une par typologie, plus la politique de décision)</w:t>
            </w:r>
          </w:p>
        </w:tc>
        <w:tc>
          <w:tcPr>
            <w:tcW w:type="dxa" w:w="2521"/>
          </w:tcPr>
          <w:p>
            <w:pPr>
              <w:spacing w:after="20" w:before="20" w:line="240" w:lineRule="auto"/>
              <w:jc w:val="left"/>
            </w:pPr>
            <w:r/>
            <w:r>
              <w:rPr>
                <w:sz w:val="18"/>
              </w:rPr>
              <w:t>Preuves textuelles proposées à l'analyste</w:t>
            </w:r>
          </w:p>
        </w:tc>
        <w:tc>
          <w:tcPr>
            <w:tcW w:type="dxa" w:w="1836"/>
          </w:tcPr>
          <w:p>
            <w:pPr>
              <w:spacing w:after="20" w:before="20" w:line="240" w:lineRule="auto"/>
              <w:jc w:val="left"/>
            </w:pPr>
            <w:r/>
            <w:r>
              <w:rPr>
                <w:sz w:val="18"/>
              </w:rPr>
              <w:t>9 fiches</w:t>
            </w:r>
          </w:p>
        </w:tc>
      </w:tr>
      <w:tr>
        <w:trPr>
          <w:cantSplit w:val="true"/>
        </w:trPr>
        <w:tc>
          <w:tcPr>
            <w:tcW w:type="dxa" w:w="1119"/>
          </w:tcPr>
          <w:p>
            <w:pPr>
              <w:spacing w:after="20" w:before="20" w:line="240" w:lineRule="auto"/>
              <w:jc w:val="left"/>
            </w:pPr>
            <w:r/>
            <w:r>
              <w:rPr>
                <w:sz w:val="18"/>
              </w:rPr>
              <w:t>Sources externes</w:t>
            </w:r>
          </w:p>
        </w:tc>
        <w:tc>
          <w:tcPr>
            <w:tcW w:type="dxa" w:w="3912"/>
          </w:tcPr>
          <w:p>
            <w:pPr>
              <w:spacing w:after="20" w:before="20" w:line="240" w:lineRule="auto"/>
              <w:jc w:val="left"/>
            </w:pPr>
            <w:r/>
            <w:r>
              <w:rPr>
                <w:sz w:val="18"/>
              </w:rPr>
              <w:t>Statistiques officielles de l'ARPTC, de la BCC et de la Banque mondiale</w:t>
            </w:r>
          </w:p>
        </w:tc>
        <w:tc>
          <w:tcPr>
            <w:tcW w:type="dxa" w:w="2521"/>
          </w:tcPr>
          <w:p>
            <w:pPr>
              <w:spacing w:after="20" w:before="20" w:line="240" w:lineRule="auto"/>
              <w:jc w:val="left"/>
            </w:pPr>
            <w:r/>
            <w:r>
              <w:rPr>
                <w:sz w:val="18"/>
              </w:rPr>
              <w:t>Confrontation des paramètres du générateur</w:t>
            </w:r>
          </w:p>
        </w:tc>
        <w:tc>
          <w:tcPr>
            <w:tcW w:type="dxa" w:w="1836"/>
          </w:tcPr>
          <w:p>
            <w:pPr>
              <w:spacing w:after="20" w:before="20" w:line="240" w:lineRule="auto"/>
              <w:jc w:val="left"/>
            </w:pPr>
            <w:r/>
            <w:r>
              <w:rPr>
                <w:sz w:val="18"/>
              </w:rPr>
              <w:t>Indicateurs agrégés</w:t>
            </w:r>
          </w:p>
        </w:tc>
      </w:tr>
    </w:tbl>
    <w:p>
      <w:pPr>
        <w:spacing w:after="120"/>
      </w:pPr>
    </w:p>
    <w:p>
      <w:pPr>
        <w:pStyle w:val="Titre4"/>
        <w:keepNext/>
        <w:numPr>
          <w:numId w:val="0"/>
        </w:numPr>
        <w:spacing w:before="200" w:after="120"/>
        <w:ind w:left="0" w:firstLine="0"/>
        <w:jc w:val="left"/>
      </w:pPr>
      <w:r>
        <w:rPr>
          <w:b/>
          <w:i/>
          <w:color w:val="000000"/>
          <w:sz w:val="25"/>
        </w:rPr>
        <w:t>2.2 Justification du recours à des données simulées</w:t>
      </w:r>
    </w:p>
    <w:p>
      <w:pPr>
        <w:spacing w:before="0" w:after="120" w:line="360" w:lineRule="auto"/>
        <w:jc w:val="both"/>
      </w:pPr>
      <w:r>
        <w:rPr>
          <w:sz w:val="24"/>
        </w:rPr>
        <w:t xml:space="preserve">Les données transactionnelles des opérateurs sont confidentielles, au titre du secret bancaire et de la protection des données personnelles. Aucun jeu public ne couvre la RDC. Un </w:t>
      </w:r>
      <w:r>
        <w:rPr>
          <w:b/>
          <w:sz w:val="24"/>
        </w:rPr>
        <w:t>générateur paramétré</w:t>
      </w:r>
      <w:r>
        <w:rPr>
          <w:sz w:val="24"/>
        </w:rPr>
        <w:t xml:space="preserve"> a donc été conçu. Il reproduit les régularités connues du marché : opérateurs, provinces, agents, double monnaie, saisonnalité et typologies de fraude.</w:t>
      </w:r>
    </w:p>
    <w:p>
      <w:pPr>
        <w:spacing w:before="0" w:after="120" w:line="360" w:lineRule="auto"/>
        <w:jc w:val="both"/>
      </w:pPr>
      <w:r>
        <w:rPr>
          <w:sz w:val="24"/>
        </w:rPr>
        <w:t xml:space="preserve">Le recours à un simulateur a des précédents dans le domaine. Le plus connu est </w:t>
      </w:r>
      <w:r>
        <w:rPr>
          <w:b/>
          <w:sz w:val="24"/>
        </w:rPr>
        <w:t>PaySim</w:t>
      </w:r>
      <w:r>
        <w:rPr>
          <w:sz w:val="24"/>
        </w:rPr>
        <w:t xml:space="preserve"> (Lopez-Rojas, Elmir et Axelsson, 2016), simulateur de transactions Mobile Money conçu pour la détection de fraude parce que les données réelles ne sont pas publiques. PaySim s'appuie sur un échantillon de journaux réels d'un service Mobile Money d'un pays africain. Plus récemment, le simulateur </w:t>
      </w:r>
      <w:r>
        <w:rPr>
          <w:b/>
          <w:sz w:val="24"/>
        </w:rPr>
        <w:t>MoMTSim</w:t>
      </w:r>
      <w:r>
        <w:rPr>
          <w:sz w:val="24"/>
        </w:rPr>
        <w:t xml:space="preserve"> (Azamuke et al., 2022), calibré sur des données de plateformes Mobile Money d'Afrique subsaharienne, a été proposé pour les mêmes raisons. La différence avec le présent travail est que le générateur repose entièrement sur des hypothèses paramétrées, faute d'un échantillon réel pour la RDC.</w:t>
      </w:r>
    </w:p>
    <w:p>
      <w:pPr>
        <w:pStyle w:val="Titre4"/>
        <w:keepNext/>
        <w:numPr>
          <w:numId w:val="0"/>
        </w:numPr>
        <w:spacing w:before="200" w:after="120"/>
        <w:ind w:left="0" w:firstLine="0"/>
        <w:jc w:val="left"/>
      </w:pPr>
      <w:r>
        <w:rPr>
          <w:b/>
          <w:i/>
          <w:color w:val="000000"/>
          <w:sz w:val="25"/>
        </w:rPr>
        <w:t>2.3 Provenance et reproductibilité</w:t>
      </w:r>
    </w:p>
    <w:p>
      <w:pPr>
        <w:spacing w:before="0" w:after="120" w:line="360" w:lineRule="auto"/>
        <w:jc w:val="both"/>
      </w:pPr>
      <w:r>
        <w:rPr>
          <w:sz w:val="24"/>
        </w:rPr>
        <w:t xml:space="preserve">Les données sont des </w:t>
      </w:r>
      <w:r>
        <w:rPr>
          <w:b/>
          <w:sz w:val="24"/>
        </w:rPr>
        <w:t>données primaires synthétiques</w:t>
      </w:r>
      <w:r>
        <w:rPr>
          <w:sz w:val="24"/>
        </w:rPr>
        <w:t>, produites par un générateur développé pour ce travail. Elles ne proviennent d'aucun opérateur, d'aucune banque ni d'aucune base publique, et ne contiennent aucune donnée personnelle réelle (tableau II.16).</w:t>
      </w:r>
    </w:p>
    <w:p>
      <w:pPr>
        <w:pStyle w:val="Légendetableau"/>
        <w:keepNext/>
        <w:spacing w:before="200" w:after="80"/>
        <w:jc w:val="center"/>
      </w:pPr>
      <w:r>
        <w:rPr>
          <w:b/>
          <w:sz w:val="20"/>
        </w:rPr>
        <w:t>Tableau II.16 — Provenance des données.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1830"/>
        <w:gridCol w:w="7559"/>
      </w:tblGrid>
      <w:tr>
        <w:trPr>
          <w:tblHeader w:val="true"/>
        </w:trPr>
        <w:tc>
          <w:tcPr>
            <w:tcW w:type="dxa" w:w="1830"/>
            <w:shd w:val="clear" w:color="auto" w:fill="D9E2F3"/>
          </w:tcPr>
          <w:p>
            <w:pPr>
              <w:spacing w:after="20" w:before="20" w:line="240" w:lineRule="auto"/>
              <w:jc w:val="left"/>
            </w:pPr>
            <w:r/>
            <w:r>
              <w:rPr>
                <w:b/>
                <w:sz w:val="20"/>
              </w:rPr>
              <w:t>Élément</w:t>
            </w:r>
          </w:p>
        </w:tc>
        <w:tc>
          <w:tcPr>
            <w:tcW w:type="dxa" w:w="7559"/>
            <w:shd w:val="clear" w:color="auto" w:fill="D9E2F3"/>
          </w:tcPr>
          <w:p>
            <w:pPr>
              <w:spacing w:after="20" w:before="20" w:line="240" w:lineRule="auto"/>
              <w:jc w:val="left"/>
            </w:pPr>
            <w:r/>
            <w:r>
              <w:rPr>
                <w:b/>
                <w:sz w:val="20"/>
              </w:rPr>
              <w:t>Valeur</w:t>
            </w:r>
          </w:p>
        </w:tc>
      </w:tr>
      <w:tr>
        <w:trPr>
          <w:cantSplit w:val="true"/>
        </w:trPr>
        <w:tc>
          <w:tcPr>
            <w:tcW w:type="dxa" w:w="1830"/>
          </w:tcPr>
          <w:p>
            <w:pPr>
              <w:spacing w:after="20" w:before="20" w:line="240" w:lineRule="auto"/>
              <w:jc w:val="left"/>
            </w:pPr>
            <w:r/>
            <w:r>
              <w:rPr>
                <w:sz w:val="20"/>
              </w:rPr>
              <w:t>Source</w:t>
            </w:r>
          </w:p>
        </w:tc>
        <w:tc>
          <w:tcPr>
            <w:tcW w:type="dxa" w:w="7559"/>
          </w:tcPr>
          <w:p>
            <w:pPr>
              <w:spacing w:after="20" w:before="20" w:line="240" w:lineRule="auto"/>
              <w:jc w:val="left"/>
            </w:pPr>
            <w:r/>
            <w:r>
              <w:rPr>
                <w:sz w:val="20"/>
              </w:rPr>
              <w:t xml:space="preserve">Générateur du projet : </w:t>
            </w:r>
            <w:r>
              <w:rPr>
                <w:rFonts w:ascii="Courier New" w:hAnsi="Courier New"/>
                <w:b w:val="0"/>
                <w:sz w:val="16"/>
              </w:rPr>
              <w:t>ml/generator/generate_synthetic_data.py</w:t>
            </w:r>
          </w:p>
        </w:tc>
      </w:tr>
      <w:tr>
        <w:trPr>
          <w:cantSplit w:val="true"/>
        </w:trPr>
        <w:tc>
          <w:tcPr>
            <w:tcW w:type="dxa" w:w="1830"/>
          </w:tcPr>
          <w:p>
            <w:pPr>
              <w:spacing w:after="20" w:before="20" w:line="240" w:lineRule="auto"/>
              <w:jc w:val="left"/>
            </w:pPr>
            <w:r/>
            <w:r>
              <w:rPr>
                <w:sz w:val="20"/>
              </w:rPr>
              <w:t>Commande</w:t>
            </w:r>
          </w:p>
        </w:tc>
        <w:tc>
          <w:tcPr>
            <w:tcW w:type="dxa" w:w="7559"/>
          </w:tcPr>
          <w:p>
            <w:pPr>
              <w:spacing w:after="20" w:before="20" w:line="240" w:lineRule="auto"/>
              <w:jc w:val="left"/>
            </w:pPr>
            <w:r/>
            <w:r>
              <w:rPr>
                <w:rFonts w:ascii="Courier New" w:hAnsi="Courier New"/>
                <w:b w:val="0"/>
                <w:sz w:val="16"/>
              </w:rPr>
              <w:t>python ml/generator/generate_synthetic_data.py --multi-year</w:t>
            </w:r>
          </w:p>
        </w:tc>
      </w:tr>
      <w:tr>
        <w:trPr>
          <w:cantSplit w:val="true"/>
        </w:trPr>
        <w:tc>
          <w:tcPr>
            <w:tcW w:type="dxa" w:w="1830"/>
          </w:tcPr>
          <w:p>
            <w:pPr>
              <w:spacing w:after="20" w:before="20" w:line="240" w:lineRule="auto"/>
              <w:jc w:val="left"/>
            </w:pPr>
            <w:r/>
            <w:r>
              <w:rPr>
                <w:sz w:val="20"/>
              </w:rPr>
              <w:t>Graine aléatoire</w:t>
            </w:r>
          </w:p>
        </w:tc>
        <w:tc>
          <w:tcPr>
            <w:tcW w:type="dxa" w:w="7559"/>
          </w:tcPr>
          <w:p>
            <w:pPr>
              <w:spacing w:after="20" w:before="20" w:line="240" w:lineRule="auto"/>
              <w:jc w:val="left"/>
            </w:pPr>
            <w:r/>
            <w:r>
              <w:rPr>
                <w:sz w:val="20"/>
              </w:rPr>
              <w:t>42 : la génération est reproductible à l'identique</w:t>
            </w:r>
          </w:p>
        </w:tc>
      </w:tr>
      <w:tr>
        <w:trPr>
          <w:cantSplit w:val="true"/>
        </w:trPr>
        <w:tc>
          <w:tcPr>
            <w:tcW w:type="dxa" w:w="1830"/>
          </w:tcPr>
          <w:p>
            <w:pPr>
              <w:spacing w:after="20" w:before="20" w:line="240" w:lineRule="auto"/>
              <w:jc w:val="left"/>
            </w:pPr>
            <w:r/>
            <w:r>
              <w:rPr>
                <w:sz w:val="20"/>
              </w:rPr>
              <w:t>Fichiers produits</w:t>
            </w:r>
          </w:p>
        </w:tc>
        <w:tc>
          <w:tcPr>
            <w:tcW w:type="dxa" w:w="7559"/>
          </w:tcPr>
          <w:p>
            <w:pPr>
              <w:spacing w:after="20" w:before="20" w:line="240" w:lineRule="auto"/>
              <w:jc w:val="left"/>
            </w:pPr>
            <w:r/>
            <w:r>
              <w:rPr>
                <w:rFonts w:ascii="Courier New" w:hAnsi="Courier New"/>
                <w:b w:val="0"/>
                <w:sz w:val="16"/>
              </w:rPr>
              <w:t>transactions.csv</w:t>
            </w:r>
            <w:r>
              <w:rPr>
                <w:sz w:val="20"/>
              </w:rPr>
              <w:t xml:space="preserve"> (631 968 lignes), </w:t>
            </w:r>
            <w:r>
              <w:rPr>
                <w:rFonts w:ascii="Courier New" w:hAnsi="Courier New"/>
                <w:b w:val="0"/>
                <w:sz w:val="16"/>
              </w:rPr>
              <w:t>users.csv</w:t>
            </w:r>
            <w:r>
              <w:rPr>
                <w:sz w:val="20"/>
              </w:rPr>
              <w:t xml:space="preserve"> (500), </w:t>
            </w:r>
            <w:r>
              <w:rPr>
                <w:rFonts w:ascii="Courier New" w:hAnsi="Courier New"/>
                <w:b w:val="0"/>
                <w:sz w:val="16"/>
              </w:rPr>
              <w:t>agents.csv</w:t>
            </w:r>
            <w:r>
              <w:rPr>
                <w:sz w:val="20"/>
              </w:rPr>
              <w:t xml:space="preserve"> (800), </w:t>
            </w:r>
            <w:r>
              <w:rPr>
                <w:rFonts w:ascii="Courier New" w:hAnsi="Courier New"/>
                <w:b w:val="0"/>
                <w:sz w:val="16"/>
              </w:rPr>
              <w:t>merchants.csv</w:t>
            </w:r>
            <w:r>
              <w:rPr>
                <w:sz w:val="20"/>
              </w:rPr>
              <w:t xml:space="preserve"> (900), </w:t>
            </w:r>
            <w:r>
              <w:rPr>
                <w:rFonts w:ascii="Courier New" w:hAnsi="Courier New"/>
                <w:b w:val="0"/>
                <w:sz w:val="16"/>
              </w:rPr>
              <w:t>fraud_mapping.json</w:t>
            </w:r>
          </w:p>
        </w:tc>
      </w:tr>
      <w:tr>
        <w:trPr>
          <w:cantSplit w:val="true"/>
        </w:trPr>
        <w:tc>
          <w:tcPr>
            <w:tcW w:type="dxa" w:w="1830"/>
          </w:tcPr>
          <w:p>
            <w:pPr>
              <w:spacing w:after="20" w:before="20" w:line="240" w:lineRule="auto"/>
              <w:jc w:val="left"/>
            </w:pPr>
            <w:r/>
            <w:r>
              <w:rPr>
                <w:sz w:val="20"/>
              </w:rPr>
              <w:t>Traçabilité</w:t>
            </w:r>
          </w:p>
        </w:tc>
        <w:tc>
          <w:tcPr>
            <w:tcW w:type="dxa" w:w="7559"/>
          </w:tcPr>
          <w:p>
            <w:pPr>
              <w:spacing w:after="20" w:before="20" w:line="240" w:lineRule="auto"/>
              <w:jc w:val="left"/>
            </w:pPr>
            <w:r/>
            <w:r>
              <w:rPr>
                <w:rFonts w:ascii="Courier New" w:hAnsi="Courier New"/>
                <w:b w:val="0"/>
                <w:sz w:val="16"/>
              </w:rPr>
              <w:t>ml/data/raw/generation_metadata.json</w:t>
            </w:r>
            <w:r>
              <w:rPr>
                <w:sz w:val="20"/>
              </w:rPr>
              <w:t xml:space="preserve"> : configuration et statistiques de la génération</w:t>
            </w:r>
          </w:p>
        </w:tc>
      </w:tr>
      <w:tr>
        <w:trPr>
          <w:cantSplit w:val="true"/>
        </w:trPr>
        <w:tc>
          <w:tcPr>
            <w:tcW w:type="dxa" w:w="1830"/>
          </w:tcPr>
          <w:p>
            <w:pPr>
              <w:spacing w:after="20" w:before="20" w:line="240" w:lineRule="auto"/>
              <w:jc w:val="left"/>
            </w:pPr>
            <w:r/>
            <w:r>
              <w:rPr>
                <w:sz w:val="20"/>
              </w:rPr>
              <w:t>Dictionnaire des données</w:t>
            </w:r>
          </w:p>
        </w:tc>
        <w:tc>
          <w:tcPr>
            <w:tcW w:type="dxa" w:w="7559"/>
          </w:tcPr>
          <w:p>
            <w:pPr>
              <w:spacing w:after="20" w:before="20" w:line="240" w:lineRule="auto"/>
              <w:jc w:val="left"/>
            </w:pPr>
            <w:r/>
            <w:r>
              <w:rPr>
                <w:rFonts w:ascii="Courier New" w:hAnsi="Courier New"/>
                <w:b w:val="0"/>
                <w:sz w:val="16"/>
              </w:rPr>
              <w:t>docs/dictionnaire_donnees.md</w:t>
            </w:r>
          </w:p>
        </w:tc>
      </w:tr>
    </w:tbl>
    <w:p>
      <w:pPr>
        <w:spacing w:after="120"/>
      </w:pPr>
    </w:p>
    <w:p>
      <w:pPr>
        <w:spacing w:before="0" w:after="120" w:line="360" w:lineRule="auto"/>
        <w:jc w:val="both"/>
      </w:pPr>
      <w:r>
        <w:rPr>
          <w:sz w:val="24"/>
        </w:rPr>
        <w:t xml:space="preserve">La </w:t>
      </w:r>
      <w:r>
        <w:rPr>
          <w:b/>
          <w:sz w:val="24"/>
        </w:rPr>
        <w:t>graine aléatoire</w:t>
      </w:r>
      <w:r>
        <w:rPr>
          <w:sz w:val="24"/>
        </w:rPr>
        <w:t xml:space="preserve"> initialise le générateur de nombres pseudo-aléatoires : une même graine produit toujours les mêmes données, ce qui rend toute l'étude reproductible.</w:t>
      </w:r>
    </w:p>
    <w:p>
      <w:pPr>
        <w:pStyle w:val="Titre4"/>
        <w:keepNext/>
        <w:numPr>
          <w:numId w:val="0"/>
        </w:numPr>
        <w:spacing w:before="200" w:after="120"/>
        <w:ind w:left="0" w:firstLine="0"/>
        <w:jc w:val="left"/>
      </w:pPr>
      <w:r>
        <w:rPr>
          <w:b/>
          <w:i/>
          <w:color w:val="000000"/>
          <w:sz w:val="25"/>
        </w:rPr>
        <w:t>2.4 Structure des données</w:t>
      </w:r>
    </w:p>
    <w:p>
      <w:pPr>
        <w:spacing w:before="0" w:after="120" w:line="360" w:lineRule="auto"/>
        <w:jc w:val="both"/>
      </w:pPr>
      <w:r>
        <w:rPr>
          <w:sz w:val="24"/>
        </w:rPr>
        <w:t xml:space="preserve">Quatre fichiers décrivent le jeu : les transactions, les clients, les agents et les marchands. Chaque colonne a un </w:t>
      </w:r>
      <w:r>
        <w:rPr>
          <w:b/>
          <w:sz w:val="24"/>
        </w:rPr>
        <w:t>rôle</w:t>
      </w:r>
      <w:r>
        <w:rPr>
          <w:sz w:val="24"/>
        </w:rPr>
        <w:t xml:space="preserve"> qui détermine son usage : information disponible à l'entrée de l'opération (</w:t>
      </w:r>
      <w:r>
        <w:rPr>
          <w:b/>
          <w:sz w:val="24"/>
        </w:rPr>
        <w:t>E</w:t>
      </w:r>
      <w:r>
        <w:rPr>
          <w:sz w:val="24"/>
        </w:rPr>
        <w:t>), identifiant (</w:t>
      </w:r>
      <w:r>
        <w:rPr>
          <w:b/>
          <w:sz w:val="24"/>
        </w:rPr>
        <w:t>ID</w:t>
      </w:r>
      <w:r>
        <w:rPr>
          <w:sz w:val="24"/>
        </w:rPr>
        <w:t>), cible à prédire (</w:t>
      </w:r>
      <w:r>
        <w:rPr>
          <w:b/>
          <w:sz w:val="24"/>
        </w:rPr>
        <w:t>C</w:t>
      </w:r>
      <w:r>
        <w:rPr>
          <w:sz w:val="24"/>
        </w:rPr>
        <w:t>), ou information cachée de vérité terrain, interdite en entrée car elle provoquerait une fuite d'information (</w:t>
      </w:r>
      <w:r>
        <w:rPr>
          <w:b/>
          <w:sz w:val="24"/>
        </w:rPr>
        <w:t>H</w:t>
      </w:r>
      <w:r>
        <w:rPr>
          <w:sz w:val="24"/>
        </w:rPr>
        <w:t>) (tableau II.17).</w:t>
      </w:r>
    </w:p>
    <w:p>
      <w:pPr>
        <w:pStyle w:val="Légendetableau"/>
        <w:keepNext/>
        <w:spacing w:before="200" w:after="80"/>
        <w:jc w:val="center"/>
      </w:pPr>
      <w:r>
        <w:rPr>
          <w:b/>
          <w:sz w:val="20"/>
        </w:rPr>
        <w:t>Tableau II.17 — Principales colonnes du fichier des transactions.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2352"/>
        <w:gridCol w:w="3266"/>
        <w:gridCol w:w="3256"/>
        <w:gridCol w:w="514"/>
      </w:tblGrid>
      <w:tr>
        <w:trPr>
          <w:tblHeader w:val="true"/>
        </w:trPr>
        <w:tc>
          <w:tcPr>
            <w:tcW w:type="dxa" w:w="2352"/>
            <w:shd w:val="clear" w:color="auto" w:fill="D9E2F3"/>
          </w:tcPr>
          <w:p>
            <w:pPr>
              <w:spacing w:after="20" w:before="20" w:line="240" w:lineRule="auto"/>
              <w:jc w:val="left"/>
            </w:pPr>
            <w:r/>
            <w:r>
              <w:rPr>
                <w:b/>
                <w:sz w:val="18"/>
              </w:rPr>
              <w:t>Colonne</w:t>
            </w:r>
          </w:p>
        </w:tc>
        <w:tc>
          <w:tcPr>
            <w:tcW w:type="dxa" w:w="3266"/>
            <w:shd w:val="clear" w:color="auto" w:fill="D9E2F3"/>
          </w:tcPr>
          <w:p>
            <w:pPr>
              <w:spacing w:after="20" w:before="20" w:line="240" w:lineRule="auto"/>
              <w:jc w:val="left"/>
            </w:pPr>
            <w:r/>
            <w:r>
              <w:rPr>
                <w:b/>
                <w:sz w:val="18"/>
              </w:rPr>
              <w:t>Domaine</w:t>
            </w:r>
          </w:p>
        </w:tc>
        <w:tc>
          <w:tcPr>
            <w:tcW w:type="dxa" w:w="3256"/>
            <w:shd w:val="clear" w:color="auto" w:fill="D9E2F3"/>
          </w:tcPr>
          <w:p>
            <w:pPr>
              <w:spacing w:after="20" w:before="20" w:line="240" w:lineRule="auto"/>
              <w:jc w:val="left"/>
            </w:pPr>
            <w:r/>
            <w:r>
              <w:rPr>
                <w:b/>
                <w:sz w:val="18"/>
              </w:rPr>
              <w:t>Description</w:t>
            </w:r>
          </w:p>
        </w:tc>
        <w:tc>
          <w:tcPr>
            <w:tcW w:type="dxa" w:w="514"/>
            <w:shd w:val="clear" w:color="auto" w:fill="D9E2F3"/>
          </w:tcPr>
          <w:p>
            <w:pPr>
              <w:spacing w:after="20" w:before="20" w:line="240" w:lineRule="auto"/>
              <w:jc w:val="left"/>
            </w:pPr>
            <w:r/>
            <w:r>
              <w:rPr>
                <w:b/>
                <w:sz w:val="18"/>
              </w:rPr>
              <w:t>Rôle</w:t>
            </w:r>
          </w:p>
        </w:tc>
      </w:tr>
      <w:tr>
        <w:trPr>
          <w:cantSplit w:val="true"/>
        </w:trPr>
        <w:tc>
          <w:tcPr>
            <w:tcW w:type="dxa" w:w="2352"/>
          </w:tcPr>
          <w:p>
            <w:pPr>
              <w:spacing w:after="20" w:before="20" w:line="240" w:lineRule="auto"/>
              <w:jc w:val="left"/>
            </w:pPr>
            <w:r/>
            <w:r>
              <w:rPr>
                <w:rFonts w:ascii="Courier New" w:hAnsi="Courier New"/>
                <w:b w:val="0"/>
                <w:sz w:val="14"/>
              </w:rPr>
              <w:t>transaction_id</w:t>
            </w:r>
            <w:r>
              <w:rPr>
                <w:sz w:val="18"/>
              </w:rPr>
              <w:t xml:space="preserve">, </w:t>
            </w:r>
            <w:r>
              <w:rPr>
                <w:rFonts w:ascii="Courier New" w:hAnsi="Courier New"/>
                <w:b w:val="0"/>
                <w:sz w:val="14"/>
              </w:rPr>
              <w:t>user_id</w:t>
            </w:r>
          </w:p>
        </w:tc>
        <w:tc>
          <w:tcPr>
            <w:tcW w:type="dxa" w:w="3266"/>
          </w:tcPr>
          <w:p>
            <w:pPr>
              <w:spacing w:after="20" w:before="20" w:line="240" w:lineRule="auto"/>
              <w:jc w:val="left"/>
            </w:pPr>
            <w:r/>
            <w:r>
              <w:rPr>
                <w:sz w:val="18"/>
              </w:rPr>
              <w:t>identifiants</w:t>
            </w:r>
          </w:p>
        </w:tc>
        <w:tc>
          <w:tcPr>
            <w:tcW w:type="dxa" w:w="3256"/>
          </w:tcPr>
          <w:p>
            <w:pPr>
              <w:spacing w:after="20" w:before="20" w:line="240" w:lineRule="auto"/>
              <w:jc w:val="left"/>
            </w:pPr>
            <w:r/>
            <w:r>
              <w:rPr>
                <w:sz w:val="18"/>
              </w:rPr>
              <w:t>Opération et titulaire du compte</w:t>
            </w:r>
          </w:p>
        </w:tc>
        <w:tc>
          <w:tcPr>
            <w:tcW w:type="dxa" w:w="514"/>
          </w:tcPr>
          <w:p>
            <w:pPr>
              <w:spacing w:after="20" w:before="20" w:line="240" w:lineRule="auto"/>
              <w:jc w:val="left"/>
            </w:pPr>
            <w:r/>
            <w:r>
              <w:rPr>
                <w:sz w:val="18"/>
              </w:rPr>
              <w:t>ID</w:t>
            </w:r>
          </w:p>
        </w:tc>
      </w:tr>
      <w:tr>
        <w:trPr>
          <w:cantSplit w:val="true"/>
        </w:trPr>
        <w:tc>
          <w:tcPr>
            <w:tcW w:type="dxa" w:w="2352"/>
          </w:tcPr>
          <w:p>
            <w:pPr>
              <w:spacing w:after="20" w:before="20" w:line="240" w:lineRule="auto"/>
              <w:jc w:val="left"/>
            </w:pPr>
            <w:r/>
            <w:r>
              <w:rPr>
                <w:rFonts w:ascii="Courier New" w:hAnsi="Courier New"/>
                <w:b w:val="0"/>
                <w:sz w:val="14"/>
              </w:rPr>
              <w:t>timestamp</w:t>
            </w:r>
          </w:p>
        </w:tc>
        <w:tc>
          <w:tcPr>
            <w:tcW w:type="dxa" w:w="3266"/>
          </w:tcPr>
          <w:p>
            <w:pPr>
              <w:spacing w:after="20" w:before="20" w:line="240" w:lineRule="auto"/>
              <w:jc w:val="left"/>
            </w:pPr>
            <w:r/>
            <w:r>
              <w:rPr>
                <w:sz w:val="18"/>
              </w:rPr>
              <w:t>date-heure, heure locale RDC</w:t>
            </w:r>
          </w:p>
        </w:tc>
        <w:tc>
          <w:tcPr>
            <w:tcW w:type="dxa" w:w="3256"/>
          </w:tcPr>
          <w:p>
            <w:pPr>
              <w:spacing w:after="20" w:before="20" w:line="240" w:lineRule="auto"/>
              <w:jc w:val="left"/>
            </w:pPr>
            <w:r/>
            <w:r>
              <w:rPr>
                <w:sz w:val="18"/>
              </w:rPr>
              <w:t>Date et heure de l'opération</w:t>
            </w:r>
          </w:p>
        </w:tc>
        <w:tc>
          <w:tcPr>
            <w:tcW w:type="dxa" w:w="514"/>
          </w:tcPr>
          <w:p>
            <w:pPr>
              <w:spacing w:after="20" w:before="20" w:line="240" w:lineRule="auto"/>
              <w:jc w:val="left"/>
            </w:pPr>
            <w:r/>
            <w:r>
              <w:rPr>
                <w:sz w:val="18"/>
              </w:rPr>
              <w:t>E</w:t>
            </w:r>
          </w:p>
        </w:tc>
      </w:tr>
      <w:tr>
        <w:trPr>
          <w:cantSplit w:val="true"/>
        </w:trPr>
        <w:tc>
          <w:tcPr>
            <w:tcW w:type="dxa" w:w="2352"/>
          </w:tcPr>
          <w:p>
            <w:pPr>
              <w:spacing w:after="20" w:before="20" w:line="240" w:lineRule="auto"/>
              <w:jc w:val="left"/>
            </w:pPr>
            <w:r/>
            <w:r>
              <w:rPr>
                <w:rFonts w:ascii="Courier New" w:hAnsi="Courier New"/>
                <w:b w:val="0"/>
                <w:sz w:val="14"/>
              </w:rPr>
              <w:t>channel</w:t>
            </w:r>
          </w:p>
        </w:tc>
        <w:tc>
          <w:tcPr>
            <w:tcW w:type="dxa" w:w="3266"/>
          </w:tcPr>
          <w:p>
            <w:pPr>
              <w:spacing w:after="20" w:before="20" w:line="240" w:lineRule="auto"/>
              <w:jc w:val="left"/>
            </w:pPr>
            <w:r/>
            <w:r>
              <w:rPr>
                <w:rFonts w:ascii="Courier New" w:hAnsi="Courier New"/>
                <w:b w:val="0"/>
                <w:sz w:val="14"/>
              </w:rPr>
              <w:t>MOBILE_MONEY</w:t>
            </w:r>
            <w:r>
              <w:rPr>
                <w:sz w:val="18"/>
              </w:rPr>
              <w:t xml:space="preserve">, </w:t>
            </w:r>
            <w:r>
              <w:rPr>
                <w:rFonts w:ascii="Courier New" w:hAnsi="Courier New"/>
                <w:b w:val="0"/>
                <w:sz w:val="14"/>
              </w:rPr>
              <w:t>VISA_VIRTUAL</w:t>
            </w:r>
          </w:p>
        </w:tc>
        <w:tc>
          <w:tcPr>
            <w:tcW w:type="dxa" w:w="3256"/>
          </w:tcPr>
          <w:p>
            <w:pPr>
              <w:spacing w:after="20" w:before="20" w:line="240" w:lineRule="auto"/>
              <w:jc w:val="left"/>
            </w:pPr>
            <w:r/>
            <w:r>
              <w:rPr>
                <w:sz w:val="18"/>
              </w:rPr>
              <w:t>Canal de paiement</w:t>
            </w:r>
          </w:p>
        </w:tc>
        <w:tc>
          <w:tcPr>
            <w:tcW w:type="dxa" w:w="514"/>
          </w:tcPr>
          <w:p>
            <w:pPr>
              <w:spacing w:after="20" w:before="20" w:line="240" w:lineRule="auto"/>
              <w:jc w:val="left"/>
            </w:pPr>
            <w:r/>
            <w:r>
              <w:rPr>
                <w:sz w:val="18"/>
              </w:rPr>
              <w:t>E</w:t>
            </w:r>
          </w:p>
        </w:tc>
      </w:tr>
      <w:tr>
        <w:trPr>
          <w:cantSplit w:val="true"/>
        </w:trPr>
        <w:tc>
          <w:tcPr>
            <w:tcW w:type="dxa" w:w="2352"/>
          </w:tcPr>
          <w:p>
            <w:pPr>
              <w:spacing w:after="20" w:before="20" w:line="240" w:lineRule="auto"/>
              <w:jc w:val="left"/>
            </w:pPr>
            <w:r/>
            <w:r>
              <w:rPr>
                <w:rFonts w:ascii="Courier New" w:hAnsi="Courier New"/>
                <w:b w:val="0"/>
                <w:sz w:val="14"/>
              </w:rPr>
              <w:t>operator</w:t>
            </w:r>
          </w:p>
        </w:tc>
        <w:tc>
          <w:tcPr>
            <w:tcW w:type="dxa" w:w="3266"/>
          </w:tcPr>
          <w:p>
            <w:pPr>
              <w:spacing w:after="20" w:before="20" w:line="240" w:lineRule="auto"/>
              <w:jc w:val="left"/>
            </w:pPr>
            <w:r/>
            <w:r>
              <w:rPr>
                <w:rFonts w:ascii="Courier New" w:hAnsi="Courier New"/>
                <w:b w:val="0"/>
                <w:sz w:val="14"/>
              </w:rPr>
              <w:t>VODACOM</w:t>
            </w:r>
            <w:r>
              <w:rPr>
                <w:sz w:val="18"/>
              </w:rPr>
              <w:t xml:space="preserve">, </w:t>
            </w:r>
            <w:r>
              <w:rPr>
                <w:rFonts w:ascii="Courier New" w:hAnsi="Courier New"/>
                <w:b w:val="0"/>
                <w:sz w:val="14"/>
              </w:rPr>
              <w:t>AIRTEL</w:t>
            </w:r>
            <w:r>
              <w:rPr>
                <w:sz w:val="18"/>
              </w:rPr>
              <w:t xml:space="preserve">, </w:t>
            </w:r>
            <w:r>
              <w:rPr>
                <w:rFonts w:ascii="Courier New" w:hAnsi="Courier New"/>
                <w:b w:val="0"/>
                <w:sz w:val="14"/>
              </w:rPr>
              <w:t>ORANGE</w:t>
            </w:r>
          </w:p>
        </w:tc>
        <w:tc>
          <w:tcPr>
            <w:tcW w:type="dxa" w:w="3256"/>
          </w:tcPr>
          <w:p>
            <w:pPr>
              <w:spacing w:after="20" w:before="20" w:line="240" w:lineRule="auto"/>
              <w:jc w:val="left"/>
            </w:pPr>
            <w:r/>
            <w:r>
              <w:rPr>
                <w:sz w:val="18"/>
              </w:rPr>
              <w:t>Opérateur du portefeuille</w:t>
            </w:r>
          </w:p>
        </w:tc>
        <w:tc>
          <w:tcPr>
            <w:tcW w:type="dxa" w:w="514"/>
          </w:tcPr>
          <w:p>
            <w:pPr>
              <w:spacing w:after="20" w:before="20" w:line="240" w:lineRule="auto"/>
              <w:jc w:val="left"/>
            </w:pPr>
            <w:r/>
            <w:r>
              <w:rPr>
                <w:sz w:val="18"/>
              </w:rPr>
              <w:t>E</w:t>
            </w:r>
          </w:p>
        </w:tc>
      </w:tr>
      <w:tr>
        <w:trPr>
          <w:cantSplit w:val="true"/>
        </w:trPr>
        <w:tc>
          <w:tcPr>
            <w:tcW w:type="dxa" w:w="2352"/>
          </w:tcPr>
          <w:p>
            <w:pPr>
              <w:spacing w:after="20" w:before="20" w:line="240" w:lineRule="auto"/>
              <w:jc w:val="left"/>
            </w:pPr>
            <w:r/>
            <w:r>
              <w:rPr>
                <w:rFonts w:ascii="Courier New" w:hAnsi="Courier New"/>
                <w:b w:val="0"/>
                <w:sz w:val="14"/>
              </w:rPr>
              <w:t>tx_type</w:t>
            </w:r>
            <w:r>
              <w:rPr>
                <w:sz w:val="18"/>
              </w:rPr>
              <w:t xml:space="preserve">, </w:t>
            </w:r>
            <w:r>
              <w:rPr>
                <w:rFonts w:ascii="Courier New" w:hAnsi="Courier New"/>
                <w:b w:val="0"/>
                <w:sz w:val="14"/>
              </w:rPr>
              <w:t>access_channel</w:t>
            </w:r>
          </w:p>
        </w:tc>
        <w:tc>
          <w:tcPr>
            <w:tcW w:type="dxa" w:w="3266"/>
          </w:tcPr>
          <w:p>
            <w:pPr>
              <w:spacing w:after="20" w:before="20" w:line="240" w:lineRule="auto"/>
              <w:jc w:val="left"/>
            </w:pPr>
            <w:r/>
            <w:r>
              <w:rPr>
                <w:sz w:val="18"/>
              </w:rPr>
              <w:t xml:space="preserve">9 types ; </w:t>
            </w:r>
            <w:r>
              <w:rPr>
                <w:rFonts w:ascii="Courier New" w:hAnsi="Courier New"/>
                <w:b w:val="0"/>
                <w:sz w:val="14"/>
              </w:rPr>
              <w:t>USSD</w:t>
            </w:r>
            <w:r>
              <w:rPr>
                <w:sz w:val="18"/>
              </w:rPr>
              <w:t xml:space="preserve">, </w:t>
            </w:r>
            <w:r>
              <w:rPr>
                <w:rFonts w:ascii="Courier New" w:hAnsi="Courier New"/>
                <w:b w:val="0"/>
                <w:sz w:val="14"/>
              </w:rPr>
              <w:t>APP</w:t>
            </w:r>
            <w:r>
              <w:rPr>
                <w:sz w:val="18"/>
              </w:rPr>
              <w:t xml:space="preserve">, </w:t>
            </w:r>
            <w:r>
              <w:rPr>
                <w:rFonts w:ascii="Courier New" w:hAnsi="Courier New"/>
                <w:b w:val="0"/>
                <w:sz w:val="14"/>
              </w:rPr>
              <w:t>AGENT</w:t>
            </w:r>
          </w:p>
        </w:tc>
        <w:tc>
          <w:tcPr>
            <w:tcW w:type="dxa" w:w="3256"/>
          </w:tcPr>
          <w:p>
            <w:pPr>
              <w:spacing w:after="20" w:before="20" w:line="240" w:lineRule="auto"/>
              <w:jc w:val="left"/>
            </w:pPr>
            <w:r/>
            <w:r>
              <w:rPr>
                <w:sz w:val="18"/>
              </w:rPr>
              <w:t>Type d'opération et moyen d'accès</w:t>
            </w:r>
          </w:p>
        </w:tc>
        <w:tc>
          <w:tcPr>
            <w:tcW w:type="dxa" w:w="514"/>
          </w:tcPr>
          <w:p>
            <w:pPr>
              <w:spacing w:after="20" w:before="20" w:line="240" w:lineRule="auto"/>
              <w:jc w:val="left"/>
            </w:pPr>
            <w:r/>
            <w:r>
              <w:rPr>
                <w:sz w:val="18"/>
              </w:rPr>
              <w:t>E</w:t>
            </w:r>
          </w:p>
        </w:tc>
      </w:tr>
      <w:tr>
        <w:trPr>
          <w:cantSplit w:val="true"/>
        </w:trPr>
        <w:tc>
          <w:tcPr>
            <w:tcW w:type="dxa" w:w="2352"/>
          </w:tcPr>
          <w:p>
            <w:pPr>
              <w:spacing w:after="20" w:before="20" w:line="240" w:lineRule="auto"/>
              <w:jc w:val="left"/>
            </w:pPr>
            <w:r/>
            <w:r>
              <w:rPr>
                <w:rFonts w:ascii="Courier New" w:hAnsi="Courier New"/>
                <w:b w:val="0"/>
                <w:sz w:val="14"/>
              </w:rPr>
              <w:t>amount</w:t>
            </w:r>
            <w:r>
              <w:rPr>
                <w:sz w:val="18"/>
              </w:rPr>
              <w:t xml:space="preserve">, </w:t>
            </w:r>
            <w:r>
              <w:rPr>
                <w:rFonts w:ascii="Courier New" w:hAnsi="Courier New"/>
                <w:b w:val="0"/>
                <w:sz w:val="14"/>
              </w:rPr>
              <w:t>currency</w:t>
            </w:r>
            <w:r>
              <w:rPr>
                <w:sz w:val="18"/>
              </w:rPr>
              <w:t xml:space="preserve">, </w:t>
            </w:r>
            <w:r>
              <w:rPr>
                <w:rFonts w:ascii="Courier New" w:hAnsi="Courier New"/>
                <w:b w:val="0"/>
                <w:sz w:val="14"/>
              </w:rPr>
              <w:t>amount_usd</w:t>
            </w:r>
          </w:p>
        </w:tc>
        <w:tc>
          <w:tcPr>
            <w:tcW w:type="dxa" w:w="3266"/>
          </w:tcPr>
          <w:p>
            <w:pPr>
              <w:spacing w:after="20" w:before="20" w:line="240" w:lineRule="auto"/>
              <w:jc w:val="left"/>
            </w:pPr>
            <w:r/>
            <w:r>
              <w:rPr>
                <w:sz w:val="18"/>
              </w:rPr>
              <w:t xml:space="preserve">décimal ; </w:t>
            </w:r>
            <w:r>
              <w:rPr>
                <w:rFonts w:ascii="Courier New" w:hAnsi="Courier New"/>
                <w:b w:val="0"/>
                <w:sz w:val="14"/>
              </w:rPr>
              <w:t>CDF</w:t>
            </w:r>
            <w:r>
              <w:rPr>
                <w:sz w:val="18"/>
              </w:rPr>
              <w:t xml:space="preserve">, </w:t>
            </w:r>
            <w:r>
              <w:rPr>
                <w:rFonts w:ascii="Courier New" w:hAnsi="Courier New"/>
                <w:b w:val="0"/>
                <w:sz w:val="14"/>
              </w:rPr>
              <w:t>USD</w:t>
            </w:r>
          </w:p>
        </w:tc>
        <w:tc>
          <w:tcPr>
            <w:tcW w:type="dxa" w:w="3256"/>
          </w:tcPr>
          <w:p>
            <w:pPr>
              <w:spacing w:after="20" w:before="20" w:line="240" w:lineRule="auto"/>
              <w:jc w:val="left"/>
            </w:pPr>
            <w:r/>
            <w:r>
              <w:rPr>
                <w:sz w:val="18"/>
              </w:rPr>
              <w:t>Montant d'origine et montant converti au taux de l'année</w:t>
            </w:r>
          </w:p>
        </w:tc>
        <w:tc>
          <w:tcPr>
            <w:tcW w:type="dxa" w:w="514"/>
          </w:tcPr>
          <w:p>
            <w:pPr>
              <w:spacing w:after="20" w:before="20" w:line="240" w:lineRule="auto"/>
              <w:jc w:val="left"/>
            </w:pPr>
            <w:r/>
            <w:r>
              <w:rPr>
                <w:sz w:val="18"/>
              </w:rPr>
              <w:t>E</w:t>
            </w:r>
          </w:p>
        </w:tc>
      </w:tr>
      <w:tr>
        <w:trPr>
          <w:cantSplit w:val="true"/>
        </w:trPr>
        <w:tc>
          <w:tcPr>
            <w:tcW w:type="dxa" w:w="2352"/>
          </w:tcPr>
          <w:p>
            <w:pPr>
              <w:spacing w:after="20" w:before="20" w:line="240" w:lineRule="auto"/>
              <w:jc w:val="left"/>
            </w:pPr>
            <w:r/>
            <w:r>
              <w:rPr>
                <w:rFonts w:ascii="Courier New" w:hAnsi="Courier New"/>
                <w:b w:val="0"/>
                <w:sz w:val="14"/>
              </w:rPr>
              <w:t>balance_before_usd</w:t>
            </w:r>
          </w:p>
        </w:tc>
        <w:tc>
          <w:tcPr>
            <w:tcW w:type="dxa" w:w="3266"/>
          </w:tcPr>
          <w:p>
            <w:pPr>
              <w:spacing w:after="20" w:before="20" w:line="240" w:lineRule="auto"/>
              <w:jc w:val="left"/>
            </w:pPr>
            <w:r/>
            <w:r>
              <w:rPr>
                <w:sz w:val="18"/>
              </w:rPr>
              <w:t>décimal</w:t>
            </w:r>
          </w:p>
        </w:tc>
        <w:tc>
          <w:tcPr>
            <w:tcW w:type="dxa" w:w="3256"/>
          </w:tcPr>
          <w:p>
            <w:pPr>
              <w:spacing w:after="20" w:before="20" w:line="240" w:lineRule="auto"/>
              <w:jc w:val="left"/>
            </w:pPr>
            <w:r/>
            <w:r>
              <w:rPr>
                <w:sz w:val="18"/>
              </w:rPr>
              <w:t>Solde avant l'opération</w:t>
            </w:r>
          </w:p>
        </w:tc>
        <w:tc>
          <w:tcPr>
            <w:tcW w:type="dxa" w:w="514"/>
          </w:tcPr>
          <w:p>
            <w:pPr>
              <w:spacing w:after="20" w:before="20" w:line="240" w:lineRule="auto"/>
              <w:jc w:val="left"/>
            </w:pPr>
            <w:r/>
            <w:r>
              <w:rPr>
                <w:sz w:val="18"/>
              </w:rPr>
              <w:t>E</w:t>
            </w:r>
          </w:p>
        </w:tc>
      </w:tr>
      <w:tr>
        <w:trPr>
          <w:cantSplit w:val="true"/>
        </w:trPr>
        <w:tc>
          <w:tcPr>
            <w:tcW w:type="dxa" w:w="2352"/>
          </w:tcPr>
          <w:p>
            <w:pPr>
              <w:spacing w:after="20" w:before="20" w:line="240" w:lineRule="auto"/>
              <w:jc w:val="left"/>
            </w:pPr>
            <w:r/>
            <w:r>
              <w:rPr>
                <w:rFonts w:ascii="Courier New" w:hAnsi="Courier New"/>
                <w:b w:val="0"/>
                <w:sz w:val="14"/>
              </w:rPr>
              <w:t>counterparty_id</w:t>
            </w:r>
            <w:r>
              <w:rPr>
                <w:sz w:val="18"/>
              </w:rPr>
              <w:t xml:space="preserve">, </w:t>
            </w:r>
            <w:r>
              <w:rPr>
                <w:rFonts w:ascii="Courier New" w:hAnsi="Courier New"/>
                <w:b w:val="0"/>
                <w:sz w:val="14"/>
              </w:rPr>
              <w:t>merchant_id</w:t>
            </w:r>
            <w:r>
              <w:rPr>
                <w:sz w:val="18"/>
              </w:rPr>
              <w:t xml:space="preserve">, </w:t>
            </w:r>
            <w:r>
              <w:rPr>
                <w:rFonts w:ascii="Courier New" w:hAnsi="Courier New"/>
                <w:b w:val="0"/>
                <w:sz w:val="14"/>
              </w:rPr>
              <w:t>agent_id</w:t>
            </w:r>
          </w:p>
        </w:tc>
        <w:tc>
          <w:tcPr>
            <w:tcW w:type="dxa" w:w="3266"/>
          </w:tcPr>
          <w:p>
            <w:pPr>
              <w:spacing w:after="20" w:before="20" w:line="240" w:lineRule="auto"/>
              <w:jc w:val="left"/>
            </w:pPr>
            <w:r/>
            <w:r>
              <w:rPr>
                <w:sz w:val="18"/>
              </w:rPr>
              <w:t>identifiants</w:t>
            </w:r>
          </w:p>
        </w:tc>
        <w:tc>
          <w:tcPr>
            <w:tcW w:type="dxa" w:w="3256"/>
          </w:tcPr>
          <w:p>
            <w:pPr>
              <w:spacing w:after="20" w:before="20" w:line="240" w:lineRule="auto"/>
              <w:jc w:val="left"/>
            </w:pPr>
            <w:r/>
            <w:r>
              <w:rPr>
                <w:sz w:val="18"/>
              </w:rPr>
              <w:t>Destinataire, marchand, agent</w:t>
            </w:r>
          </w:p>
        </w:tc>
        <w:tc>
          <w:tcPr>
            <w:tcW w:type="dxa" w:w="514"/>
          </w:tcPr>
          <w:p>
            <w:pPr>
              <w:spacing w:after="20" w:before="20" w:line="240" w:lineRule="auto"/>
              <w:jc w:val="left"/>
            </w:pPr>
            <w:r/>
            <w:r>
              <w:rPr>
                <w:sz w:val="18"/>
              </w:rPr>
              <w:t>E</w:t>
            </w:r>
          </w:p>
        </w:tc>
      </w:tr>
      <w:tr>
        <w:trPr>
          <w:cantSplit w:val="true"/>
        </w:trPr>
        <w:tc>
          <w:tcPr>
            <w:tcW w:type="dxa" w:w="2352"/>
          </w:tcPr>
          <w:p>
            <w:pPr>
              <w:spacing w:after="20" w:before="20" w:line="240" w:lineRule="auto"/>
              <w:jc w:val="left"/>
            </w:pPr>
            <w:r/>
            <w:r>
              <w:rPr>
                <w:rFonts w:ascii="Courier New" w:hAnsi="Courier New"/>
                <w:b w:val="0"/>
                <w:sz w:val="14"/>
              </w:rPr>
              <w:t>device_id</w:t>
            </w:r>
            <w:r>
              <w:rPr>
                <w:sz w:val="18"/>
              </w:rPr>
              <w:t xml:space="preserve">, </w:t>
            </w:r>
            <w:r>
              <w:rPr>
                <w:rFonts w:ascii="Courier New" w:hAnsi="Courier New"/>
                <w:b w:val="0"/>
                <w:sz w:val="14"/>
              </w:rPr>
              <w:t>device_type</w:t>
            </w:r>
            <w:r>
              <w:rPr>
                <w:sz w:val="18"/>
              </w:rPr>
              <w:t xml:space="preserve">, </w:t>
            </w:r>
            <w:r>
              <w:rPr>
                <w:rFonts w:ascii="Courier New" w:hAnsi="Courier New"/>
                <w:b w:val="0"/>
                <w:sz w:val="14"/>
              </w:rPr>
              <w:t>ip_country</w:t>
            </w:r>
          </w:p>
        </w:tc>
        <w:tc>
          <w:tcPr>
            <w:tcW w:type="dxa" w:w="3266"/>
          </w:tcPr>
          <w:p>
            <w:pPr>
              <w:spacing w:after="20" w:before="20" w:line="240" w:lineRule="auto"/>
              <w:jc w:val="left"/>
            </w:pPr>
            <w:r/>
            <w:r>
              <w:rPr>
                <w:sz w:val="18"/>
              </w:rPr>
              <w:t>texte</w:t>
            </w:r>
          </w:p>
        </w:tc>
        <w:tc>
          <w:tcPr>
            <w:tcW w:type="dxa" w:w="3256"/>
          </w:tcPr>
          <w:p>
            <w:pPr>
              <w:spacing w:after="20" w:before="20" w:line="240" w:lineRule="auto"/>
              <w:jc w:val="left"/>
            </w:pPr>
            <w:r/>
            <w:r>
              <w:rPr>
                <w:sz w:val="18"/>
              </w:rPr>
              <w:t>Appareil, type de téléphone, pays de l'adresse IP</w:t>
            </w:r>
          </w:p>
        </w:tc>
        <w:tc>
          <w:tcPr>
            <w:tcW w:type="dxa" w:w="514"/>
          </w:tcPr>
          <w:p>
            <w:pPr>
              <w:spacing w:after="20" w:before="20" w:line="240" w:lineRule="auto"/>
              <w:jc w:val="left"/>
            </w:pPr>
            <w:r/>
            <w:r>
              <w:rPr>
                <w:sz w:val="18"/>
              </w:rPr>
              <w:t>E</w:t>
            </w:r>
          </w:p>
        </w:tc>
      </w:tr>
      <w:tr>
        <w:trPr>
          <w:cantSplit w:val="true"/>
        </w:trPr>
        <w:tc>
          <w:tcPr>
            <w:tcW w:type="dxa" w:w="2352"/>
          </w:tcPr>
          <w:p>
            <w:pPr>
              <w:spacing w:after="20" w:before="20" w:line="240" w:lineRule="auto"/>
              <w:jc w:val="left"/>
            </w:pPr>
            <w:r/>
            <w:r>
              <w:rPr>
                <w:rFonts w:ascii="Courier New" w:hAnsi="Courier New"/>
                <w:b w:val="0"/>
                <w:sz w:val="14"/>
              </w:rPr>
              <w:t>location_province</w:t>
            </w:r>
          </w:p>
        </w:tc>
        <w:tc>
          <w:tcPr>
            <w:tcW w:type="dxa" w:w="3266"/>
          </w:tcPr>
          <w:p>
            <w:pPr>
              <w:spacing w:after="20" w:before="20" w:line="240" w:lineRule="auto"/>
              <w:jc w:val="left"/>
            </w:pPr>
            <w:r/>
            <w:r>
              <w:rPr>
                <w:sz w:val="18"/>
              </w:rPr>
              <w:t>26 provinces</w:t>
            </w:r>
          </w:p>
        </w:tc>
        <w:tc>
          <w:tcPr>
            <w:tcW w:type="dxa" w:w="3256"/>
          </w:tcPr>
          <w:p>
            <w:pPr>
              <w:spacing w:after="20" w:before="20" w:line="240" w:lineRule="auto"/>
              <w:jc w:val="left"/>
            </w:pPr>
            <w:r/>
            <w:r>
              <w:rPr>
                <w:sz w:val="18"/>
              </w:rPr>
              <w:t>Province d'où l'opération est initiée</w:t>
            </w:r>
          </w:p>
        </w:tc>
        <w:tc>
          <w:tcPr>
            <w:tcW w:type="dxa" w:w="514"/>
          </w:tcPr>
          <w:p>
            <w:pPr>
              <w:spacing w:after="20" w:before="20" w:line="240" w:lineRule="auto"/>
              <w:jc w:val="left"/>
            </w:pPr>
            <w:r/>
            <w:r>
              <w:rPr>
                <w:sz w:val="18"/>
              </w:rPr>
              <w:t>E</w:t>
            </w:r>
          </w:p>
        </w:tc>
      </w:tr>
      <w:tr>
        <w:trPr>
          <w:cantSplit w:val="true"/>
        </w:trPr>
        <w:tc>
          <w:tcPr>
            <w:tcW w:type="dxa" w:w="2352"/>
          </w:tcPr>
          <w:p>
            <w:pPr>
              <w:spacing w:after="20" w:before="20" w:line="240" w:lineRule="auto"/>
              <w:jc w:val="left"/>
            </w:pPr>
            <w:r/>
            <w:r>
              <w:rPr>
                <w:rFonts w:ascii="Courier New" w:hAnsi="Courier New"/>
                <w:b w:val="0"/>
                <w:sz w:val="14"/>
              </w:rPr>
              <w:t>status</w:t>
            </w:r>
            <w:r>
              <w:rPr>
                <w:sz w:val="18"/>
              </w:rPr>
              <w:t xml:space="preserve">, </w:t>
            </w:r>
            <w:r>
              <w:rPr>
                <w:rFonts w:ascii="Courier New" w:hAnsi="Courier New"/>
                <w:b w:val="0"/>
                <w:sz w:val="14"/>
              </w:rPr>
              <w:t>balance_after_usd</w:t>
            </w:r>
          </w:p>
        </w:tc>
        <w:tc>
          <w:tcPr>
            <w:tcW w:type="dxa" w:w="3266"/>
          </w:tcPr>
          <w:p>
            <w:pPr>
              <w:spacing w:after="20" w:before="20" w:line="240" w:lineRule="auto"/>
              <w:jc w:val="left"/>
            </w:pPr>
            <w:r/>
            <w:r>
              <w:rPr>
                <w:rFonts w:ascii="Courier New" w:hAnsi="Courier New"/>
                <w:b w:val="0"/>
                <w:sz w:val="14"/>
              </w:rPr>
              <w:t>SUCCESS</w:t>
            </w:r>
            <w:r>
              <w:rPr>
                <w:sz w:val="18"/>
              </w:rPr>
              <w:t xml:space="preserve">, </w:t>
            </w:r>
            <w:r>
              <w:rPr>
                <w:rFonts w:ascii="Courier New" w:hAnsi="Courier New"/>
                <w:b w:val="0"/>
                <w:sz w:val="14"/>
              </w:rPr>
              <w:t>FAILED_INSUFFICIENT_FUNDS</w:t>
            </w:r>
          </w:p>
        </w:tc>
        <w:tc>
          <w:tcPr>
            <w:tcW w:type="dxa" w:w="3256"/>
          </w:tcPr>
          <w:p>
            <w:pPr>
              <w:spacing w:after="20" w:before="20" w:line="240" w:lineRule="auto"/>
              <w:jc w:val="left"/>
            </w:pPr>
            <w:r/>
            <w:r>
              <w:rPr>
                <w:sz w:val="18"/>
              </w:rPr>
              <w:t>Résultat et solde après (inconnus au moment de décider)</w:t>
            </w:r>
          </w:p>
        </w:tc>
        <w:tc>
          <w:tcPr>
            <w:tcW w:type="dxa" w:w="514"/>
          </w:tcPr>
          <w:p>
            <w:pPr>
              <w:spacing w:after="20" w:before="20" w:line="240" w:lineRule="auto"/>
              <w:jc w:val="left"/>
            </w:pPr>
            <w:r/>
            <w:r>
              <w:rPr>
                <w:sz w:val="18"/>
              </w:rPr>
              <w:t>H</w:t>
            </w:r>
          </w:p>
        </w:tc>
      </w:tr>
      <w:tr>
        <w:trPr>
          <w:cantSplit w:val="true"/>
        </w:trPr>
        <w:tc>
          <w:tcPr>
            <w:tcW w:type="dxa" w:w="2352"/>
          </w:tcPr>
          <w:p>
            <w:pPr>
              <w:spacing w:after="20" w:before="20" w:line="240" w:lineRule="auto"/>
              <w:jc w:val="left"/>
            </w:pPr>
            <w:r/>
            <w:r>
              <w:rPr>
                <w:rFonts w:ascii="Courier New" w:hAnsi="Courier New"/>
                <w:b w:val="0"/>
                <w:sz w:val="14"/>
              </w:rPr>
              <w:t>is_fraud</w:t>
            </w:r>
          </w:p>
        </w:tc>
        <w:tc>
          <w:tcPr>
            <w:tcW w:type="dxa" w:w="3266"/>
          </w:tcPr>
          <w:p>
            <w:pPr>
              <w:spacing w:after="20" w:before="20" w:line="240" w:lineRule="auto"/>
              <w:jc w:val="left"/>
            </w:pPr>
            <w:r/>
            <w:r>
              <w:rPr>
                <w:sz w:val="18"/>
              </w:rPr>
              <w:t>0 ou 1</w:t>
            </w:r>
          </w:p>
        </w:tc>
        <w:tc>
          <w:tcPr>
            <w:tcW w:type="dxa" w:w="3256"/>
          </w:tcPr>
          <w:p>
            <w:pPr>
              <w:spacing w:after="20" w:before="20" w:line="240" w:lineRule="auto"/>
              <w:jc w:val="left"/>
            </w:pPr>
            <w:r/>
            <w:r>
              <w:rPr>
                <w:b/>
                <w:sz w:val="18"/>
              </w:rPr>
              <w:t>Cible</w:t>
            </w:r>
            <w:r>
              <w:rPr>
                <w:sz w:val="18"/>
              </w:rPr>
              <w:t xml:space="preserve"> : l'opération fait partie d'un épisode de fraude</w:t>
            </w:r>
          </w:p>
        </w:tc>
        <w:tc>
          <w:tcPr>
            <w:tcW w:type="dxa" w:w="514"/>
          </w:tcPr>
          <w:p>
            <w:pPr>
              <w:spacing w:after="20" w:before="20" w:line="240" w:lineRule="auto"/>
              <w:jc w:val="left"/>
            </w:pPr>
            <w:r/>
            <w:r>
              <w:rPr>
                <w:sz w:val="18"/>
              </w:rPr>
              <w:t>C</w:t>
            </w:r>
          </w:p>
        </w:tc>
      </w:tr>
      <w:tr>
        <w:trPr>
          <w:cantSplit w:val="true"/>
        </w:trPr>
        <w:tc>
          <w:tcPr>
            <w:tcW w:type="dxa" w:w="2352"/>
          </w:tcPr>
          <w:p>
            <w:pPr>
              <w:spacing w:after="20" w:before="20" w:line="240" w:lineRule="auto"/>
              <w:jc w:val="left"/>
            </w:pPr>
            <w:r/>
            <w:r>
              <w:rPr>
                <w:rFonts w:ascii="Courier New" w:hAnsi="Courier New"/>
                <w:b w:val="0"/>
                <w:sz w:val="14"/>
              </w:rPr>
              <w:t>fraud_type</w:t>
            </w:r>
            <w:r>
              <w:rPr>
                <w:sz w:val="18"/>
              </w:rPr>
              <w:t xml:space="preserve">, </w:t>
            </w:r>
            <w:r>
              <w:rPr>
                <w:rFonts w:ascii="Courier New" w:hAnsi="Courier New"/>
                <w:b w:val="0"/>
                <w:sz w:val="14"/>
              </w:rPr>
              <w:t>fraud_episode_id</w:t>
            </w:r>
          </w:p>
        </w:tc>
        <w:tc>
          <w:tcPr>
            <w:tcW w:type="dxa" w:w="3266"/>
          </w:tcPr>
          <w:p>
            <w:pPr>
              <w:spacing w:after="20" w:before="20" w:line="240" w:lineRule="auto"/>
              <w:jc w:val="left"/>
            </w:pPr>
            <w:r/>
            <w:r>
              <w:rPr>
                <w:sz w:val="18"/>
              </w:rPr>
              <w:t>catégorie ; identifiant</w:t>
            </w:r>
          </w:p>
        </w:tc>
        <w:tc>
          <w:tcPr>
            <w:tcW w:type="dxa" w:w="3256"/>
          </w:tcPr>
          <w:p>
            <w:pPr>
              <w:spacing w:after="20" w:before="20" w:line="240" w:lineRule="auto"/>
              <w:jc w:val="left"/>
            </w:pPr>
            <w:r/>
            <w:r>
              <w:rPr>
                <w:sz w:val="18"/>
              </w:rPr>
              <w:t>Typologie et épisode (analyse et second étage uniquement)</w:t>
            </w:r>
          </w:p>
        </w:tc>
        <w:tc>
          <w:tcPr>
            <w:tcW w:type="dxa" w:w="514"/>
          </w:tcPr>
          <w:p>
            <w:pPr>
              <w:spacing w:after="20" w:before="20" w:line="240" w:lineRule="auto"/>
              <w:jc w:val="left"/>
            </w:pPr>
            <w:r/>
            <w:r>
              <w:rPr>
                <w:sz w:val="18"/>
              </w:rPr>
              <w:t>H</w:t>
            </w:r>
          </w:p>
        </w:tc>
      </w:tr>
    </w:tbl>
    <w:p>
      <w:pPr>
        <w:spacing w:after="120"/>
      </w:pPr>
    </w:p>
    <w:p>
      <w:pPr>
        <w:spacing w:before="0" w:after="120" w:line="360" w:lineRule="auto"/>
        <w:jc w:val="both"/>
      </w:pPr>
      <w:r>
        <w:rPr>
          <w:sz w:val="24"/>
        </w:rPr>
        <w:t xml:space="preserve">Le fichier des clients précise le segment socio-économique (étudiant, commerçant, salarié, secteur informel, agriculteur, bénéficiaire de la diaspora), le niveau KYC, le plafond par opération, le revenu mensuel déclaré et l'appareil principal. Ses colonnes </w:t>
      </w:r>
      <w:r>
        <w:rPr>
          <w:rFonts w:ascii="Courier New" w:hAnsi="Courier New"/>
          <w:b w:val="0"/>
          <w:sz w:val="20"/>
        </w:rPr>
        <w:t>is_mule_account</w:t>
      </w:r>
      <w:r>
        <w:rPr>
          <w:sz w:val="24"/>
        </w:rPr>
        <w:t xml:space="preserve"> et </w:t>
      </w:r>
      <w:r>
        <w:rPr>
          <w:rFonts w:ascii="Courier New" w:hAnsi="Courier New"/>
          <w:b w:val="0"/>
          <w:sz w:val="20"/>
        </w:rPr>
        <w:t>typical_amount_usd</w:t>
      </w:r>
      <w:r>
        <w:rPr>
          <w:sz w:val="24"/>
        </w:rPr>
        <w:t xml:space="preserve"> sont cachées (rôle H). Le fichier des agents indique la province et si l'agent est compromis (rôle H). Le dictionnaire complet figure dans </w:t>
      </w:r>
      <w:r>
        <w:rPr>
          <w:rFonts w:ascii="Courier New" w:hAnsi="Courier New"/>
          <w:b w:val="0"/>
          <w:sz w:val="20"/>
        </w:rPr>
        <w:t>docs/dictionnaire_donnees.md</w:t>
      </w:r>
      <w:r>
        <w:rPr>
          <w:sz w:val="24"/>
        </w:rPr>
        <w:t>.</w:t>
      </w:r>
    </w:p>
    <w:p>
      <w:pPr>
        <w:pStyle w:val="Titre4"/>
        <w:keepNext/>
        <w:numPr>
          <w:numId w:val="0"/>
        </w:numPr>
        <w:spacing w:before="200" w:after="120"/>
        <w:ind w:left="0" w:firstLine="0"/>
        <w:jc w:val="left"/>
      </w:pPr>
      <w:r>
        <w:rPr>
          <w:b/>
          <w:i/>
          <w:color w:val="000000"/>
          <w:sz w:val="25"/>
        </w:rPr>
        <w:t>2.5 Ce que modélise le générateur</w:t>
      </w:r>
    </w:p>
    <w:p>
      <w:pPr>
        <w:spacing w:before="0" w:after="120" w:line="360" w:lineRule="auto"/>
        <w:jc w:val="both"/>
      </w:pPr>
      <w:r>
        <w:rPr>
          <w:sz w:val="24"/>
        </w:rPr>
        <w:t xml:space="preserve">Les paramètres de simulation sont des </w:t>
      </w:r>
      <w:r>
        <w:rPr>
          <w:b/>
          <w:sz w:val="24"/>
        </w:rPr>
        <w:t>hypothèses de l'auteur</w:t>
      </w:r>
      <w:r>
        <w:rPr>
          <w:sz w:val="24"/>
        </w:rPr>
        <w:t>, choisies pour produire des ordres de grandeur plausibles ; ce ne sont pas des statistiques officielles. Le générateur reproduit :</w:t>
      </w:r>
    </w:p>
    <w:p>
      <w:pPr>
        <w:tabs>
          <w:tab w:pos="567" w:val="left"/>
        </w:tabs>
        <w:spacing w:after="60" w:line="324" w:lineRule="auto"/>
        <w:ind w:left="567" w:hanging="340"/>
        <w:jc w:val="both"/>
      </w:pPr>
      <w:r>
        <w:rPr>
          <w:sz w:val="24"/>
        </w:rPr>
        <w:t>•</w:t>
        <w:tab/>
      </w:r>
      <w:r>
        <w:rPr>
          <w:sz w:val="24"/>
        </w:rPr>
        <w:t xml:space="preserve">des </w:t>
      </w:r>
      <w:r>
        <w:rPr>
          <w:b/>
          <w:sz w:val="24"/>
        </w:rPr>
        <w:t>rythmes individuels</w:t>
      </w:r>
      <w:r>
        <w:rPr>
          <w:sz w:val="24"/>
        </w:rPr>
        <w:t xml:space="preserve"> : heures d'activité propres à chaque client, cycles hebdomadaires, pics de fin de mois, frais scolaires de septembre, abonnements récurrents ;</w:t>
      </w:r>
    </w:p>
    <w:p>
      <w:pPr>
        <w:tabs>
          <w:tab w:pos="567" w:val="left"/>
        </w:tabs>
        <w:spacing w:after="60" w:line="324" w:lineRule="auto"/>
        <w:ind w:left="567" w:hanging="340"/>
        <w:jc w:val="both"/>
      </w:pPr>
      <w:r>
        <w:rPr>
          <w:sz w:val="24"/>
        </w:rPr>
        <w:t>•</w:t>
        <w:tab/>
      </w:r>
      <w:r>
        <w:rPr>
          <w:sz w:val="24"/>
        </w:rPr>
        <w:t xml:space="preserve">des </w:t>
      </w:r>
      <w:r>
        <w:rPr>
          <w:b/>
          <w:sz w:val="24"/>
        </w:rPr>
        <w:t>cas légitimes difficiles</w:t>
      </w:r>
      <w:r>
        <w:rPr>
          <w:sz w:val="24"/>
        </w:rPr>
        <w:t xml:space="preserve"> : changement de téléphone (4 % des clients), voyage, usage nocturne, nouveau destinataire, montant inhabituel mais légitime ;</w:t>
      </w:r>
    </w:p>
    <w:p>
      <w:pPr>
        <w:tabs>
          <w:tab w:pos="567" w:val="left"/>
        </w:tabs>
        <w:spacing w:after="60" w:line="324" w:lineRule="auto"/>
        <w:ind w:left="567" w:hanging="340"/>
        <w:jc w:val="both"/>
      </w:pPr>
      <w:r>
        <w:rPr>
          <w:sz w:val="24"/>
        </w:rPr>
        <w:t>•</w:t>
        <w:tab/>
      </w:r>
      <w:r>
        <w:rPr>
          <w:sz w:val="24"/>
        </w:rPr>
        <w:t xml:space="preserve">des </w:t>
      </w:r>
      <w:r>
        <w:rPr>
          <w:b/>
          <w:sz w:val="24"/>
        </w:rPr>
        <w:t>déplacements réalistes</w:t>
      </w:r>
      <w:r>
        <w:rPr>
          <w:sz w:val="24"/>
        </w:rPr>
        <w:t xml:space="preserve"> : la durée de trajet entre provinces est respectée ;</w:t>
      </w:r>
    </w:p>
    <w:p>
      <w:pPr>
        <w:tabs>
          <w:tab w:pos="567" w:val="left"/>
        </w:tabs>
        <w:spacing w:after="60" w:line="324" w:lineRule="auto"/>
        <w:ind w:left="567" w:hanging="340"/>
        <w:jc w:val="both"/>
      </w:pPr>
      <w:r>
        <w:rPr>
          <w:sz w:val="24"/>
        </w:rPr>
        <w:t>•</w:t>
        <w:tab/>
      </w:r>
      <w:r>
        <w:rPr>
          <w:sz w:val="24"/>
        </w:rPr>
        <w:t xml:space="preserve">des </w:t>
      </w:r>
      <w:r>
        <w:rPr>
          <w:b/>
          <w:sz w:val="24"/>
        </w:rPr>
        <w:t>fraudes par épisodes</w:t>
      </w:r>
      <w:r>
        <w:rPr>
          <w:sz w:val="24"/>
        </w:rPr>
        <w:t>, sur des victimes dont le solde est réellement débité ; une fraude échoue si le solde est insuffisant ;</w:t>
      </w:r>
    </w:p>
    <w:p>
      <w:pPr>
        <w:tabs>
          <w:tab w:pos="567" w:val="left"/>
        </w:tabs>
        <w:spacing w:after="60" w:line="324" w:lineRule="auto"/>
        <w:ind w:left="567" w:hanging="340"/>
        <w:jc w:val="both"/>
      </w:pPr>
      <w:r>
        <w:rPr>
          <w:sz w:val="24"/>
        </w:rPr>
        <w:t>•</w:t>
        <w:tab/>
      </w:r>
      <w:r>
        <w:rPr>
          <w:sz w:val="24"/>
        </w:rPr>
        <w:t xml:space="preserve">une </w:t>
      </w:r>
      <w:r>
        <w:rPr>
          <w:b/>
          <w:sz w:val="24"/>
        </w:rPr>
        <w:t>évolution des fraudes dans le temps</w:t>
      </w:r>
      <w:r>
        <w:rPr>
          <w:sz w:val="24"/>
        </w:rPr>
        <w:t xml:space="preserve"> (paramètres </w:t>
      </w:r>
      <w:r>
        <w:rPr>
          <w:rFonts w:ascii="Courier New" w:hAnsi="Courier New"/>
          <w:b w:val="0"/>
          <w:sz w:val="20"/>
        </w:rPr>
        <w:t>FRAUD_TRENDS</w:t>
      </w:r>
      <w:r>
        <w:rPr>
          <w:sz w:val="24"/>
        </w:rPr>
        <w:t>) : l'ingénierie sociale et le fractionnement progressent sur la période, ce qui permet de tester H5 ;</w:t>
      </w:r>
    </w:p>
    <w:p>
      <w:pPr>
        <w:tabs>
          <w:tab w:pos="567" w:val="left"/>
        </w:tabs>
        <w:spacing w:after="60" w:line="324" w:lineRule="auto"/>
        <w:ind w:left="567" w:hanging="340"/>
        <w:jc w:val="both"/>
      </w:pPr>
      <w:r>
        <w:rPr>
          <w:sz w:val="24"/>
        </w:rPr>
        <w:t>•</w:t>
        <w:tab/>
      </w:r>
      <w:r>
        <w:rPr>
          <w:sz w:val="24"/>
        </w:rPr>
        <w:t>l'</w:t>
      </w:r>
      <w:r>
        <w:rPr>
          <w:b/>
          <w:sz w:val="24"/>
        </w:rPr>
        <w:t>ouverture progressive des comptes</w:t>
      </w:r>
      <w:r>
        <w:rPr>
          <w:sz w:val="24"/>
        </w:rPr>
        <w:t xml:space="preserve"> (35 % des clients existent au départ), une croissance de l'activité d'environ 8 % par an et le lancement de la carte Visa en 2021.</w:t>
      </w:r>
    </w:p>
    <w:p>
      <w:pPr>
        <w:spacing w:before="0" w:after="120" w:line="360" w:lineRule="auto"/>
        <w:jc w:val="both"/>
      </w:pPr>
      <w:r>
        <w:rPr>
          <w:sz w:val="24"/>
        </w:rPr>
        <w:t>Le tableau II.18 résume les caractéristiques du jeu obtenu.</w:t>
      </w:r>
    </w:p>
    <w:p>
      <w:pPr>
        <w:pStyle w:val="Légendetableau"/>
        <w:keepNext/>
        <w:spacing w:before="200" w:after="80"/>
        <w:jc w:val="center"/>
      </w:pPr>
      <w:r>
        <w:rPr>
          <w:b/>
          <w:sz w:val="20"/>
        </w:rPr>
        <w:t>Tableau II.18 — Caractéristiques du jeu de données.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2958"/>
        <w:gridCol w:w="6431"/>
      </w:tblGrid>
      <w:tr>
        <w:trPr>
          <w:tblHeader w:val="true"/>
        </w:trPr>
        <w:tc>
          <w:tcPr>
            <w:tcW w:type="dxa" w:w="2958"/>
            <w:shd w:val="clear" w:color="auto" w:fill="D9E2F3"/>
          </w:tcPr>
          <w:p>
            <w:pPr>
              <w:spacing w:after="20" w:before="20" w:line="240" w:lineRule="auto"/>
              <w:jc w:val="left"/>
            </w:pPr>
            <w:r/>
            <w:r>
              <w:rPr>
                <w:b/>
                <w:sz w:val="20"/>
              </w:rPr>
              <w:t>Caractéristique</w:t>
            </w:r>
          </w:p>
        </w:tc>
        <w:tc>
          <w:tcPr>
            <w:tcW w:type="dxa" w:w="6431"/>
            <w:shd w:val="clear" w:color="auto" w:fill="D9E2F3"/>
          </w:tcPr>
          <w:p>
            <w:pPr>
              <w:spacing w:after="20" w:before="20" w:line="240" w:lineRule="auto"/>
              <w:jc w:val="left"/>
            </w:pPr>
            <w:r/>
            <w:r>
              <w:rPr>
                <w:b/>
                <w:sz w:val="20"/>
              </w:rPr>
              <w:t>Valeur</w:t>
            </w:r>
          </w:p>
        </w:tc>
      </w:tr>
      <w:tr>
        <w:trPr>
          <w:cantSplit w:val="true"/>
        </w:trPr>
        <w:tc>
          <w:tcPr>
            <w:tcW w:type="dxa" w:w="2958"/>
          </w:tcPr>
          <w:p>
            <w:pPr>
              <w:spacing w:after="20" w:before="20" w:line="240" w:lineRule="auto"/>
              <w:jc w:val="left"/>
            </w:pPr>
            <w:r/>
            <w:r>
              <w:rPr>
                <w:sz w:val="20"/>
              </w:rPr>
              <w:t>Période</w:t>
            </w:r>
          </w:p>
        </w:tc>
        <w:tc>
          <w:tcPr>
            <w:tcW w:type="dxa" w:w="6431"/>
          </w:tcPr>
          <w:p>
            <w:pPr>
              <w:spacing w:after="20" w:before="20" w:line="240" w:lineRule="auto"/>
              <w:jc w:val="left"/>
            </w:pPr>
            <w:r/>
            <w:r>
              <w:rPr>
                <w:sz w:val="20"/>
              </w:rPr>
              <w:t>1er janvier 2019 au 31 décembre 2025</w:t>
            </w:r>
          </w:p>
        </w:tc>
      </w:tr>
      <w:tr>
        <w:trPr>
          <w:cantSplit w:val="true"/>
        </w:trPr>
        <w:tc>
          <w:tcPr>
            <w:tcW w:type="dxa" w:w="2958"/>
          </w:tcPr>
          <w:p>
            <w:pPr>
              <w:spacing w:after="20" w:before="20" w:line="240" w:lineRule="auto"/>
              <w:jc w:val="left"/>
            </w:pPr>
            <w:r/>
            <w:r>
              <w:rPr>
                <w:sz w:val="20"/>
              </w:rPr>
              <w:t>Transactions</w:t>
            </w:r>
          </w:p>
        </w:tc>
        <w:tc>
          <w:tcPr>
            <w:tcW w:type="dxa" w:w="6431"/>
          </w:tcPr>
          <w:p>
            <w:pPr>
              <w:spacing w:after="20" w:before="20" w:line="240" w:lineRule="auto"/>
              <w:jc w:val="left"/>
            </w:pPr>
            <w:r/>
            <w:r>
              <w:rPr>
                <w:sz w:val="20"/>
              </w:rPr>
              <w:t>631 968</w:t>
            </w:r>
          </w:p>
        </w:tc>
      </w:tr>
      <w:tr>
        <w:trPr>
          <w:cantSplit w:val="true"/>
        </w:trPr>
        <w:tc>
          <w:tcPr>
            <w:tcW w:type="dxa" w:w="2958"/>
          </w:tcPr>
          <w:p>
            <w:pPr>
              <w:spacing w:after="20" w:before="20" w:line="240" w:lineRule="auto"/>
              <w:jc w:val="left"/>
            </w:pPr>
            <w:r/>
            <w:r>
              <w:rPr>
                <w:sz w:val="20"/>
              </w:rPr>
              <w:t>Utilisateurs</w:t>
            </w:r>
          </w:p>
        </w:tc>
        <w:tc>
          <w:tcPr>
            <w:tcW w:type="dxa" w:w="6431"/>
          </w:tcPr>
          <w:p>
            <w:pPr>
              <w:spacing w:after="20" w:before="20" w:line="240" w:lineRule="auto"/>
              <w:jc w:val="left"/>
            </w:pPr>
            <w:r/>
            <w:r>
              <w:rPr>
                <w:sz w:val="20"/>
              </w:rPr>
              <w:t>500 (arrivées progressives, croissance d'environ 8 % par an)</w:t>
            </w:r>
          </w:p>
        </w:tc>
      </w:tr>
      <w:tr>
        <w:trPr>
          <w:cantSplit w:val="true"/>
        </w:trPr>
        <w:tc>
          <w:tcPr>
            <w:tcW w:type="dxa" w:w="2958"/>
          </w:tcPr>
          <w:p>
            <w:pPr>
              <w:spacing w:after="20" w:before="20" w:line="240" w:lineRule="auto"/>
              <w:jc w:val="left"/>
            </w:pPr>
            <w:r/>
            <w:r>
              <w:rPr>
                <w:sz w:val="20"/>
              </w:rPr>
              <w:t>Fraudes</w:t>
            </w:r>
          </w:p>
        </w:tc>
        <w:tc>
          <w:tcPr>
            <w:tcW w:type="dxa" w:w="6431"/>
          </w:tcPr>
          <w:p>
            <w:pPr>
              <w:spacing w:after="20" w:before="20" w:line="240" w:lineRule="auto"/>
              <w:jc w:val="left"/>
            </w:pPr>
            <w:r/>
            <w:r>
              <w:rPr>
                <w:sz w:val="20"/>
              </w:rPr>
              <w:t xml:space="preserve">8 426, soit </w:t>
            </w:r>
            <w:r>
              <w:rPr>
                <w:b/>
                <w:sz w:val="20"/>
              </w:rPr>
              <w:t>1,33 %</w:t>
            </w:r>
            <w:r>
              <w:rPr>
                <w:sz w:val="20"/>
              </w:rPr>
              <w:t xml:space="preserve"> (3 028 épisodes)</w:t>
            </w:r>
          </w:p>
        </w:tc>
      </w:tr>
      <w:tr>
        <w:trPr>
          <w:cantSplit w:val="true"/>
        </w:trPr>
        <w:tc>
          <w:tcPr>
            <w:tcW w:type="dxa" w:w="2958"/>
          </w:tcPr>
          <w:p>
            <w:pPr>
              <w:spacing w:after="20" w:before="20" w:line="240" w:lineRule="auto"/>
              <w:jc w:val="left"/>
            </w:pPr>
            <w:r/>
            <w:r>
              <w:rPr>
                <w:sz w:val="20"/>
              </w:rPr>
              <w:t>Canaux</w:t>
            </w:r>
          </w:p>
        </w:tc>
        <w:tc>
          <w:tcPr>
            <w:tcW w:type="dxa" w:w="6431"/>
          </w:tcPr>
          <w:p>
            <w:pPr>
              <w:spacing w:after="20" w:before="20" w:line="240" w:lineRule="auto"/>
              <w:jc w:val="left"/>
            </w:pPr>
            <w:r/>
            <w:r>
              <w:rPr>
                <w:sz w:val="20"/>
              </w:rPr>
              <w:t>Mobile Money : 598 515 ; Visa virtuelle : 33 453 (lancée en 2021)</w:t>
            </w:r>
          </w:p>
        </w:tc>
      </w:tr>
      <w:tr>
        <w:trPr>
          <w:cantSplit w:val="true"/>
        </w:trPr>
        <w:tc>
          <w:tcPr>
            <w:tcW w:type="dxa" w:w="2958"/>
          </w:tcPr>
          <w:p>
            <w:pPr>
              <w:spacing w:after="20" w:before="20" w:line="240" w:lineRule="auto"/>
              <w:jc w:val="left"/>
            </w:pPr>
            <w:r/>
            <w:r>
              <w:rPr>
                <w:sz w:val="20"/>
              </w:rPr>
              <w:t>Opérateurs</w:t>
            </w:r>
          </w:p>
        </w:tc>
        <w:tc>
          <w:tcPr>
            <w:tcW w:type="dxa" w:w="6431"/>
          </w:tcPr>
          <w:p>
            <w:pPr>
              <w:spacing w:after="20" w:before="20" w:line="240" w:lineRule="auto"/>
              <w:jc w:val="left"/>
            </w:pPr>
            <w:r/>
            <w:r>
              <w:rPr>
                <w:sz w:val="20"/>
              </w:rPr>
              <w:t>Vodacom : 319 549 ; Airtel : 180 649 ; Orange : 131 770</w:t>
            </w:r>
          </w:p>
        </w:tc>
      </w:tr>
      <w:tr>
        <w:trPr>
          <w:cantSplit w:val="true"/>
        </w:trPr>
        <w:tc>
          <w:tcPr>
            <w:tcW w:type="dxa" w:w="2958"/>
          </w:tcPr>
          <w:p>
            <w:pPr>
              <w:spacing w:after="20" w:before="20" w:line="240" w:lineRule="auto"/>
              <w:jc w:val="left"/>
            </w:pPr>
            <w:r/>
            <w:r>
              <w:rPr>
                <w:sz w:val="20"/>
              </w:rPr>
              <w:t>Monnaies</w:t>
            </w:r>
          </w:p>
        </w:tc>
        <w:tc>
          <w:tcPr>
            <w:tcW w:type="dxa" w:w="6431"/>
          </w:tcPr>
          <w:p>
            <w:pPr>
              <w:spacing w:after="20" w:before="20" w:line="240" w:lineRule="auto"/>
              <w:jc w:val="left"/>
            </w:pPr>
            <w:r/>
            <w:r>
              <w:rPr>
                <w:sz w:val="20"/>
              </w:rPr>
              <w:t>CDF et USD, taux de change par année</w:t>
            </w:r>
          </w:p>
        </w:tc>
      </w:tr>
    </w:tbl>
    <w:p>
      <w:pPr>
        <w:spacing w:after="120"/>
      </w:pPr>
    </w:p>
    <w:p>
      <w:pPr>
        <w:spacing w:before="0" w:after="120" w:line="360" w:lineRule="auto"/>
        <w:jc w:val="both"/>
      </w:pPr>
      <w:r>
        <w:rPr>
          <w:sz w:val="24"/>
        </w:rPr>
        <w:t>Répartition des fraudes par typologie : échange de SIM 2 220, ingénierie sociale 1 850, fractionnement 1 334, prise de contrôle 1 112, fraude d'agent 888, carte non présente 406, test de carte 362, vidage par rechargement 254.</w:t>
      </w:r>
    </w:p>
    <w:p>
      <w:pPr>
        <w:pStyle w:val="Titre4"/>
        <w:keepNext/>
        <w:numPr>
          <w:numId w:val="0"/>
        </w:numPr>
        <w:spacing w:before="200" w:after="120"/>
        <w:ind w:left="0" w:firstLine="0"/>
        <w:jc w:val="left"/>
      </w:pPr>
      <w:r>
        <w:rPr>
          <w:b/>
          <w:i/>
          <w:color w:val="000000"/>
          <w:sz w:val="25"/>
        </w:rPr>
        <w:t>2.6 Confrontation aux sources officielles</w:t>
      </w:r>
    </w:p>
    <w:p>
      <w:pPr>
        <w:spacing w:before="0" w:after="120" w:line="360" w:lineRule="auto"/>
        <w:jc w:val="both"/>
      </w:pPr>
      <w:r>
        <w:rPr>
          <w:sz w:val="24"/>
        </w:rPr>
        <w:t>Les paramètres ont été fixés avant d'être comparés, a posteriori, aux statistiques publiées par l'ARPTC, la BCC et la Banque mondiale (tableau II.19).</w:t>
      </w:r>
    </w:p>
    <w:p>
      <w:pPr>
        <w:pStyle w:val="Légendetableau"/>
        <w:keepNext/>
        <w:spacing w:before="200" w:after="80"/>
        <w:jc w:val="center"/>
      </w:pPr>
      <w:r>
        <w:rPr>
          <w:b/>
          <w:sz w:val="20"/>
        </w:rPr>
        <w:t>Tableau II.19 — Confrontation du générateur aux sources officielles.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1909"/>
        <w:gridCol w:w="2291"/>
        <w:gridCol w:w="4027"/>
        <w:gridCol w:w="1161"/>
      </w:tblGrid>
      <w:tr>
        <w:trPr>
          <w:tblHeader w:val="true"/>
        </w:trPr>
        <w:tc>
          <w:tcPr>
            <w:tcW w:type="dxa" w:w="1909"/>
            <w:shd w:val="clear" w:color="auto" w:fill="D9E2F3"/>
          </w:tcPr>
          <w:p>
            <w:pPr>
              <w:spacing w:after="20" w:before="20" w:line="240" w:lineRule="auto"/>
              <w:jc w:val="left"/>
            </w:pPr>
            <w:r/>
            <w:r>
              <w:rPr>
                <w:b/>
                <w:sz w:val="18"/>
              </w:rPr>
              <w:t>Indicateur</w:t>
            </w:r>
          </w:p>
        </w:tc>
        <w:tc>
          <w:tcPr>
            <w:tcW w:type="dxa" w:w="2291"/>
            <w:shd w:val="clear" w:color="auto" w:fill="D9E2F3"/>
          </w:tcPr>
          <w:p>
            <w:pPr>
              <w:spacing w:after="20" w:before="20" w:line="240" w:lineRule="auto"/>
              <w:jc w:val="left"/>
            </w:pPr>
            <w:r/>
            <w:r>
              <w:rPr>
                <w:b/>
                <w:sz w:val="18"/>
              </w:rPr>
              <w:t>Générateur</w:t>
            </w:r>
          </w:p>
        </w:tc>
        <w:tc>
          <w:tcPr>
            <w:tcW w:type="dxa" w:w="4027"/>
            <w:shd w:val="clear" w:color="auto" w:fill="D9E2F3"/>
          </w:tcPr>
          <w:p>
            <w:pPr>
              <w:spacing w:after="20" w:before="20" w:line="240" w:lineRule="auto"/>
              <w:jc w:val="left"/>
            </w:pPr>
            <w:r/>
            <w:r>
              <w:rPr>
                <w:b/>
                <w:sz w:val="18"/>
              </w:rPr>
              <w:t>Source officielle</w:t>
            </w:r>
          </w:p>
        </w:tc>
        <w:tc>
          <w:tcPr>
            <w:tcW w:type="dxa" w:w="1161"/>
            <w:shd w:val="clear" w:color="auto" w:fill="D9E2F3"/>
          </w:tcPr>
          <w:p>
            <w:pPr>
              <w:spacing w:after="20" w:before="20" w:line="240" w:lineRule="auto"/>
              <w:jc w:val="left"/>
            </w:pPr>
            <w:r/>
            <w:r>
              <w:rPr>
                <w:b/>
                <w:sz w:val="18"/>
              </w:rPr>
              <w:t>Écart</w:t>
            </w:r>
          </w:p>
        </w:tc>
      </w:tr>
      <w:tr>
        <w:trPr>
          <w:cantSplit w:val="true"/>
        </w:trPr>
        <w:tc>
          <w:tcPr>
            <w:tcW w:type="dxa" w:w="1909"/>
          </w:tcPr>
          <w:p>
            <w:pPr>
              <w:spacing w:after="20" w:before="20" w:line="240" w:lineRule="auto"/>
              <w:jc w:val="left"/>
            </w:pPr>
            <w:r/>
            <w:r>
              <w:rPr>
                <w:sz w:val="18"/>
              </w:rPr>
              <w:t>Clients par opérateur</w:t>
            </w:r>
          </w:p>
        </w:tc>
        <w:tc>
          <w:tcPr>
            <w:tcW w:type="dxa" w:w="2291"/>
          </w:tcPr>
          <w:p>
            <w:pPr>
              <w:spacing w:after="20" w:before="20" w:line="240" w:lineRule="auto"/>
              <w:jc w:val="left"/>
            </w:pPr>
            <w:r/>
            <w:r>
              <w:rPr>
                <w:sz w:val="18"/>
              </w:rPr>
              <w:t>Vodacom 45 %, Airtel 32 %, Orange 23 %</w:t>
            </w:r>
          </w:p>
        </w:tc>
        <w:tc>
          <w:tcPr>
            <w:tcW w:type="dxa" w:w="4027"/>
          </w:tcPr>
          <w:p>
            <w:pPr>
              <w:spacing w:after="20" w:before="20" w:line="240" w:lineRule="auto"/>
              <w:jc w:val="left"/>
            </w:pPr>
            <w:r/>
            <w:r>
              <w:rPr>
                <w:sz w:val="18"/>
              </w:rPr>
              <w:t>Abonnés actifs fin 2025 : 45 % / 33 % / 23 % (ARPTC)</w:t>
            </w:r>
          </w:p>
        </w:tc>
        <w:tc>
          <w:tcPr>
            <w:tcW w:type="dxa" w:w="1161"/>
          </w:tcPr>
          <w:p>
            <w:pPr>
              <w:spacing w:after="20" w:before="20" w:line="240" w:lineRule="auto"/>
              <w:jc w:val="left"/>
            </w:pPr>
            <w:r/>
            <w:r>
              <w:rPr>
                <w:sz w:val="18"/>
              </w:rPr>
              <w:t>cohérent</w:t>
            </w:r>
          </w:p>
        </w:tc>
      </w:tr>
      <w:tr>
        <w:trPr>
          <w:cantSplit w:val="true"/>
        </w:trPr>
        <w:tc>
          <w:tcPr>
            <w:tcW w:type="dxa" w:w="1909"/>
          </w:tcPr>
          <w:p>
            <w:pPr>
              <w:spacing w:after="20" w:before="20" w:line="240" w:lineRule="auto"/>
              <w:jc w:val="left"/>
            </w:pPr>
            <w:r/>
            <w:r>
              <w:rPr>
                <w:sz w:val="18"/>
              </w:rPr>
              <w:t>Provinces les plus actives</w:t>
            </w:r>
          </w:p>
        </w:tc>
        <w:tc>
          <w:tcPr>
            <w:tcW w:type="dxa" w:w="2291"/>
          </w:tcPr>
          <w:p>
            <w:pPr>
              <w:spacing w:after="20" w:before="20" w:line="240" w:lineRule="auto"/>
              <w:jc w:val="left"/>
            </w:pPr>
            <w:r/>
            <w:r>
              <w:rPr>
                <w:sz w:val="18"/>
              </w:rPr>
              <w:t>Kinshasa, Haut-Katanga, Nord-Kivu</w:t>
            </w:r>
          </w:p>
        </w:tc>
        <w:tc>
          <w:tcPr>
            <w:tcW w:type="dxa" w:w="4027"/>
          </w:tcPr>
          <w:p>
            <w:pPr>
              <w:spacing w:after="20" w:before="20" w:line="240" w:lineRule="auto"/>
              <w:jc w:val="left"/>
            </w:pPr>
            <w:r/>
            <w:r>
              <w:rPr>
                <w:sz w:val="18"/>
              </w:rPr>
              <w:t>Même classement des revenus Mobile Money, T1 2024 (ARPTC)</w:t>
            </w:r>
          </w:p>
        </w:tc>
        <w:tc>
          <w:tcPr>
            <w:tcW w:type="dxa" w:w="1161"/>
          </w:tcPr>
          <w:p>
            <w:pPr>
              <w:spacing w:after="20" w:before="20" w:line="240" w:lineRule="auto"/>
              <w:jc w:val="left"/>
            </w:pPr>
            <w:r/>
            <w:r>
              <w:rPr>
                <w:sz w:val="18"/>
              </w:rPr>
              <w:t>même classement</w:t>
            </w:r>
          </w:p>
        </w:tc>
      </w:tr>
      <w:tr>
        <w:trPr>
          <w:cantSplit w:val="true"/>
        </w:trPr>
        <w:tc>
          <w:tcPr>
            <w:tcW w:type="dxa" w:w="1909"/>
          </w:tcPr>
          <w:p>
            <w:pPr>
              <w:spacing w:after="20" w:before="20" w:line="240" w:lineRule="auto"/>
              <w:jc w:val="left"/>
            </w:pPr>
            <w:r/>
            <w:r>
              <w:rPr>
                <w:sz w:val="18"/>
              </w:rPr>
              <w:t>Taux USD/CDF 2019 à 2022</w:t>
            </w:r>
          </w:p>
        </w:tc>
        <w:tc>
          <w:tcPr>
            <w:tcW w:type="dxa" w:w="2291"/>
          </w:tcPr>
          <w:p>
            <w:pPr>
              <w:spacing w:after="20" w:before="20" w:line="240" w:lineRule="auto"/>
              <w:jc w:val="left"/>
            </w:pPr>
            <w:r/>
            <w:r>
              <w:rPr>
                <w:sz w:val="18"/>
              </w:rPr>
              <w:t>1 650 ; 1 850 ; 1 990 ; 2 010</w:t>
            </w:r>
          </w:p>
        </w:tc>
        <w:tc>
          <w:tcPr>
            <w:tcW w:type="dxa" w:w="4027"/>
          </w:tcPr>
          <w:p>
            <w:pPr>
              <w:spacing w:after="20" w:before="20" w:line="240" w:lineRule="auto"/>
              <w:jc w:val="left"/>
            </w:pPr>
            <w:r/>
            <w:r>
              <w:rPr>
                <w:sz w:val="18"/>
              </w:rPr>
              <w:t>1 647,8 ; 1 851,1 ; 1 989,4 ; 2 006,7 (Banque mondiale, d'après la BCC)</w:t>
            </w:r>
          </w:p>
        </w:tc>
        <w:tc>
          <w:tcPr>
            <w:tcW w:type="dxa" w:w="1161"/>
          </w:tcPr>
          <w:p>
            <w:pPr>
              <w:spacing w:after="20" w:before="20" w:line="240" w:lineRule="auto"/>
              <w:jc w:val="left"/>
            </w:pPr>
            <w:r/>
            <w:r>
              <w:rPr>
                <w:sz w:val="18"/>
              </w:rPr>
              <w:t>moins de 0,2 %</w:t>
            </w:r>
          </w:p>
        </w:tc>
      </w:tr>
      <w:tr>
        <w:trPr>
          <w:cantSplit w:val="true"/>
        </w:trPr>
        <w:tc>
          <w:tcPr>
            <w:tcW w:type="dxa" w:w="1909"/>
          </w:tcPr>
          <w:p>
            <w:pPr>
              <w:spacing w:after="20" w:before="20" w:line="240" w:lineRule="auto"/>
              <w:jc w:val="left"/>
            </w:pPr>
            <w:r/>
            <w:r>
              <w:rPr>
                <w:sz w:val="18"/>
              </w:rPr>
              <w:t>Taux USD/CDF 2023 et 2025</w:t>
            </w:r>
          </w:p>
        </w:tc>
        <w:tc>
          <w:tcPr>
            <w:tcW w:type="dxa" w:w="2291"/>
          </w:tcPr>
          <w:p>
            <w:pPr>
              <w:spacing w:after="20" w:before="20" w:line="240" w:lineRule="auto"/>
              <w:jc w:val="left"/>
            </w:pPr>
            <w:r/>
            <w:r>
              <w:rPr>
                <w:sz w:val="18"/>
              </w:rPr>
              <w:t>2 450 ; 2 850</w:t>
            </w:r>
          </w:p>
        </w:tc>
        <w:tc>
          <w:tcPr>
            <w:tcW w:type="dxa" w:w="4027"/>
          </w:tcPr>
          <w:p>
            <w:pPr>
              <w:spacing w:after="20" w:before="20" w:line="240" w:lineRule="auto"/>
              <w:jc w:val="left"/>
            </w:pPr>
            <w:r/>
            <w:r>
              <w:rPr>
                <w:sz w:val="18"/>
              </w:rPr>
              <w:t>2 340,0 ; 2 693,2</w:t>
            </w:r>
          </w:p>
        </w:tc>
        <w:tc>
          <w:tcPr>
            <w:tcW w:type="dxa" w:w="1161"/>
          </w:tcPr>
          <w:p>
            <w:pPr>
              <w:spacing w:after="20" w:before="20" w:line="240" w:lineRule="auto"/>
              <w:jc w:val="left"/>
            </w:pPr>
            <w:r/>
            <w:r>
              <w:rPr>
                <w:sz w:val="18"/>
              </w:rPr>
              <w:t>+ 4,7 % ; + 5,8 %</w:t>
            </w:r>
          </w:p>
        </w:tc>
      </w:tr>
      <w:tr>
        <w:trPr>
          <w:cantSplit w:val="true"/>
        </w:trPr>
        <w:tc>
          <w:tcPr>
            <w:tcW w:type="dxa" w:w="1909"/>
          </w:tcPr>
          <w:p>
            <w:pPr>
              <w:spacing w:after="20" w:before="20" w:line="240" w:lineRule="auto"/>
              <w:jc w:val="left"/>
            </w:pPr>
            <w:r/>
            <w:r>
              <w:rPr>
                <w:sz w:val="18"/>
              </w:rPr>
              <w:t>Taux de fraude</w:t>
            </w:r>
          </w:p>
        </w:tc>
        <w:tc>
          <w:tcPr>
            <w:tcW w:type="dxa" w:w="2291"/>
          </w:tcPr>
          <w:p>
            <w:pPr>
              <w:spacing w:after="20" w:before="20" w:line="240" w:lineRule="auto"/>
              <w:jc w:val="left"/>
            </w:pPr>
            <w:r/>
            <w:r>
              <w:rPr>
                <w:sz w:val="18"/>
              </w:rPr>
              <w:t>1,24 % (Mobile Money)</w:t>
            </w:r>
          </w:p>
        </w:tc>
        <w:tc>
          <w:tcPr>
            <w:tcW w:type="dxa" w:w="4027"/>
          </w:tcPr>
          <w:p>
            <w:pPr>
              <w:spacing w:after="20" w:before="20" w:line="240" w:lineRule="auto"/>
              <w:jc w:val="left"/>
            </w:pPr>
            <w:r/>
            <w:r>
              <w:rPr>
                <w:sz w:val="18"/>
              </w:rPr>
              <w:t>aucune statistique publique pour la RDC</w:t>
            </w:r>
          </w:p>
        </w:tc>
        <w:tc>
          <w:tcPr>
            <w:tcW w:type="dxa" w:w="1161"/>
          </w:tcPr>
          <w:p>
            <w:pPr>
              <w:spacing w:after="20" w:before="20" w:line="240" w:lineRule="auto"/>
              <w:jc w:val="left"/>
            </w:pPr>
            <w:r/>
            <w:r>
              <w:rPr>
                <w:sz w:val="18"/>
              </w:rPr>
              <w:t>non vérifiable</w:t>
            </w:r>
          </w:p>
        </w:tc>
      </w:tr>
    </w:tbl>
    <w:p>
      <w:pPr>
        <w:spacing w:after="120"/>
      </w:pPr>
    </w:p>
    <w:p>
      <w:pPr>
        <w:spacing w:before="0" w:after="120" w:line="360" w:lineRule="auto"/>
        <w:jc w:val="both"/>
      </w:pPr>
      <w:r>
        <w:rPr>
          <w:sz w:val="24"/>
        </w:rPr>
        <w:t xml:space="preserve">La </w:t>
      </w:r>
      <w:r>
        <w:rPr>
          <w:b/>
          <w:sz w:val="24"/>
        </w:rPr>
        <w:t>structure</w:t>
      </w:r>
      <w:r>
        <w:rPr>
          <w:sz w:val="24"/>
        </w:rPr>
        <w:t xml:space="preserve"> du marché simulé est donc cohérente avec les statistiques officielles. En revanche, le </w:t>
      </w:r>
      <w:r>
        <w:rPr>
          <w:b/>
          <w:sz w:val="24"/>
        </w:rPr>
        <w:t>taux de fraude</w:t>
      </w:r>
      <w:r>
        <w:rPr>
          <w:sz w:val="24"/>
        </w:rPr>
        <w:t xml:space="preserve"> et la </w:t>
      </w:r>
      <w:r>
        <w:rPr>
          <w:b/>
          <w:sz w:val="24"/>
        </w:rPr>
        <w:t>répartition des typologies</w:t>
      </w:r>
      <w:r>
        <w:rPr>
          <w:sz w:val="24"/>
        </w:rPr>
        <w:t xml:space="preserve"> restent des hypothèses qu'aucune donnée publique ne permet de vérifier pour la RDC.</w:t>
      </w:r>
    </w:p>
    <w:p>
      <w:pPr>
        <w:pStyle w:val="Titre3"/>
        <w:keepNext/>
        <w:numPr>
          <w:numId w:val="0"/>
        </w:numPr>
        <w:spacing w:before="280" w:after="120"/>
        <w:ind w:left="0" w:firstLine="0"/>
        <w:jc w:val="left"/>
      </w:pPr>
      <w:r>
        <w:rPr>
          <w:b/>
          <w:color w:val="1F2A44"/>
          <w:sz w:val="28"/>
        </w:rPr>
        <w:t>3. Processus de collecte</w:t>
      </w:r>
    </w:p>
    <w:p>
      <w:pPr>
        <w:pStyle w:val="Titre4"/>
        <w:keepNext/>
        <w:numPr>
          <w:numId w:val="0"/>
        </w:numPr>
        <w:spacing w:before="200" w:after="120"/>
        <w:ind w:left="0" w:firstLine="0"/>
        <w:jc w:val="left"/>
      </w:pPr>
      <w:r>
        <w:rPr>
          <w:b/>
          <w:i/>
          <w:color w:val="000000"/>
          <w:sz w:val="25"/>
        </w:rPr>
        <w:t>3.1 Collecte des données d'apprentissage : la génération</w:t>
      </w:r>
    </w:p>
    <w:p>
      <w:pPr>
        <w:spacing w:before="0" w:after="120" w:line="360" w:lineRule="auto"/>
        <w:jc w:val="both"/>
      </w:pPr>
      <w:r>
        <w:rPr>
          <w:sz w:val="24"/>
        </w:rPr>
        <w:t xml:space="preserve">Les données d'apprentissage ne sont pas collectées auprès d'un opérateur : elles sont </w:t>
      </w:r>
      <w:r>
        <w:rPr>
          <w:b/>
          <w:sz w:val="24"/>
        </w:rPr>
        <w:t>générées</w:t>
      </w:r>
      <w:r>
        <w:rPr>
          <w:sz w:val="24"/>
        </w:rPr>
        <w:t xml:space="preserve"> par un processus automatisé et déterministe. Le générateur crée d'abord la population (clients, agents, marchands, avec leurs profils), puis rejoue le temps jour après jour : chaque client produit ses opérations légitimes selon ses habitudes, puis des épisodes de fraude sont injectés sur des victimes tirées parmi les clients actifs ce jour-là. Les fraudes tirent leur typologie selon l'intensité de chaque année (</w:t>
      </w:r>
      <w:r>
        <w:rPr>
          <w:rFonts w:ascii="Courier New" w:hAnsi="Courier New"/>
          <w:b w:val="0"/>
          <w:sz w:val="20"/>
        </w:rPr>
        <w:t>FRAUD_TRENDS</w:t>
      </w:r>
      <w:r>
        <w:rPr>
          <w:sz w:val="24"/>
        </w:rPr>
        <w:t>). Le résultat est écrit dans quatre fichiers CSV et un fichier de métadonnées qui consigne la configuration complète de la génération.</w:t>
      </w:r>
    </w:p>
    <w:p>
      <w:pPr>
        <w:pStyle w:val="Titre4"/>
        <w:keepNext/>
        <w:numPr>
          <w:numId w:val="0"/>
        </w:numPr>
        <w:spacing w:before="200" w:after="120"/>
        <w:ind w:left="0" w:firstLine="0"/>
        <w:jc w:val="left"/>
      </w:pPr>
      <w:r>
        <w:rPr>
          <w:b/>
          <w:i/>
          <w:color w:val="000000"/>
          <w:sz w:val="25"/>
        </w:rPr>
        <w:t>3.2 Collecte en exploitation : le flux temps réel</w:t>
      </w:r>
    </w:p>
    <w:p>
      <w:pPr>
        <w:spacing w:before="0" w:after="120" w:line="360" w:lineRule="auto"/>
        <w:jc w:val="both"/>
      </w:pPr>
      <w:r>
        <w:rPr>
          <w:sz w:val="24"/>
        </w:rPr>
        <w:t>En fonctionnement, les opérations arrivent des institutions partenaires par l'</w:t>
      </w:r>
      <w:r>
        <w:rPr>
          <w:b/>
          <w:sz w:val="24"/>
        </w:rPr>
        <w:t>API d'intégration</w:t>
      </w:r>
      <w:r>
        <w:rPr>
          <w:sz w:val="24"/>
        </w:rPr>
        <w:t xml:space="preserve"> et suivent une chaîne en quatre étapes.</w:t>
      </w:r>
    </w:p>
    <w:p>
      <w:pPr>
        <w:tabs>
          <w:tab w:pos="567" w:val="left"/>
        </w:tabs>
        <w:spacing w:after="60" w:line="324" w:lineRule="auto"/>
        <w:ind w:left="567" w:hanging="340"/>
        <w:jc w:val="both"/>
      </w:pPr>
      <w:r>
        <w:rPr>
          <w:sz w:val="24"/>
        </w:rPr>
        <w:t>1.</w:t>
        <w:tab/>
      </w:r>
      <w:r>
        <w:rPr>
          <w:b/>
          <w:sz w:val="24"/>
        </w:rPr>
        <w:t>Réception et normalisation.</w:t>
      </w:r>
      <w:r>
        <w:rPr>
          <w:sz w:val="24"/>
        </w:rPr>
        <w:t xml:space="preserve"> Chaque institution s'authentifie par une clé d'API. Son opération, au format commun ou dans son format natif (Vodacom, Airtel, Orange, Visa), est convertie par un adaptateur vers un </w:t>
      </w:r>
      <w:r>
        <w:rPr>
          <w:b/>
          <w:sz w:val="24"/>
        </w:rPr>
        <w:t>schéma pivot</w:t>
      </w:r>
      <w:r>
        <w:rPr>
          <w:sz w:val="24"/>
        </w:rPr>
        <w:t xml:space="preserve"> unique, </w:t>
      </w:r>
      <w:r>
        <w:rPr>
          <w:rFonts w:ascii="Courier New" w:hAnsi="Courier New"/>
          <w:b w:val="0"/>
          <w:sz w:val="20"/>
        </w:rPr>
        <w:t>UnifiedTransaction</w:t>
      </w:r>
      <w:r>
        <w:rPr>
          <w:sz w:val="24"/>
        </w:rPr>
        <w:t>. Le code de l'institution est fixé par le serveur d'après la clé, jamais d'après la requête.</w:t>
      </w:r>
    </w:p>
    <w:p>
      <w:pPr>
        <w:tabs>
          <w:tab w:pos="567" w:val="left"/>
        </w:tabs>
        <w:spacing w:after="60" w:line="324" w:lineRule="auto"/>
        <w:ind w:left="567" w:hanging="340"/>
        <w:jc w:val="both"/>
      </w:pPr>
      <w:r>
        <w:rPr>
          <w:sz w:val="24"/>
        </w:rPr>
        <w:t>2.</w:t>
        <w:tab/>
      </w:r>
      <w:r>
        <w:rPr>
          <w:b/>
          <w:sz w:val="24"/>
        </w:rPr>
        <w:t>Notation synchrone.</w:t>
      </w:r>
      <w:r>
        <w:rPr>
          <w:sz w:val="24"/>
        </w:rPr>
        <w:t xml:space="preserve"> Le service de notation vérifie l'idempotence, met à jour le profil du client, calcule les variables et rend la décision, en moins de 100 ms.</w:t>
      </w:r>
    </w:p>
    <w:p>
      <w:pPr>
        <w:tabs>
          <w:tab w:pos="567" w:val="left"/>
        </w:tabs>
        <w:spacing w:after="60" w:line="324" w:lineRule="auto"/>
        <w:ind w:left="567" w:hanging="340"/>
        <w:jc w:val="both"/>
      </w:pPr>
      <w:r>
        <w:rPr>
          <w:sz w:val="24"/>
        </w:rPr>
        <w:t>3.</w:t>
        <w:tab/>
      </w:r>
      <w:r>
        <w:rPr>
          <w:b/>
          <w:sz w:val="24"/>
        </w:rPr>
        <w:t>Publication asynchrone.</w:t>
      </w:r>
      <w:r>
        <w:rPr>
          <w:sz w:val="24"/>
        </w:rPr>
        <w:t xml:space="preserve"> Le résultat est publié dans le bus d'événements </w:t>
      </w:r>
      <w:r>
        <w:rPr>
          <w:b/>
          <w:sz w:val="24"/>
        </w:rPr>
        <w:t>Kafka</w:t>
      </w:r>
      <w:r>
        <w:rPr>
          <w:sz w:val="24"/>
        </w:rPr>
        <w:t>, qui découple la décision (rapide, synchrone) de tout le reste.</w:t>
      </w:r>
    </w:p>
    <w:p>
      <w:pPr>
        <w:tabs>
          <w:tab w:pos="567" w:val="left"/>
        </w:tabs>
        <w:spacing w:after="60" w:line="324" w:lineRule="auto"/>
        <w:ind w:left="567" w:hanging="340"/>
        <w:jc w:val="both"/>
      </w:pPr>
      <w:r>
        <w:rPr>
          <w:sz w:val="24"/>
        </w:rPr>
        <w:t>4.</w:t>
        <w:tab/>
      </w:r>
      <w:r>
        <w:rPr>
          <w:b/>
          <w:sz w:val="24"/>
        </w:rPr>
        <w:t>Consommation par des workers.</w:t>
      </w:r>
      <w:r>
        <w:rPr>
          <w:sz w:val="24"/>
        </w:rPr>
        <w:t xml:space="preserve"> Trois workers lisent les événements : le </w:t>
      </w:r>
      <w:r>
        <w:rPr>
          <w:i/>
          <w:sz w:val="24"/>
        </w:rPr>
        <w:t>persister</w:t>
      </w:r>
      <w:r>
        <w:rPr>
          <w:sz w:val="24"/>
        </w:rPr>
        <w:t xml:space="preserve"> enregistre l'opération dans PostgreSQL / TimescaleDB, l'</w:t>
      </w:r>
      <w:r>
        <w:rPr>
          <w:i/>
          <w:sz w:val="24"/>
        </w:rPr>
        <w:t>alerter</w:t>
      </w:r>
      <w:r>
        <w:rPr>
          <w:sz w:val="24"/>
        </w:rPr>
        <w:t xml:space="preserve"> ouvre les dossiers et prévient le client, l'</w:t>
      </w:r>
      <w:r>
        <w:rPr>
          <w:i/>
          <w:sz w:val="24"/>
        </w:rPr>
        <w:t>auditor</w:t>
      </w:r>
      <w:r>
        <w:rPr>
          <w:sz w:val="24"/>
        </w:rPr>
        <w:t xml:space="preserve"> écrit le journal d'audit.</w:t>
      </w:r>
    </w:p>
    <w:p>
      <w:pPr>
        <w:spacing w:before="0" w:after="120" w:line="360" w:lineRule="auto"/>
        <w:jc w:val="both"/>
      </w:pPr>
      <w:r>
        <w:rPr>
          <w:sz w:val="24"/>
        </w:rPr>
        <w:t>Quatre sujets Kafka relient les composants (tableau II.20).</w:t>
      </w:r>
    </w:p>
    <w:p>
      <w:pPr>
        <w:pStyle w:val="Légendetableau"/>
        <w:keepNext/>
        <w:spacing w:before="200" w:after="80"/>
        <w:jc w:val="center"/>
      </w:pPr>
      <w:r>
        <w:rPr>
          <w:b/>
          <w:sz w:val="20"/>
        </w:rPr>
        <w:t>Tableau II.20 — Sujets Kafka.</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2875"/>
        <w:gridCol w:w="3257"/>
        <w:gridCol w:w="1816"/>
        <w:gridCol w:w="1440"/>
      </w:tblGrid>
      <w:tr>
        <w:trPr>
          <w:tblHeader w:val="true"/>
        </w:trPr>
        <w:tc>
          <w:tcPr>
            <w:tcW w:type="dxa" w:w="2875"/>
            <w:shd w:val="clear" w:color="auto" w:fill="D9E2F3"/>
          </w:tcPr>
          <w:p>
            <w:pPr>
              <w:spacing w:after="20" w:before="20" w:line="240" w:lineRule="auto"/>
              <w:jc w:val="left"/>
            </w:pPr>
            <w:r/>
            <w:r>
              <w:rPr>
                <w:b/>
                <w:sz w:val="18"/>
              </w:rPr>
              <w:t>Sujet</w:t>
            </w:r>
          </w:p>
        </w:tc>
        <w:tc>
          <w:tcPr>
            <w:tcW w:type="dxa" w:w="3257"/>
            <w:shd w:val="clear" w:color="auto" w:fill="D9E2F3"/>
          </w:tcPr>
          <w:p>
            <w:pPr>
              <w:spacing w:after="20" w:before="20" w:line="240" w:lineRule="auto"/>
              <w:jc w:val="left"/>
            </w:pPr>
            <w:r/>
            <w:r>
              <w:rPr>
                <w:b/>
                <w:sz w:val="18"/>
              </w:rPr>
              <w:t>Contenu</w:t>
            </w:r>
          </w:p>
        </w:tc>
        <w:tc>
          <w:tcPr>
            <w:tcW w:type="dxa" w:w="1816"/>
            <w:shd w:val="clear" w:color="auto" w:fill="D9E2F3"/>
          </w:tcPr>
          <w:p>
            <w:pPr>
              <w:spacing w:after="20" w:before="20" w:line="240" w:lineRule="auto"/>
              <w:jc w:val="left"/>
            </w:pPr>
            <w:r/>
            <w:r>
              <w:rPr>
                <w:b/>
                <w:sz w:val="18"/>
              </w:rPr>
              <w:t>Producteur</w:t>
            </w:r>
          </w:p>
        </w:tc>
        <w:tc>
          <w:tcPr>
            <w:tcW w:type="dxa" w:w="1440"/>
            <w:shd w:val="clear" w:color="auto" w:fill="D9E2F3"/>
          </w:tcPr>
          <w:p>
            <w:pPr>
              <w:spacing w:after="20" w:before="20" w:line="240" w:lineRule="auto"/>
              <w:jc w:val="left"/>
            </w:pPr>
            <w:r/>
            <w:r>
              <w:rPr>
                <w:b/>
                <w:sz w:val="18"/>
              </w:rPr>
              <w:t>Consommateur</w:t>
            </w:r>
          </w:p>
        </w:tc>
      </w:tr>
      <w:tr>
        <w:trPr>
          <w:cantSplit w:val="true"/>
        </w:trPr>
        <w:tc>
          <w:tcPr>
            <w:tcW w:type="dxa" w:w="2875"/>
          </w:tcPr>
          <w:p>
            <w:pPr>
              <w:spacing w:after="20" w:before="20" w:line="240" w:lineRule="auto"/>
              <w:jc w:val="left"/>
            </w:pPr>
            <w:r/>
            <w:r>
              <w:rPr>
                <w:rFonts w:ascii="Courier New" w:hAnsi="Courier New"/>
                <w:b w:val="0"/>
                <w:sz w:val="14"/>
              </w:rPr>
              <w:t>transactions.scored</w:t>
            </w:r>
          </w:p>
        </w:tc>
        <w:tc>
          <w:tcPr>
            <w:tcW w:type="dxa" w:w="3257"/>
          </w:tcPr>
          <w:p>
            <w:pPr>
              <w:spacing w:after="20" w:before="20" w:line="240" w:lineRule="auto"/>
              <w:jc w:val="left"/>
            </w:pPr>
            <w:r/>
            <w:r>
              <w:rPr>
                <w:sz w:val="18"/>
              </w:rPr>
              <w:t>toute opération notée, avec sa décision et son explication</w:t>
            </w:r>
          </w:p>
        </w:tc>
        <w:tc>
          <w:tcPr>
            <w:tcW w:type="dxa" w:w="1816"/>
          </w:tcPr>
          <w:p>
            <w:pPr>
              <w:spacing w:after="20" w:before="20" w:line="240" w:lineRule="auto"/>
              <w:jc w:val="left"/>
            </w:pPr>
            <w:r/>
            <w:r>
              <w:rPr>
                <w:sz w:val="18"/>
              </w:rPr>
              <w:t>service de notation</w:t>
            </w:r>
          </w:p>
        </w:tc>
        <w:tc>
          <w:tcPr>
            <w:tcW w:type="dxa" w:w="1440"/>
          </w:tcPr>
          <w:p>
            <w:pPr>
              <w:spacing w:after="20" w:before="20" w:line="240" w:lineRule="auto"/>
              <w:jc w:val="left"/>
            </w:pPr>
            <w:r/>
            <w:r>
              <w:rPr>
                <w:i/>
                <w:sz w:val="18"/>
              </w:rPr>
              <w:t>persister</w:t>
            </w:r>
          </w:p>
        </w:tc>
      </w:tr>
      <w:tr>
        <w:trPr>
          <w:cantSplit w:val="true"/>
        </w:trPr>
        <w:tc>
          <w:tcPr>
            <w:tcW w:type="dxa" w:w="2875"/>
          </w:tcPr>
          <w:p>
            <w:pPr>
              <w:spacing w:after="20" w:before="20" w:line="240" w:lineRule="auto"/>
              <w:jc w:val="left"/>
            </w:pPr>
            <w:r/>
            <w:r>
              <w:rPr>
                <w:rFonts w:ascii="Courier New" w:hAnsi="Courier New"/>
                <w:b w:val="0"/>
                <w:sz w:val="14"/>
              </w:rPr>
              <w:t>fraud.alerts</w:t>
            </w:r>
          </w:p>
        </w:tc>
        <w:tc>
          <w:tcPr>
            <w:tcW w:type="dxa" w:w="3257"/>
          </w:tcPr>
          <w:p>
            <w:pPr>
              <w:spacing w:after="20" w:before="20" w:line="240" w:lineRule="auto"/>
              <w:jc w:val="left"/>
            </w:pPr>
            <w:r/>
            <w:r>
              <w:rPr>
                <w:sz w:val="18"/>
              </w:rPr>
              <w:t>décisions VERIFY et BLOCK</w:t>
            </w:r>
          </w:p>
        </w:tc>
        <w:tc>
          <w:tcPr>
            <w:tcW w:type="dxa" w:w="1816"/>
          </w:tcPr>
          <w:p>
            <w:pPr>
              <w:spacing w:after="20" w:before="20" w:line="240" w:lineRule="auto"/>
              <w:jc w:val="left"/>
            </w:pPr>
            <w:r/>
            <w:r>
              <w:rPr>
                <w:sz w:val="18"/>
              </w:rPr>
              <w:t>service de notation</w:t>
            </w:r>
          </w:p>
        </w:tc>
        <w:tc>
          <w:tcPr>
            <w:tcW w:type="dxa" w:w="1440"/>
          </w:tcPr>
          <w:p>
            <w:pPr>
              <w:spacing w:after="20" w:before="20" w:line="240" w:lineRule="auto"/>
              <w:jc w:val="left"/>
            </w:pPr>
            <w:r/>
            <w:r>
              <w:rPr>
                <w:i/>
                <w:sz w:val="18"/>
              </w:rPr>
              <w:t>alerter</w:t>
            </w:r>
          </w:p>
        </w:tc>
      </w:tr>
      <w:tr>
        <w:trPr>
          <w:cantSplit w:val="true"/>
        </w:trPr>
        <w:tc>
          <w:tcPr>
            <w:tcW w:type="dxa" w:w="2875"/>
          </w:tcPr>
          <w:p>
            <w:pPr>
              <w:spacing w:after="20" w:before="20" w:line="240" w:lineRule="auto"/>
              <w:jc w:val="left"/>
            </w:pPr>
            <w:r/>
            <w:r>
              <w:rPr>
                <w:rFonts w:ascii="Courier New" w:hAnsi="Courier New"/>
                <w:b w:val="0"/>
                <w:sz w:val="14"/>
              </w:rPr>
              <w:t>analyst.feedback</w:t>
            </w:r>
          </w:p>
        </w:tc>
        <w:tc>
          <w:tcPr>
            <w:tcW w:type="dxa" w:w="3257"/>
          </w:tcPr>
          <w:p>
            <w:pPr>
              <w:spacing w:after="20" w:before="20" w:line="240" w:lineRule="auto"/>
              <w:jc w:val="left"/>
            </w:pPr>
            <w:r/>
            <w:r>
              <w:rPr>
                <w:sz w:val="18"/>
              </w:rPr>
              <w:t>verdicts des analystes et des institutions</w:t>
            </w:r>
          </w:p>
        </w:tc>
        <w:tc>
          <w:tcPr>
            <w:tcW w:type="dxa" w:w="1816"/>
          </w:tcPr>
          <w:p>
            <w:pPr>
              <w:spacing w:after="20" w:before="20" w:line="240" w:lineRule="auto"/>
              <w:jc w:val="left"/>
            </w:pPr>
            <w:r/>
            <w:r>
              <w:rPr>
                <w:sz w:val="18"/>
              </w:rPr>
              <w:t>back-office, API partenaires</w:t>
            </w:r>
          </w:p>
        </w:tc>
        <w:tc>
          <w:tcPr>
            <w:tcW w:type="dxa" w:w="1440"/>
          </w:tcPr>
          <w:p>
            <w:pPr>
              <w:spacing w:after="20" w:before="20" w:line="240" w:lineRule="auto"/>
              <w:jc w:val="left"/>
            </w:pPr>
            <w:r/>
            <w:r>
              <w:rPr>
                <w:i/>
                <w:sz w:val="18"/>
              </w:rPr>
              <w:t>persister</w:t>
            </w:r>
            <w:r>
              <w:rPr>
                <w:sz w:val="18"/>
              </w:rPr>
              <w:t xml:space="preserve"> (étiquette)</w:t>
            </w:r>
          </w:p>
        </w:tc>
      </w:tr>
      <w:tr>
        <w:trPr>
          <w:cantSplit w:val="true"/>
        </w:trPr>
        <w:tc>
          <w:tcPr>
            <w:tcW w:type="dxa" w:w="2875"/>
          </w:tcPr>
          <w:p>
            <w:pPr>
              <w:spacing w:after="20" w:before="20" w:line="240" w:lineRule="auto"/>
              <w:jc w:val="left"/>
            </w:pPr>
            <w:r/>
            <w:r>
              <w:rPr>
                <w:rFonts w:ascii="Courier New" w:hAnsi="Courier New"/>
                <w:b w:val="0"/>
                <w:sz w:val="14"/>
              </w:rPr>
              <w:t>audit.logs</w:t>
            </w:r>
          </w:p>
        </w:tc>
        <w:tc>
          <w:tcPr>
            <w:tcW w:type="dxa" w:w="3257"/>
          </w:tcPr>
          <w:p>
            <w:pPr>
              <w:spacing w:after="20" w:before="20" w:line="240" w:lineRule="auto"/>
              <w:jc w:val="left"/>
            </w:pPr>
            <w:r/>
            <w:r>
              <w:rPr>
                <w:sz w:val="18"/>
              </w:rPr>
              <w:t>actions des utilisateurs</w:t>
            </w:r>
          </w:p>
        </w:tc>
        <w:tc>
          <w:tcPr>
            <w:tcW w:type="dxa" w:w="1816"/>
          </w:tcPr>
          <w:p>
            <w:pPr>
              <w:spacing w:after="20" w:before="20" w:line="240" w:lineRule="auto"/>
              <w:jc w:val="left"/>
            </w:pPr>
            <w:r/>
            <w:r>
              <w:rPr>
                <w:sz w:val="18"/>
              </w:rPr>
              <w:t>back-office</w:t>
            </w:r>
          </w:p>
        </w:tc>
        <w:tc>
          <w:tcPr>
            <w:tcW w:type="dxa" w:w="1440"/>
          </w:tcPr>
          <w:p>
            <w:pPr>
              <w:spacing w:after="20" w:before="20" w:line="240" w:lineRule="auto"/>
              <w:jc w:val="left"/>
            </w:pPr>
            <w:r/>
            <w:r>
              <w:rPr>
                <w:i/>
                <w:sz w:val="18"/>
              </w:rPr>
              <w:t>auditor</w:t>
            </w:r>
          </w:p>
        </w:tc>
      </w:tr>
    </w:tbl>
    <w:p>
      <w:pPr>
        <w:spacing w:after="120"/>
      </w:pPr>
    </w:p>
    <w:p>
      <w:pPr>
        <w:pStyle w:val="Titre4"/>
        <w:keepNext/>
        <w:numPr>
          <w:numId w:val="0"/>
        </w:numPr>
        <w:spacing w:before="200" w:after="120"/>
        <w:ind w:left="0" w:firstLine="0"/>
        <w:jc w:val="left"/>
      </w:pPr>
      <w:r>
        <w:rPr>
          <w:b/>
          <w:i/>
          <w:color w:val="000000"/>
          <w:sz w:val="25"/>
        </w:rPr>
        <w:t>3.3 Collecte des étiquettes</w:t>
      </w:r>
    </w:p>
    <w:p>
      <w:pPr>
        <w:spacing w:before="0" w:after="120" w:line="360" w:lineRule="auto"/>
        <w:jc w:val="both"/>
      </w:pPr>
      <w:r>
        <w:rPr>
          <w:sz w:val="24"/>
        </w:rPr>
        <w:t xml:space="preserve">Une donnée n'est utile à l'apprentissage que si l'on sait si l'opération était frauduleuse. En production, cette </w:t>
      </w:r>
      <w:r>
        <w:rPr>
          <w:b/>
          <w:sz w:val="24"/>
        </w:rPr>
        <w:t>étiquette</w:t>
      </w:r>
      <w:r>
        <w:rPr>
          <w:sz w:val="24"/>
        </w:rPr>
        <w:t xml:space="preserve"> n'est pas immédiate ; elle provient de plusieurs sources de fiabilité inégale (tableau II.21).</w:t>
      </w:r>
    </w:p>
    <w:p>
      <w:pPr>
        <w:pStyle w:val="Légendetableau"/>
        <w:keepNext/>
        <w:spacing w:before="200" w:after="80"/>
        <w:jc w:val="center"/>
      </w:pPr>
      <w:r>
        <w:rPr>
          <w:b/>
          <w:sz w:val="20"/>
        </w:rPr>
        <w:t>Tableau II.21 — Sources d'étiquettes.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2955"/>
        <w:gridCol w:w="1620"/>
        <w:gridCol w:w="986"/>
        <w:gridCol w:w="3827"/>
      </w:tblGrid>
      <w:tr>
        <w:trPr>
          <w:tblHeader w:val="true"/>
        </w:trPr>
        <w:tc>
          <w:tcPr>
            <w:tcW w:type="dxa" w:w="2955"/>
            <w:shd w:val="clear" w:color="auto" w:fill="D9E2F3"/>
          </w:tcPr>
          <w:p>
            <w:pPr>
              <w:spacing w:after="20" w:before="20" w:line="240" w:lineRule="auto"/>
              <w:jc w:val="left"/>
            </w:pPr>
            <w:r/>
            <w:r>
              <w:rPr>
                <w:b/>
                <w:sz w:val="18"/>
              </w:rPr>
              <w:t>Source</w:t>
            </w:r>
          </w:p>
        </w:tc>
        <w:tc>
          <w:tcPr>
            <w:tcW w:type="dxa" w:w="1620"/>
            <w:shd w:val="clear" w:color="auto" w:fill="D9E2F3"/>
          </w:tcPr>
          <w:p>
            <w:pPr>
              <w:spacing w:after="20" w:before="20" w:line="240" w:lineRule="auto"/>
              <w:jc w:val="left"/>
            </w:pPr>
            <w:r/>
            <w:r>
              <w:rPr>
                <w:b/>
                <w:sz w:val="18"/>
              </w:rPr>
              <w:t>Étiquette</w:t>
            </w:r>
          </w:p>
        </w:tc>
        <w:tc>
          <w:tcPr>
            <w:tcW w:type="dxa" w:w="986"/>
            <w:shd w:val="clear" w:color="auto" w:fill="D9E2F3"/>
          </w:tcPr>
          <w:p>
            <w:pPr>
              <w:spacing w:after="20" w:before="20" w:line="240" w:lineRule="auto"/>
              <w:jc w:val="left"/>
            </w:pPr>
            <w:r/>
            <w:r>
              <w:rPr>
                <w:b/>
                <w:sz w:val="18"/>
              </w:rPr>
              <w:t>Fiabilité</w:t>
            </w:r>
          </w:p>
        </w:tc>
        <w:tc>
          <w:tcPr>
            <w:tcW w:type="dxa" w:w="3827"/>
            <w:shd w:val="clear" w:color="auto" w:fill="D9E2F3"/>
          </w:tcPr>
          <w:p>
            <w:pPr>
              <w:spacing w:after="20" w:before="20" w:line="240" w:lineRule="auto"/>
              <w:jc w:val="left"/>
            </w:pPr>
            <w:r/>
            <w:r>
              <w:rPr>
                <w:b/>
                <w:sz w:val="18"/>
              </w:rPr>
              <w:t>Limite</w:t>
            </w:r>
          </w:p>
        </w:tc>
      </w:tr>
      <w:tr>
        <w:trPr>
          <w:cantSplit w:val="true"/>
        </w:trPr>
        <w:tc>
          <w:tcPr>
            <w:tcW w:type="dxa" w:w="2955"/>
          </w:tcPr>
          <w:p>
            <w:pPr>
              <w:spacing w:after="20" w:before="20" w:line="240" w:lineRule="auto"/>
              <w:jc w:val="left"/>
            </w:pPr>
            <w:r/>
            <w:r>
              <w:rPr>
                <w:sz w:val="18"/>
              </w:rPr>
              <w:t>Verdict d'un analyste sur une alerte</w:t>
            </w:r>
          </w:p>
        </w:tc>
        <w:tc>
          <w:tcPr>
            <w:tcW w:type="dxa" w:w="1620"/>
          </w:tcPr>
          <w:p>
            <w:pPr>
              <w:spacing w:after="20" w:before="20" w:line="240" w:lineRule="auto"/>
              <w:jc w:val="left"/>
            </w:pPr>
            <w:r/>
            <w:r>
              <w:rPr>
                <w:sz w:val="18"/>
              </w:rPr>
              <w:t>fraude ou faux positif</w:t>
            </w:r>
          </w:p>
        </w:tc>
        <w:tc>
          <w:tcPr>
            <w:tcW w:type="dxa" w:w="986"/>
          </w:tcPr>
          <w:p>
            <w:pPr>
              <w:spacing w:after="20" w:before="20" w:line="240" w:lineRule="auto"/>
              <w:jc w:val="left"/>
            </w:pPr>
            <w:r/>
            <w:r>
              <w:rPr>
                <w:sz w:val="18"/>
              </w:rPr>
              <w:t>élevée</w:t>
            </w:r>
          </w:p>
        </w:tc>
        <w:tc>
          <w:tcPr>
            <w:tcW w:type="dxa" w:w="3827"/>
          </w:tcPr>
          <w:p>
            <w:pPr>
              <w:spacing w:after="20" w:before="20" w:line="240" w:lineRule="auto"/>
              <w:jc w:val="left"/>
            </w:pPr>
            <w:r/>
            <w:r>
              <w:rPr>
                <w:sz w:val="18"/>
              </w:rPr>
              <w:t>ne couvre que les opérations alertées</w:t>
            </w:r>
          </w:p>
        </w:tc>
      </w:tr>
      <w:tr>
        <w:trPr>
          <w:cantSplit w:val="true"/>
        </w:trPr>
        <w:tc>
          <w:tcPr>
            <w:tcW w:type="dxa" w:w="2955"/>
          </w:tcPr>
          <w:p>
            <w:pPr>
              <w:spacing w:after="20" w:before="20" w:line="240" w:lineRule="auto"/>
              <w:jc w:val="left"/>
            </w:pPr>
            <w:r/>
            <w:r>
              <w:rPr>
                <w:sz w:val="18"/>
              </w:rPr>
              <w:t>Plainte d'un client</w:t>
            </w:r>
          </w:p>
        </w:tc>
        <w:tc>
          <w:tcPr>
            <w:tcW w:type="dxa" w:w="1620"/>
          </w:tcPr>
          <w:p>
            <w:pPr>
              <w:spacing w:after="20" w:before="20" w:line="240" w:lineRule="auto"/>
              <w:jc w:val="left"/>
            </w:pPr>
            <w:r/>
            <w:r>
              <w:rPr>
                <w:sz w:val="18"/>
              </w:rPr>
              <w:t>fraude</w:t>
            </w:r>
          </w:p>
        </w:tc>
        <w:tc>
          <w:tcPr>
            <w:tcW w:type="dxa" w:w="986"/>
          </w:tcPr>
          <w:p>
            <w:pPr>
              <w:spacing w:after="20" w:before="20" w:line="240" w:lineRule="auto"/>
              <w:jc w:val="left"/>
            </w:pPr>
            <w:r/>
            <w:r>
              <w:rPr>
                <w:sz w:val="18"/>
              </w:rPr>
              <w:t>élevée</w:t>
            </w:r>
          </w:p>
        </w:tc>
        <w:tc>
          <w:tcPr>
            <w:tcW w:type="dxa" w:w="3827"/>
          </w:tcPr>
          <w:p>
            <w:pPr>
              <w:spacing w:after="20" w:before="20" w:line="240" w:lineRule="auto"/>
              <w:jc w:val="left"/>
            </w:pPr>
            <w:r/>
            <w:r>
              <w:rPr>
                <w:sz w:val="18"/>
              </w:rPr>
              <w:t>ne couvre que les fraudes que le client remarque et signale</w:t>
            </w:r>
          </w:p>
        </w:tc>
      </w:tr>
      <w:tr>
        <w:trPr>
          <w:cantSplit w:val="true"/>
        </w:trPr>
        <w:tc>
          <w:tcPr>
            <w:tcW w:type="dxa" w:w="2955"/>
          </w:tcPr>
          <w:p>
            <w:pPr>
              <w:spacing w:after="20" w:before="20" w:line="240" w:lineRule="auto"/>
              <w:jc w:val="left"/>
            </w:pPr>
            <w:r/>
            <w:r>
              <w:rPr>
                <w:sz w:val="18"/>
              </w:rPr>
              <w:t>Retour d'une institution (API)</w:t>
            </w:r>
          </w:p>
        </w:tc>
        <w:tc>
          <w:tcPr>
            <w:tcW w:type="dxa" w:w="1620"/>
          </w:tcPr>
          <w:p>
            <w:pPr>
              <w:spacing w:after="20" w:before="20" w:line="240" w:lineRule="auto"/>
              <w:jc w:val="left"/>
            </w:pPr>
            <w:r/>
            <w:r>
              <w:rPr>
                <w:sz w:val="18"/>
              </w:rPr>
              <w:t>fraude ou fausse alerte</w:t>
            </w:r>
          </w:p>
        </w:tc>
        <w:tc>
          <w:tcPr>
            <w:tcW w:type="dxa" w:w="986"/>
          </w:tcPr>
          <w:p>
            <w:pPr>
              <w:spacing w:after="20" w:before="20" w:line="240" w:lineRule="auto"/>
              <w:jc w:val="left"/>
            </w:pPr>
            <w:r/>
            <w:r>
              <w:rPr>
                <w:sz w:val="18"/>
              </w:rPr>
              <w:t>élevée</w:t>
            </w:r>
          </w:p>
        </w:tc>
        <w:tc>
          <w:tcPr>
            <w:tcW w:type="dxa" w:w="3827"/>
          </w:tcPr>
          <w:p>
            <w:pPr>
              <w:spacing w:after="20" w:before="20" w:line="240" w:lineRule="auto"/>
              <w:jc w:val="left"/>
            </w:pPr>
            <w:r/>
            <w:r>
              <w:rPr>
                <w:sz w:val="18"/>
              </w:rPr>
              <w:t>dépend de la diligence de l'institution</w:t>
            </w:r>
          </w:p>
        </w:tc>
      </w:tr>
      <w:tr>
        <w:trPr>
          <w:cantSplit w:val="true"/>
        </w:trPr>
        <w:tc>
          <w:tcPr>
            <w:tcW w:type="dxa" w:w="2955"/>
          </w:tcPr>
          <w:p>
            <w:pPr>
              <w:spacing w:after="20" w:before="20" w:line="240" w:lineRule="auto"/>
              <w:jc w:val="left"/>
            </w:pPr>
            <w:r/>
            <w:r>
              <w:rPr>
                <w:sz w:val="18"/>
              </w:rPr>
              <w:t>File de revue ciblée</w:t>
            </w:r>
          </w:p>
        </w:tc>
        <w:tc>
          <w:tcPr>
            <w:tcW w:type="dxa" w:w="1620"/>
          </w:tcPr>
          <w:p>
            <w:pPr>
              <w:spacing w:after="20" w:before="20" w:line="240" w:lineRule="auto"/>
              <w:jc w:val="left"/>
            </w:pPr>
            <w:r/>
            <w:r>
              <w:rPr>
                <w:sz w:val="18"/>
              </w:rPr>
              <w:t>fraude ou légitime</w:t>
            </w:r>
          </w:p>
        </w:tc>
        <w:tc>
          <w:tcPr>
            <w:tcW w:type="dxa" w:w="986"/>
          </w:tcPr>
          <w:p>
            <w:pPr>
              <w:spacing w:after="20" w:before="20" w:line="240" w:lineRule="auto"/>
              <w:jc w:val="left"/>
            </w:pPr>
            <w:r/>
            <w:r>
              <w:rPr>
                <w:sz w:val="18"/>
              </w:rPr>
              <w:t>élevée</w:t>
            </w:r>
          </w:p>
        </w:tc>
        <w:tc>
          <w:tcPr>
            <w:tcW w:type="dxa" w:w="3827"/>
          </w:tcPr>
          <w:p>
            <w:pPr>
              <w:spacing w:after="20" w:before="20" w:line="240" w:lineRule="auto"/>
              <w:jc w:val="left"/>
            </w:pPr>
            <w:r/>
            <w:r>
              <w:rPr>
                <w:sz w:val="18"/>
              </w:rPr>
              <w:t>volume limité par la capacité des analystes</w:t>
            </w:r>
          </w:p>
        </w:tc>
      </w:tr>
      <w:tr>
        <w:trPr>
          <w:cantSplit w:val="true"/>
        </w:trPr>
        <w:tc>
          <w:tcPr>
            <w:tcW w:type="dxa" w:w="2955"/>
          </w:tcPr>
          <w:p>
            <w:pPr>
              <w:spacing w:after="20" w:before="20" w:line="240" w:lineRule="auto"/>
              <w:jc w:val="left"/>
            </w:pPr>
            <w:r/>
            <w:r>
              <w:rPr>
                <w:sz w:val="18"/>
              </w:rPr>
              <w:t>Échantillon témoin (tirage aléatoire parmi les opérations approuvées)</w:t>
            </w:r>
          </w:p>
        </w:tc>
        <w:tc>
          <w:tcPr>
            <w:tcW w:type="dxa" w:w="1620"/>
          </w:tcPr>
          <w:p>
            <w:pPr>
              <w:spacing w:after="20" w:before="20" w:line="240" w:lineRule="auto"/>
              <w:jc w:val="left"/>
            </w:pPr>
            <w:r/>
            <w:r>
              <w:rPr>
                <w:sz w:val="18"/>
              </w:rPr>
              <w:t>fraude ou légitime</w:t>
            </w:r>
          </w:p>
        </w:tc>
        <w:tc>
          <w:tcPr>
            <w:tcW w:type="dxa" w:w="986"/>
          </w:tcPr>
          <w:p>
            <w:pPr>
              <w:spacing w:after="20" w:before="20" w:line="240" w:lineRule="auto"/>
              <w:jc w:val="left"/>
            </w:pPr>
            <w:r/>
            <w:r>
              <w:rPr>
                <w:sz w:val="18"/>
              </w:rPr>
              <w:t xml:space="preserve">élevée, </w:t>
            </w:r>
            <w:r>
              <w:rPr>
                <w:b/>
                <w:sz w:val="18"/>
              </w:rPr>
              <w:t>sans biais de sélection</w:t>
            </w:r>
          </w:p>
        </w:tc>
        <w:tc>
          <w:tcPr>
            <w:tcW w:type="dxa" w:w="3827"/>
          </w:tcPr>
          <w:p>
            <w:pPr>
              <w:spacing w:after="20" w:before="20" w:line="240" w:lineRule="auto"/>
              <w:jc w:val="left"/>
            </w:pPr>
            <w:r/>
            <w:r>
              <w:rPr>
                <w:sz w:val="18"/>
              </w:rPr>
              <w:t>volume limité ; seule source qui mesure les fraudes manquées</w:t>
            </w:r>
          </w:p>
        </w:tc>
      </w:tr>
      <w:tr>
        <w:trPr>
          <w:cantSplit w:val="true"/>
        </w:trPr>
        <w:tc>
          <w:tcPr>
            <w:tcW w:type="dxa" w:w="2955"/>
          </w:tcPr>
          <w:p>
            <w:pPr>
              <w:spacing w:after="20" w:before="20" w:line="240" w:lineRule="auto"/>
              <w:jc w:val="left"/>
            </w:pPr>
            <w:r/>
            <w:r>
              <w:rPr>
                <w:sz w:val="18"/>
              </w:rPr>
              <w:t>Opération mûre sans plainte (7 jours)</w:t>
            </w:r>
          </w:p>
        </w:tc>
        <w:tc>
          <w:tcPr>
            <w:tcW w:type="dxa" w:w="1620"/>
          </w:tcPr>
          <w:p>
            <w:pPr>
              <w:spacing w:after="20" w:before="20" w:line="240" w:lineRule="auto"/>
              <w:jc w:val="left"/>
            </w:pPr>
            <w:r/>
            <w:r>
              <w:rPr>
                <w:sz w:val="18"/>
              </w:rPr>
              <w:t>légitime, par hypothèse</w:t>
            </w:r>
          </w:p>
        </w:tc>
        <w:tc>
          <w:tcPr>
            <w:tcW w:type="dxa" w:w="986"/>
          </w:tcPr>
          <w:p>
            <w:pPr>
              <w:spacing w:after="20" w:before="20" w:line="240" w:lineRule="auto"/>
              <w:jc w:val="left"/>
            </w:pPr>
            <w:r/>
            <w:r>
              <w:rPr>
                <w:sz w:val="18"/>
              </w:rPr>
              <w:t>faible</w:t>
            </w:r>
          </w:p>
        </w:tc>
        <w:tc>
          <w:tcPr>
            <w:tcW w:type="dxa" w:w="3827"/>
          </w:tcPr>
          <w:p>
            <w:pPr>
              <w:spacing w:after="20" w:before="20" w:line="240" w:lineRule="auto"/>
              <w:jc w:val="left"/>
            </w:pPr>
            <w:r/>
            <w:r>
              <w:rPr>
                <w:sz w:val="18"/>
              </w:rPr>
              <w:t>contient des fraudes jamais signalées</w:t>
            </w:r>
          </w:p>
        </w:tc>
      </w:tr>
    </w:tbl>
    <w:p>
      <w:pPr>
        <w:spacing w:after="120"/>
      </w:pPr>
    </w:p>
    <w:p>
      <w:pPr>
        <w:spacing w:before="0" w:after="120" w:line="360" w:lineRule="auto"/>
        <w:jc w:val="both"/>
      </w:pPr>
      <w:r>
        <w:rPr>
          <w:sz w:val="24"/>
        </w:rPr>
        <w:t xml:space="preserve">Le système corrige activement ce déséquilibre. Les analystes ne voient naturellement que les alertes du modèle, ce qui ne permet ni d'apprendre de ses erreurs d'omission ni de les mesurer. La </w:t>
      </w:r>
      <w:r>
        <w:rPr>
          <w:b/>
          <w:sz w:val="24"/>
        </w:rPr>
        <w:t>file de revue</w:t>
      </w:r>
      <w:r>
        <w:rPr>
          <w:sz w:val="24"/>
        </w:rPr>
        <w:t xml:space="preserve"> propose donc aussi des opérations </w:t>
      </w:r>
      <w:r>
        <w:rPr>
          <w:i/>
          <w:sz w:val="24"/>
        </w:rPr>
        <w:t>approuvées</w:t>
      </w:r>
      <w:r>
        <w:rPr>
          <w:sz w:val="24"/>
        </w:rPr>
        <w:t xml:space="preserve">, choisies pour ce que leur verdict apprend : celles où le modèle a hésité (probabilité proche du seuil), les comportements jamais vus de l'autoencodeur, les opérations liées à une entité à risque du réseau, et un </w:t>
      </w:r>
      <w:r>
        <w:rPr>
          <w:b/>
          <w:sz w:val="24"/>
        </w:rPr>
        <w:t>échantillon témoin aléatoire</w:t>
      </w:r>
      <w:r>
        <w:rPr>
          <w:sz w:val="24"/>
        </w:rPr>
        <w:t xml:space="preserve"> renouvelé chaque jour. Cette dernière source est la seule qui permette d'estimer sans biais la part de fraudes que le modèle laisse passer.</w:t>
      </w:r>
    </w:p>
    <w:p>
      <w:pPr>
        <w:pStyle w:val="Titre4"/>
        <w:keepNext/>
        <w:numPr>
          <w:numId w:val="0"/>
        </w:numPr>
        <w:spacing w:before="200" w:after="120"/>
        <w:ind w:left="0" w:firstLine="0"/>
        <w:jc w:val="left"/>
      </w:pPr>
      <w:r>
        <w:rPr>
          <w:b/>
          <w:i/>
          <w:color w:val="000000"/>
          <w:sz w:val="25"/>
        </w:rPr>
        <w:t>3.4 Qualité, confidentialité et traçabilité</w:t>
      </w:r>
    </w:p>
    <w:p>
      <w:pPr>
        <w:spacing w:before="0" w:after="120" w:line="360" w:lineRule="auto"/>
        <w:jc w:val="both"/>
      </w:pPr>
      <w:r>
        <w:rPr>
          <w:sz w:val="24"/>
        </w:rPr>
        <w:t>La collecte obéit à quatre garanties.</w:t>
      </w:r>
    </w:p>
    <w:p>
      <w:pPr>
        <w:tabs>
          <w:tab w:pos="567" w:val="left"/>
        </w:tabs>
        <w:spacing w:after="60" w:line="324" w:lineRule="auto"/>
        <w:ind w:left="567" w:hanging="340"/>
        <w:jc w:val="both"/>
      </w:pPr>
      <w:r>
        <w:rPr>
          <w:sz w:val="24"/>
        </w:rPr>
        <w:t>•</w:t>
        <w:tab/>
      </w:r>
      <w:r>
        <w:rPr>
          <w:b/>
          <w:sz w:val="24"/>
        </w:rPr>
        <w:t>Idempotence.</w:t>
      </w:r>
      <w:r>
        <w:rPr>
          <w:sz w:val="24"/>
        </w:rPr>
        <w:t xml:space="preserve"> Une opération renvoyée par un opérateur n'est ni comptée ni décidée deux fois (RG-03) ; la clé primaire (</w:t>
      </w:r>
      <w:r>
        <w:rPr>
          <w:rFonts w:ascii="Courier New" w:hAnsi="Courier New"/>
          <w:b w:val="0"/>
          <w:sz w:val="20"/>
        </w:rPr>
        <w:t>transaction_id</w:t>
      </w:r>
      <w:r>
        <w:rPr>
          <w:sz w:val="24"/>
        </w:rPr>
        <w:t xml:space="preserve">, </w:t>
      </w:r>
      <w:r>
        <w:rPr>
          <w:rFonts w:ascii="Courier New" w:hAnsi="Courier New"/>
          <w:b w:val="0"/>
          <w:sz w:val="20"/>
        </w:rPr>
        <w:t>tx_time</w:t>
      </w:r>
      <w:r>
        <w:rPr>
          <w:sz w:val="24"/>
        </w:rPr>
        <w:t>) interdit le doublon en base.</w:t>
      </w:r>
    </w:p>
    <w:p>
      <w:pPr>
        <w:tabs>
          <w:tab w:pos="567" w:val="left"/>
        </w:tabs>
        <w:spacing w:after="60" w:line="324" w:lineRule="auto"/>
        <w:ind w:left="567" w:hanging="340"/>
        <w:jc w:val="both"/>
      </w:pPr>
      <w:r>
        <w:rPr>
          <w:sz w:val="24"/>
        </w:rPr>
        <w:t>•</w:t>
        <w:tab/>
      </w:r>
      <w:r>
        <w:rPr>
          <w:b/>
          <w:sz w:val="24"/>
        </w:rPr>
        <w:t>Confidentialité.</w:t>
      </w:r>
      <w:r>
        <w:rPr>
          <w:sz w:val="24"/>
        </w:rPr>
        <w:t xml:space="preserve"> Aucune donnée ne quitte la plateforme : aucun service externe n'est appelé pour décider ni pour expliquer. Le texte des messages de transfert n'est jamais stocké en clair ; seuls le score et les catégories d'indices sont conservés.</w:t>
      </w:r>
    </w:p>
    <w:p>
      <w:pPr>
        <w:tabs>
          <w:tab w:pos="567" w:val="left"/>
        </w:tabs>
        <w:spacing w:after="60" w:line="324" w:lineRule="auto"/>
        <w:ind w:left="567" w:hanging="340"/>
        <w:jc w:val="both"/>
      </w:pPr>
      <w:r>
        <w:rPr>
          <w:sz w:val="24"/>
        </w:rPr>
        <w:t>•</w:t>
        <w:tab/>
      </w:r>
      <w:r>
        <w:rPr>
          <w:b/>
          <w:sz w:val="24"/>
        </w:rPr>
        <w:t>Isolement.</w:t>
      </w:r>
      <w:r>
        <w:rPr>
          <w:sz w:val="24"/>
        </w:rPr>
        <w:t xml:space="preserve"> Une institution ne voit que ses opérations ; le régulateur ne reçoit que des agrégats (RG-17).</w:t>
      </w:r>
    </w:p>
    <w:p>
      <w:pPr>
        <w:tabs>
          <w:tab w:pos="567" w:val="left"/>
        </w:tabs>
        <w:spacing w:after="60" w:line="324" w:lineRule="auto"/>
        <w:ind w:left="567" w:hanging="340"/>
        <w:jc w:val="both"/>
      </w:pPr>
      <w:r>
        <w:rPr>
          <w:sz w:val="24"/>
        </w:rPr>
        <w:t>•</w:t>
        <w:tab/>
      </w:r>
      <w:r>
        <w:rPr>
          <w:b/>
          <w:sz w:val="24"/>
        </w:rPr>
        <w:t>Traçabilité.</w:t>
      </w:r>
      <w:r>
        <w:rPr>
          <w:sz w:val="24"/>
        </w:rPr>
        <w:t xml:space="preserve"> Chaque action sensible est inscrite dans un journal d'audit chaîné par hachage (RG-16) ; les métadonnées de génération consignent la configuration des données d'apprentissage.</w:t>
      </w:r>
    </w:p>
    <w:p>
      <w:pPr>
        <w:pStyle w:val="Titre3"/>
        <w:keepNext/>
        <w:numPr>
          <w:numId w:val="0"/>
        </w:numPr>
        <w:spacing w:before="280" w:after="120"/>
        <w:ind w:left="0" w:firstLine="0"/>
        <w:jc w:val="left"/>
      </w:pPr>
      <w:r>
        <w:rPr>
          <w:b/>
          <w:color w:val="1F2A44"/>
          <w:sz w:val="28"/>
        </w:rPr>
        <w:t>4. Pré-processing des données</w:t>
      </w:r>
    </w:p>
    <w:p>
      <w:pPr>
        <w:pStyle w:val="Titre4"/>
        <w:keepNext/>
        <w:numPr>
          <w:numId w:val="0"/>
        </w:numPr>
        <w:spacing w:before="200" w:after="120"/>
        <w:ind w:left="0" w:firstLine="0"/>
        <w:jc w:val="left"/>
      </w:pPr>
      <w:r>
        <w:rPr>
          <w:b/>
          <w:i/>
          <w:color w:val="000000"/>
          <w:sz w:val="25"/>
        </w:rPr>
        <w:t>4.1 Contrôles de qualité et traitement des valeurs manquantes</w:t>
      </w:r>
    </w:p>
    <w:p>
      <w:pPr>
        <w:spacing w:before="0" w:after="120" w:line="360" w:lineRule="auto"/>
        <w:jc w:val="both"/>
      </w:pPr>
      <w:r>
        <w:rPr>
          <w:sz w:val="24"/>
        </w:rPr>
        <w:t xml:space="preserve">Avant toute transformation, le jeu fait l'objet de contrôles systématiques (détaillés au chapitre III) : unicité des identifiants, montants strictement positifs, horodatages renseignés, soldes non négatifs, cohérence des types. Les champs vides sont tous </w:t>
      </w:r>
      <w:r>
        <w:rPr>
          <w:b/>
          <w:sz w:val="24"/>
        </w:rPr>
        <w:t>structurels</w:t>
      </w:r>
      <w:r>
        <w:rPr>
          <w:sz w:val="24"/>
        </w:rPr>
        <w:t xml:space="preserve"> : ils sont absents parce qu'ils n'ont pas de sens pour le type d'opération, et non parce que la donnée est perdue. Par exemple, le destinataire n'existe que pour les transferts et les crédits téléphoniques, l'agent que pour les dépôts et retraits, le marchand que pour les paiements et les achats par carte. Ces absences ne sont donc pas imputées : elles sont encodées par des indicateurs (type d'opération, canal d'accès) et par des variables qui valent zéro quand la notion ne s'applique pas.</w:t>
      </w:r>
    </w:p>
    <w:p>
      <w:pPr>
        <w:pStyle w:val="Titre4"/>
        <w:keepNext/>
        <w:numPr>
          <w:numId w:val="0"/>
        </w:numPr>
        <w:spacing w:before="200" w:after="120"/>
        <w:ind w:left="0" w:firstLine="0"/>
        <w:jc w:val="left"/>
      </w:pPr>
      <w:r>
        <w:rPr>
          <w:b/>
          <w:i/>
          <w:color w:val="000000"/>
          <w:sz w:val="25"/>
        </w:rPr>
        <w:t>4.2 Conversion monétaire</w:t>
      </w:r>
    </w:p>
    <w:p>
      <w:pPr>
        <w:spacing w:before="0" w:after="120" w:line="360" w:lineRule="auto"/>
        <w:jc w:val="both"/>
      </w:pPr>
      <w:r>
        <w:rPr>
          <w:sz w:val="24"/>
        </w:rPr>
        <w:t xml:space="preserve">Chaque montant est converti en dollars au </w:t>
      </w:r>
      <w:r>
        <w:rPr>
          <w:b/>
          <w:sz w:val="24"/>
        </w:rPr>
        <w:t>taux de change de l'année de l'opération</w:t>
      </w:r>
      <w:r>
        <w:rPr>
          <w:sz w:val="24"/>
        </w:rPr>
        <w:t xml:space="preserve"> (RG-02) :</w:t>
      </w:r>
    </w:p>
    <w:p>
      <w:pPr>
        <w:spacing w:before="120" w:after="160"/>
        <w:jc w:val="center"/>
      </w:pPr>
      <m:oMath>
        <m:sSubSup>
          <m:e>
            <m:r>
              <m:t>a</m:t>
            </m:r>
          </m:e>
          <m:sub>
            <m:r>
              <m:t>t</m:t>
            </m:r>
          </m:sub>
          <m:sup>
            <m:r>
              <m:rPr>
                <m:nor/>
              </m:rPr>
              <m:t>USD</m:t>
            </m:r>
          </m:sup>
        </m:sSubSup>
        <m:r>
          <m:t>=</m:t>
        </m:r>
        <m:d>
          <m:dPr>
            <m:begChr m:val="{"/>
            <m:sepChr m:val=""/>
            <m:endChr m:val=""/>
          </m:dPr>
          <m:e>
            <m:m>
              <m:mPr>
                <m:baseJc m:val="center"/>
                <m:plcHide m:val="on"/>
                <m:mcs>
                  <m:mc>
                    <m:mcPr>
                      <m:count m:val="2"/>
                      <m:mcJc m:val="center"/>
                    </m:mcPr>
                  </m:mc>
                </m:mcs>
              </m:mPr>
              <m:mr>
                <m:e>
                  <m:sSub>
                    <m:e>
                      <m:r>
                        <m:t>a</m:t>
                      </m:r>
                    </m:e>
                    <m:sub>
                      <m:r>
                        <m:t>t</m:t>
                      </m:r>
                    </m:sub>
                  </m:sSub>
                </m:e>
                <m:e>
                  <m:r>
                    <m:rPr>
                      <m:nor/>
                    </m:rPr>
                    <m:t>si la devise est l'USD</m:t>
                  </m:r>
                </m:e>
              </m:mr>
              <m:mr>
                <m:e>
                  <m:r>
                    <m:t>[</m:t>
                  </m:r>
                  <m:r>
                    <m:rPr>
                      <m:sty m:val="p"/>
                    </m:rPr>
                    <m:t>2pt</m:t>
                  </m:r>
                  <m:r>
                    <m:t>]</m:t>
                  </m:r>
                  <m:f>
                    <m:fPr>
                      <m:type m:val="bar"/>
                    </m:fPr>
                    <m:num>
                      <m:sSub>
                        <m:e>
                          <m:r>
                            <m:t>a</m:t>
                          </m:r>
                        </m:e>
                        <m:sub>
                          <m:r>
                            <m:t>t</m:t>
                          </m:r>
                        </m:sub>
                      </m:sSub>
                    </m:num>
                    <m:den>
                      <m:sSub>
                        <m:e>
                          <m:r>
                            <m:rPr>
                              <m:nor/>
                            </m:rPr>
                            <m:t>taux</m:t>
                          </m:r>
                        </m:e>
                        <m:sub>
                          <m:r>
                            <m:rPr>
                              <m:nor/>
                            </m:rPr>
                            <m:t>USD/CDF</m:t>
                          </m:r>
                        </m:sub>
                      </m:sSub>
                      <m:r>
                        <m:t>(</m:t>
                      </m:r>
                      <m:r>
                        <m:rPr>
                          <m:nor/>
                        </m:rPr>
                        <m:t>année</m:t>
                      </m:r>
                      <m:r>
                        <m:t>(t))</m:t>
                      </m:r>
                    </m:den>
                  </m:f>
                </m:e>
                <m:e>
                  <m:r>
                    <m:rPr>
                      <m:nor/>
                    </m:rPr>
                    <m:t>si la devise est le CDF</m:t>
                  </m:r>
                </m:e>
              </m:mr>
            </m:m>
          </m:e>
        </m:d>
      </m:oMath>
    </w:p>
    <w:p>
      <w:pPr>
        <w:spacing w:before="0" w:after="120" w:line="360" w:lineRule="auto"/>
        <w:jc w:val="both"/>
      </w:pPr>
      <w:r>
        <w:rPr>
          <w:sz w:val="24"/>
        </w:rPr>
        <w:t xml:space="preserve">où </w:t>
      </w:r>
      <m:oMath>
        <m:sSub>
          <m:e>
            <m:r>
              <m:t>a</m:t>
            </m:r>
          </m:e>
          <m:sub>
            <m:r>
              <m:t>t</m:t>
            </m:r>
          </m:sub>
        </m:sSub>
      </m:oMath>
      <w:r>
        <w:rPr>
          <w:sz w:val="24"/>
        </w:rPr>
        <w:t xml:space="preserve"> est le montant de l'opération à l'instant </w:t>
      </w:r>
      <m:oMath>
        <m:r>
          <m:t>t</m:t>
        </m:r>
      </m:oMath>
      <w:r>
        <w:rPr>
          <w:sz w:val="24"/>
        </w:rPr>
        <w:t>. Sans cette conversion, 100 000 CDF n'auraient pas la même valeur en 2019 et en 2025, et le modèle confondrait dépréciation de la monnaie et comportement anormal. Les taux annuels sont des paramètres de simulation, à remplacer par le cours officiel de la BCC en exploitation.</w:t>
      </w:r>
    </w:p>
    <w:p>
      <w:pPr>
        <w:pStyle w:val="Titre4"/>
        <w:keepNext/>
        <w:numPr>
          <w:numId w:val="0"/>
        </w:numPr>
        <w:spacing w:before="200" w:after="120"/>
        <w:ind w:left="0" w:firstLine="0"/>
        <w:jc w:val="left"/>
      </w:pPr>
      <w:r>
        <w:rPr>
          <w:b/>
          <w:i/>
          <w:color w:val="000000"/>
          <w:sz w:val="25"/>
        </w:rPr>
        <w:t>4.3 Ingénierie des variables</w:t>
      </w:r>
    </w:p>
    <w:p>
      <w:pPr>
        <w:spacing w:before="0" w:after="120" w:line="360" w:lineRule="auto"/>
        <w:jc w:val="both"/>
      </w:pPr>
      <w:r>
        <w:rPr>
          <w:b/>
          <w:sz w:val="24"/>
        </w:rPr>
        <w:t>Principe.</w:t>
      </w:r>
      <w:r>
        <w:rPr>
          <w:sz w:val="24"/>
        </w:rPr>
        <w:t xml:space="preserve"> Le profilage comportemental repose sur une idée simple : une fraude se manifeste par une </w:t>
      </w:r>
      <w:r>
        <w:rPr>
          <w:b/>
          <w:sz w:val="24"/>
        </w:rPr>
        <w:t>rupture des habitudes</w:t>
      </w:r>
      <w:r>
        <w:rPr>
          <w:sz w:val="24"/>
        </w:rPr>
        <w:t xml:space="preserve"> du client. Chaque transaction est donc décrite par </w:t>
      </w:r>
      <w:r>
        <w:rPr>
          <w:b/>
          <w:sz w:val="24"/>
        </w:rPr>
        <w:t>58 variables</w:t>
      </w:r>
      <w:r>
        <w:rPr>
          <w:sz w:val="24"/>
        </w:rPr>
        <w:t xml:space="preserve">, qui mesurent l'écart entre l'opération courante et le comportement passé du client. Toutes les variables sont calculées </w:t>
      </w:r>
      <w:r>
        <w:rPr>
          <w:b/>
          <w:sz w:val="24"/>
        </w:rPr>
        <w:t>uniquement à partir du passé</w:t>
      </w:r>
      <w:r>
        <w:rPr>
          <w:sz w:val="24"/>
        </w:rPr>
        <w:t xml:space="preserve"> du client, par un rejeu chronologique des opérations. Aucune information future ne peut ainsi entrer dans le calcul. Cette absence de </w:t>
      </w:r>
      <w:r>
        <w:rPr>
          <w:b/>
          <w:sz w:val="24"/>
        </w:rPr>
        <w:t>fuite d'information</w:t>
      </w:r>
      <w:r>
        <w:rPr>
          <w:sz w:val="24"/>
        </w:rPr>
        <w:t xml:space="preserve"> (</w:t>
      </w:r>
      <w:r>
        <w:rPr>
          <w:i/>
          <w:sz w:val="24"/>
        </w:rPr>
        <w:t>data leakage</w:t>
      </w:r>
      <w:r>
        <w:rPr>
          <w:sz w:val="24"/>
        </w:rPr>
        <w:t>) est essentielle : utiliser, pendant l'apprentissage, une donnée indisponible au moment de la décision rendrait le modèle excellent en test et inutilisable en production.</w:t>
      </w:r>
    </w:p>
    <w:p>
      <w:pPr>
        <w:pStyle w:val="Légendetableau"/>
        <w:keepNext/>
        <w:spacing w:before="200" w:after="80"/>
        <w:jc w:val="center"/>
      </w:pPr>
      <w:r>
        <w:rPr>
          <w:b/>
          <w:sz w:val="20"/>
        </w:rPr>
        <w:t>Tableau II.22 — Familles de variables comportementales.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1482"/>
        <w:gridCol w:w="5523"/>
        <w:gridCol w:w="2384"/>
      </w:tblGrid>
      <w:tr>
        <w:trPr>
          <w:tblHeader w:val="true"/>
        </w:trPr>
        <w:tc>
          <w:tcPr>
            <w:tcW w:type="dxa" w:w="1482"/>
            <w:shd w:val="clear" w:color="auto" w:fill="D9E2F3"/>
          </w:tcPr>
          <w:p>
            <w:pPr>
              <w:spacing w:after="20" w:before="20" w:line="240" w:lineRule="auto"/>
              <w:jc w:val="left"/>
            </w:pPr>
            <w:r/>
            <w:r>
              <w:rPr>
                <w:b/>
                <w:sz w:val="20"/>
              </w:rPr>
              <w:t>Famille (nombre)</w:t>
            </w:r>
          </w:p>
        </w:tc>
        <w:tc>
          <w:tcPr>
            <w:tcW w:type="dxa" w:w="5523"/>
            <w:shd w:val="clear" w:color="auto" w:fill="D9E2F3"/>
          </w:tcPr>
          <w:p>
            <w:pPr>
              <w:spacing w:after="20" w:before="20" w:line="240" w:lineRule="auto"/>
              <w:jc w:val="left"/>
            </w:pPr>
            <w:r/>
            <w:r>
              <w:rPr>
                <w:b/>
                <w:sz w:val="20"/>
              </w:rPr>
              <w:t>Exemples</w:t>
            </w:r>
          </w:p>
        </w:tc>
        <w:tc>
          <w:tcPr>
            <w:tcW w:type="dxa" w:w="2384"/>
            <w:shd w:val="clear" w:color="auto" w:fill="D9E2F3"/>
          </w:tcPr>
          <w:p>
            <w:pPr>
              <w:spacing w:after="20" w:before="20" w:line="240" w:lineRule="auto"/>
              <w:jc w:val="left"/>
            </w:pPr>
            <w:r/>
            <w:r>
              <w:rPr>
                <w:b/>
                <w:sz w:val="20"/>
              </w:rPr>
              <w:t>Ce qu'elle capte</w:t>
            </w:r>
          </w:p>
        </w:tc>
      </w:tr>
      <w:tr>
        <w:trPr>
          <w:cantSplit w:val="true"/>
        </w:trPr>
        <w:tc>
          <w:tcPr>
            <w:tcW w:type="dxa" w:w="1482"/>
          </w:tcPr>
          <w:p>
            <w:pPr>
              <w:spacing w:after="20" w:before="20" w:line="240" w:lineRule="auto"/>
              <w:jc w:val="left"/>
            </w:pPr>
            <w:r/>
            <w:r>
              <w:rPr>
                <w:b/>
                <w:sz w:val="20"/>
              </w:rPr>
              <w:t>Montants</w:t>
            </w:r>
            <w:r>
              <w:rPr>
                <w:sz w:val="20"/>
              </w:rPr>
              <w:t xml:space="preserve"> (7)</w:t>
            </w:r>
          </w:p>
        </w:tc>
        <w:tc>
          <w:tcPr>
            <w:tcW w:type="dxa" w:w="5523"/>
          </w:tcPr>
          <w:p>
            <w:pPr>
              <w:spacing w:after="20" w:before="20" w:line="240" w:lineRule="auto"/>
              <w:jc w:val="left"/>
            </w:pPr>
            <w:r/>
            <w:r>
              <w:rPr>
                <w:sz w:val="20"/>
              </w:rPr>
              <w:t>écart au montant habituel, rapport au montant moyen, part du solde, vidage, montant / plafond KYC</w:t>
            </w:r>
          </w:p>
        </w:tc>
        <w:tc>
          <w:tcPr>
            <w:tcW w:type="dxa" w:w="2384"/>
          </w:tcPr>
          <w:p>
            <w:pPr>
              <w:spacing w:after="20" w:before="20" w:line="240" w:lineRule="auto"/>
              <w:jc w:val="left"/>
            </w:pPr>
            <w:r/>
            <w:r>
              <w:rPr>
                <w:sz w:val="20"/>
              </w:rPr>
              <w:t>rupture des habitudes de dépense</w:t>
            </w:r>
          </w:p>
        </w:tc>
      </w:tr>
      <w:tr>
        <w:trPr>
          <w:cantSplit w:val="true"/>
        </w:trPr>
        <w:tc>
          <w:tcPr>
            <w:tcW w:type="dxa" w:w="1482"/>
          </w:tcPr>
          <w:p>
            <w:pPr>
              <w:spacing w:after="20" w:before="20" w:line="240" w:lineRule="auto"/>
              <w:jc w:val="left"/>
            </w:pPr>
            <w:r/>
            <w:r>
              <w:rPr>
                <w:b/>
                <w:sz w:val="20"/>
              </w:rPr>
              <w:t>Fréquentielles</w:t>
            </w:r>
            <w:r>
              <w:rPr>
                <w:sz w:val="20"/>
              </w:rPr>
              <w:t xml:space="preserve"> (7)</w:t>
            </w:r>
          </w:p>
        </w:tc>
        <w:tc>
          <w:tcPr>
            <w:tcW w:type="dxa" w:w="5523"/>
          </w:tcPr>
          <w:p>
            <w:pPr>
              <w:spacing w:after="20" w:before="20" w:line="240" w:lineRule="auto"/>
              <w:jc w:val="left"/>
            </w:pPr>
            <w:r/>
            <w:r>
              <w:rPr>
                <w:sz w:val="20"/>
              </w:rPr>
              <w:t>nombre d'opérations sur 1 h, 24 h et 7 j ; somme débitée sur 24 h ; délai depuis l'opération précédente</w:t>
            </w:r>
          </w:p>
        </w:tc>
        <w:tc>
          <w:tcPr>
            <w:tcW w:type="dxa" w:w="2384"/>
          </w:tcPr>
          <w:p>
            <w:pPr>
              <w:spacing w:after="20" w:before="20" w:line="240" w:lineRule="auto"/>
              <w:jc w:val="left"/>
            </w:pPr>
            <w:r/>
            <w:r>
              <w:rPr>
                <w:sz w:val="20"/>
              </w:rPr>
              <w:t>vélocité anormale (vidage, salves)</w:t>
            </w:r>
          </w:p>
        </w:tc>
      </w:tr>
      <w:tr>
        <w:trPr>
          <w:cantSplit w:val="true"/>
        </w:trPr>
        <w:tc>
          <w:tcPr>
            <w:tcW w:type="dxa" w:w="1482"/>
          </w:tcPr>
          <w:p>
            <w:pPr>
              <w:spacing w:after="20" w:before="20" w:line="240" w:lineRule="auto"/>
              <w:jc w:val="left"/>
            </w:pPr>
            <w:r/>
            <w:r>
              <w:rPr>
                <w:b/>
                <w:sz w:val="20"/>
              </w:rPr>
              <w:t>Appareil</w:t>
            </w:r>
            <w:r>
              <w:rPr>
                <w:sz w:val="20"/>
              </w:rPr>
              <w:t xml:space="preserve"> (8)</w:t>
            </w:r>
          </w:p>
        </w:tc>
        <w:tc>
          <w:tcPr>
            <w:tcW w:type="dxa" w:w="5523"/>
          </w:tcPr>
          <w:p>
            <w:pPr>
              <w:spacing w:after="20" w:before="20" w:line="240" w:lineRule="auto"/>
              <w:jc w:val="left"/>
            </w:pPr>
            <w:r/>
            <w:r>
              <w:rPr>
                <w:sz w:val="20"/>
              </w:rPr>
              <w:t>nouvel appareil, utilisations passées, nombre de clients partageant l'appareil, moyen d'accès</w:t>
            </w:r>
          </w:p>
        </w:tc>
        <w:tc>
          <w:tcPr>
            <w:tcW w:type="dxa" w:w="2384"/>
          </w:tcPr>
          <w:p>
            <w:pPr>
              <w:spacing w:after="20" w:before="20" w:line="240" w:lineRule="auto"/>
              <w:jc w:val="left"/>
            </w:pPr>
            <w:r/>
            <w:r>
              <w:rPr>
                <w:sz w:val="20"/>
              </w:rPr>
              <w:t>usurpation, appareil de fraudeur</w:t>
            </w:r>
          </w:p>
        </w:tc>
      </w:tr>
      <w:tr>
        <w:trPr>
          <w:cantSplit w:val="true"/>
        </w:trPr>
        <w:tc>
          <w:tcPr>
            <w:tcW w:type="dxa" w:w="1482"/>
          </w:tcPr>
          <w:p>
            <w:pPr>
              <w:spacing w:after="20" w:before="20" w:line="240" w:lineRule="auto"/>
              <w:jc w:val="left"/>
            </w:pPr>
            <w:r/>
            <w:r>
              <w:rPr>
                <w:b/>
                <w:sz w:val="20"/>
              </w:rPr>
              <w:t>Localisation</w:t>
            </w:r>
            <w:r>
              <w:rPr>
                <w:sz w:val="20"/>
              </w:rPr>
              <w:t xml:space="preserve"> (3)</w:t>
            </w:r>
          </w:p>
        </w:tc>
        <w:tc>
          <w:tcPr>
            <w:tcW w:type="dxa" w:w="5523"/>
          </w:tcPr>
          <w:p>
            <w:pPr>
              <w:spacing w:after="20" w:before="20" w:line="240" w:lineRule="auto"/>
              <w:jc w:val="left"/>
            </w:pPr>
            <w:r/>
            <w:r>
              <w:rPr>
                <w:sz w:val="20"/>
              </w:rPr>
              <w:t>adresse IP étrangère, nouvelle province, éloignement du domicile</w:t>
            </w:r>
          </w:p>
        </w:tc>
        <w:tc>
          <w:tcPr>
            <w:tcW w:type="dxa" w:w="2384"/>
          </w:tcPr>
          <w:p>
            <w:pPr>
              <w:spacing w:after="20" w:before="20" w:line="240" w:lineRule="auto"/>
              <w:jc w:val="left"/>
            </w:pPr>
            <w:r/>
            <w:r>
              <w:rPr>
                <w:sz w:val="20"/>
              </w:rPr>
              <w:t>rupture de contexte géographique</w:t>
            </w:r>
          </w:p>
        </w:tc>
      </w:tr>
      <w:tr>
        <w:trPr>
          <w:cantSplit w:val="true"/>
        </w:trPr>
        <w:tc>
          <w:tcPr>
            <w:tcW w:type="dxa" w:w="1482"/>
          </w:tcPr>
          <w:p>
            <w:pPr>
              <w:spacing w:after="20" w:before="20" w:line="240" w:lineRule="auto"/>
              <w:jc w:val="left"/>
            </w:pPr>
            <w:r/>
            <w:r>
              <w:rPr>
                <w:b/>
                <w:sz w:val="20"/>
              </w:rPr>
              <w:t>Contrepartie</w:t>
            </w:r>
            <w:r>
              <w:rPr>
                <w:sz w:val="20"/>
              </w:rPr>
              <w:t xml:space="preserve"> (7)</w:t>
            </w:r>
          </w:p>
        </w:tc>
        <w:tc>
          <w:tcPr>
            <w:tcW w:type="dxa" w:w="5523"/>
          </w:tcPr>
          <w:p>
            <w:pPr>
              <w:spacing w:after="20" w:before="20" w:line="240" w:lineRule="auto"/>
              <w:jc w:val="left"/>
            </w:pPr>
            <w:r/>
            <w:r>
              <w:rPr>
                <w:sz w:val="20"/>
              </w:rPr>
              <w:t>nouveau destinataire, nouvel agent, nouveau marchand, destinataire lié à de nombreux clients</w:t>
            </w:r>
          </w:p>
        </w:tc>
        <w:tc>
          <w:tcPr>
            <w:tcW w:type="dxa" w:w="2384"/>
          </w:tcPr>
          <w:p>
            <w:pPr>
              <w:spacing w:after="20" w:before="20" w:line="240" w:lineRule="auto"/>
              <w:jc w:val="left"/>
            </w:pPr>
            <w:r/>
            <w:r>
              <w:rPr>
                <w:sz w:val="20"/>
              </w:rPr>
              <w:t>comptes mules, agents compromis</w:t>
            </w:r>
          </w:p>
        </w:tc>
      </w:tr>
      <w:tr>
        <w:trPr>
          <w:cantSplit w:val="true"/>
        </w:trPr>
        <w:tc>
          <w:tcPr>
            <w:tcW w:type="dxa" w:w="1482"/>
          </w:tcPr>
          <w:p>
            <w:pPr>
              <w:spacing w:after="20" w:before="20" w:line="240" w:lineRule="auto"/>
              <w:jc w:val="left"/>
            </w:pPr>
            <w:r/>
            <w:r>
              <w:rPr>
                <w:b/>
                <w:sz w:val="20"/>
              </w:rPr>
              <w:t>Temporelles</w:t>
            </w:r>
            <w:r>
              <w:rPr>
                <w:sz w:val="20"/>
              </w:rPr>
              <w:t xml:space="preserve"> (10)</w:t>
            </w:r>
          </w:p>
        </w:tc>
        <w:tc>
          <w:tcPr>
            <w:tcW w:type="dxa" w:w="5523"/>
          </w:tcPr>
          <w:p>
            <w:pPr>
              <w:spacing w:after="20" w:before="20" w:line="240" w:lineRule="auto"/>
              <w:jc w:val="left"/>
            </w:pPr>
            <w:r/>
            <w:r>
              <w:rPr>
                <w:sz w:val="20"/>
              </w:rPr>
              <w:t>heure cyclique, nuit inhabituelle, écart à l'heure habituelle, week-end, fin de mois</w:t>
            </w:r>
          </w:p>
        </w:tc>
        <w:tc>
          <w:tcPr>
            <w:tcW w:type="dxa" w:w="2384"/>
          </w:tcPr>
          <w:p>
            <w:pPr>
              <w:spacing w:after="20" w:before="20" w:line="240" w:lineRule="auto"/>
              <w:jc w:val="left"/>
            </w:pPr>
            <w:r/>
            <w:r>
              <w:rPr>
                <w:sz w:val="20"/>
              </w:rPr>
              <w:t>rupture des horaires</w:t>
            </w:r>
          </w:p>
        </w:tc>
      </w:tr>
      <w:tr>
        <w:trPr>
          <w:cantSplit w:val="true"/>
        </w:trPr>
        <w:tc>
          <w:tcPr>
            <w:tcW w:type="dxa" w:w="1482"/>
          </w:tcPr>
          <w:p>
            <w:pPr>
              <w:spacing w:after="20" w:before="20" w:line="240" w:lineRule="auto"/>
              <w:jc w:val="left"/>
            </w:pPr>
            <w:r/>
            <w:r>
              <w:rPr>
                <w:b/>
                <w:sz w:val="20"/>
              </w:rPr>
              <w:t>Trans-canal</w:t>
            </w:r>
            <w:r>
              <w:rPr>
                <w:sz w:val="20"/>
              </w:rPr>
              <w:t xml:space="preserve"> (3)</w:t>
            </w:r>
          </w:p>
        </w:tc>
        <w:tc>
          <w:tcPr>
            <w:tcW w:type="dxa" w:w="5523"/>
          </w:tcPr>
          <w:p>
            <w:pPr>
              <w:spacing w:after="20" w:before="20" w:line="240" w:lineRule="auto"/>
              <w:jc w:val="left"/>
            </w:pPr>
            <w:r/>
            <w:r>
              <w:rPr>
                <w:sz w:val="20"/>
              </w:rPr>
              <w:t>délai depuis la dernière recharge de carte, rapport achat / recharge</w:t>
            </w:r>
          </w:p>
        </w:tc>
        <w:tc>
          <w:tcPr>
            <w:tcW w:type="dxa" w:w="2384"/>
          </w:tcPr>
          <w:p>
            <w:pPr>
              <w:spacing w:after="20" w:before="20" w:line="240" w:lineRule="auto"/>
              <w:jc w:val="left"/>
            </w:pPr>
            <w:r/>
            <w:r>
              <w:rPr>
                <w:sz w:val="20"/>
              </w:rPr>
              <w:t>vidage par rechargement</w:t>
            </w:r>
          </w:p>
        </w:tc>
      </w:tr>
      <w:tr>
        <w:trPr>
          <w:cantSplit w:val="true"/>
        </w:trPr>
        <w:tc>
          <w:tcPr>
            <w:tcW w:type="dxa" w:w="1482"/>
          </w:tcPr>
          <w:p>
            <w:pPr>
              <w:spacing w:after="20" w:before="20" w:line="240" w:lineRule="auto"/>
              <w:jc w:val="left"/>
            </w:pPr>
            <w:r/>
            <w:r>
              <w:rPr>
                <w:b/>
                <w:sz w:val="20"/>
              </w:rPr>
              <w:t>Profil KYC</w:t>
            </w:r>
            <w:r>
              <w:rPr>
                <w:sz w:val="20"/>
              </w:rPr>
              <w:t xml:space="preserve"> (4)</w:t>
            </w:r>
          </w:p>
        </w:tc>
        <w:tc>
          <w:tcPr>
            <w:tcW w:type="dxa" w:w="5523"/>
          </w:tcPr>
          <w:p>
            <w:pPr>
              <w:spacing w:after="20" w:before="20" w:line="240" w:lineRule="auto"/>
              <w:jc w:val="left"/>
            </w:pPr>
            <w:r/>
            <w:r>
              <w:rPr>
                <w:sz w:val="20"/>
              </w:rPr>
              <w:t>niveau KYC, ancienneté du compte, revenu, détention d'une carte</w:t>
            </w:r>
          </w:p>
        </w:tc>
        <w:tc>
          <w:tcPr>
            <w:tcW w:type="dxa" w:w="2384"/>
          </w:tcPr>
          <w:p>
            <w:pPr>
              <w:spacing w:after="20" w:before="20" w:line="240" w:lineRule="auto"/>
              <w:jc w:val="left"/>
            </w:pPr>
            <w:r/>
            <w:r>
              <w:rPr>
                <w:sz w:val="20"/>
              </w:rPr>
              <w:t>contexte du client</w:t>
            </w:r>
          </w:p>
        </w:tc>
      </w:tr>
      <w:tr>
        <w:trPr>
          <w:cantSplit w:val="true"/>
        </w:trPr>
        <w:tc>
          <w:tcPr>
            <w:tcW w:type="dxa" w:w="1482"/>
          </w:tcPr>
          <w:p>
            <w:pPr>
              <w:spacing w:after="20" w:before="20" w:line="240" w:lineRule="auto"/>
              <w:jc w:val="left"/>
            </w:pPr>
            <w:r/>
            <w:r>
              <w:rPr>
                <w:b/>
                <w:sz w:val="20"/>
              </w:rPr>
              <w:t>Type d'opération</w:t>
            </w:r>
            <w:r>
              <w:rPr>
                <w:sz w:val="20"/>
              </w:rPr>
              <w:t xml:space="preserve"> (9)</w:t>
            </w:r>
          </w:p>
        </w:tc>
        <w:tc>
          <w:tcPr>
            <w:tcW w:type="dxa" w:w="5523"/>
          </w:tcPr>
          <w:p>
            <w:pPr>
              <w:spacing w:after="20" w:before="20" w:line="240" w:lineRule="auto"/>
              <w:jc w:val="left"/>
            </w:pPr>
            <w:r/>
            <w:r>
              <w:rPr>
                <w:sz w:val="20"/>
              </w:rPr>
              <w:t>codage disjonctif des 9 types</w:t>
            </w:r>
          </w:p>
        </w:tc>
        <w:tc>
          <w:tcPr>
            <w:tcW w:type="dxa" w:w="2384"/>
          </w:tcPr>
          <w:p>
            <w:pPr>
              <w:spacing w:after="20" w:before="20" w:line="240" w:lineRule="auto"/>
              <w:jc w:val="left"/>
            </w:pPr>
            <w:r/>
            <w:r>
              <w:rPr>
                <w:sz w:val="20"/>
              </w:rPr>
              <w:t>nature de l'opération</w:t>
            </w:r>
          </w:p>
        </w:tc>
      </w:tr>
    </w:tbl>
    <w:p>
      <w:pPr>
        <w:spacing w:after="120"/>
      </w:pPr>
    </w:p>
    <w:p>
      <w:pPr>
        <w:spacing w:before="0" w:after="120" w:line="360" w:lineRule="auto"/>
        <w:jc w:val="both"/>
      </w:pPr>
      <w:r>
        <w:rPr>
          <w:sz w:val="24"/>
        </w:rPr>
        <w:t xml:space="preserve">Pour l'étude de l'hypothèse H2, ces familles sont regroupées en quatre : les variables de </w:t>
      </w:r>
      <w:r>
        <w:rPr>
          <w:b/>
          <w:sz w:val="24"/>
        </w:rPr>
        <w:t>montant</w:t>
      </w:r>
      <w:r>
        <w:rPr>
          <w:sz w:val="24"/>
        </w:rPr>
        <w:t xml:space="preserve">, les variables </w:t>
      </w:r>
      <w:r>
        <w:rPr>
          <w:b/>
          <w:sz w:val="24"/>
        </w:rPr>
        <w:t>fréquentielles</w:t>
      </w:r>
      <w:r>
        <w:rPr>
          <w:sz w:val="24"/>
        </w:rPr>
        <w:t xml:space="preserve">, les variables </w:t>
      </w:r>
      <w:r>
        <w:rPr>
          <w:b/>
          <w:sz w:val="24"/>
        </w:rPr>
        <w:t>temporelles</w:t>
      </w:r>
      <w:r>
        <w:rPr>
          <w:sz w:val="24"/>
        </w:rPr>
        <w:t xml:space="preserve"> et les variables </w:t>
      </w:r>
      <w:r>
        <w:rPr>
          <w:b/>
          <w:sz w:val="24"/>
        </w:rPr>
        <w:t>contextuelles</w:t>
      </w:r>
      <w:r>
        <w:rPr>
          <w:sz w:val="24"/>
        </w:rPr>
        <w:t xml:space="preserve"> (appareil, localisation et contrepartie), le reste formant le socle (profil du client et type d'opération).</w:t>
      </w:r>
    </w:p>
    <w:p>
      <w:pPr>
        <w:spacing w:before="0" w:after="120" w:line="360" w:lineRule="auto"/>
        <w:jc w:val="both"/>
      </w:pPr>
      <w:r>
        <w:rPr>
          <w:sz w:val="24"/>
        </w:rPr>
        <w:t xml:space="preserve">Soit </w:t>
      </w:r>
      <m:oMath>
        <m:r>
          <m:t>u</m:t>
        </m:r>
      </m:oMath>
      <w:r>
        <w:rPr>
          <w:sz w:val="24"/>
        </w:rPr>
        <w:t xml:space="preserve"> un client, </w:t>
      </w:r>
      <m:oMath>
        <m:sSub>
          <m:e>
            <m:r>
              <m:t>a</m:t>
            </m:r>
          </m:e>
          <m:sub>
            <m:r>
              <m:t>t</m:t>
            </m:r>
          </m:sub>
        </m:sSub>
      </m:oMath>
      <w:r>
        <w:rPr>
          <w:sz w:val="24"/>
        </w:rPr>
        <w:t xml:space="preserve"> le montant en USD de l'opération à l'instant </w:t>
      </w:r>
      <m:oMath>
        <m:r>
          <m:t>t</m:t>
        </m:r>
      </m:oMath>
      <w:r>
        <w:rPr>
          <w:sz w:val="24"/>
        </w:rPr>
        <w:t xml:space="preserve">, </w:t>
      </w:r>
      <m:oMath>
        <m:sSub>
          <m:e>
            <m:r>
              <m:t>n</m:t>
            </m:r>
          </m:e>
          <m:sub>
            <m:r>
              <m:t>u</m:t>
            </m:r>
          </m:sub>
        </m:sSub>
      </m:oMath>
      <w:r>
        <w:rPr>
          <w:sz w:val="24"/>
        </w:rPr>
        <w:t xml:space="preserve"> le nombre d'opérations passées du client et </w:t>
      </w:r>
      <m:oMath>
        <m:sSub>
          <m:e>
            <m:r>
              <m:t>B</m:t>
            </m:r>
          </m:e>
          <m:sub>
            <m:r>
              <m:t>t</m:t>
            </m:r>
          </m:sub>
        </m:sSub>
      </m:oMath>
      <w:r>
        <w:rPr>
          <w:sz w:val="24"/>
        </w:rPr>
        <w:t xml:space="preserve"> son solde avant l'opération. Les principales variables se formulent ainsi.</w:t>
      </w:r>
    </w:p>
    <w:p>
      <w:pPr>
        <w:spacing w:before="0" w:after="120" w:line="360" w:lineRule="auto"/>
        <w:jc w:val="both"/>
      </w:pPr>
      <w:r>
        <w:rPr>
          <w:b/>
          <w:sz w:val="24"/>
        </w:rPr>
        <w:t>Écart au montant habituel.</w:t>
      </w:r>
      <w:r>
        <w:rPr>
          <w:sz w:val="24"/>
        </w:rPr>
        <w:t xml:space="preserve"> On travaille sur le logarithme des montants, car leur distribution est très asymétrique :</w:t>
      </w:r>
    </w:p>
    <w:p>
      <w:pPr>
        <w:spacing w:before="120" w:after="160"/>
        <w:jc w:val="center"/>
      </w:pPr>
      <m:oMath>
        <m:sSub>
          <m:e>
            <m:r>
              <m:t>μ</m:t>
            </m:r>
          </m:e>
          <m:sub>
            <m:r>
              <m:t>u</m:t>
            </m:r>
          </m:sub>
        </m:sSub>
        <m:r>
          <m:t>=</m:t>
        </m:r>
        <m:f>
          <m:fPr>
            <m:type m:val="bar"/>
          </m:fPr>
          <m:num>
            <m:r>
              <m:t>1</m:t>
            </m:r>
          </m:num>
          <m:den>
            <m:sSub>
              <m:e>
                <m:r>
                  <m:t>n</m:t>
                </m:r>
              </m:e>
              <m:sub>
                <m:r>
                  <m:t>u</m:t>
                </m:r>
              </m:sub>
            </m:sSub>
          </m:den>
        </m:f>
        <m:nary>
          <m:naryPr>
            <m:chr m:val="∑"/>
            <m:limLoc m:val="subSup"/>
            <m:grow m:val="1"/>
            <m:subHide m:val="off"/>
            <m:supHide m:val="off"/>
          </m:naryPr>
          <m:sub>
            <m:r>
              <m:t>i=1</m:t>
            </m:r>
          </m:sub>
          <m:sup>
            <m:sSub>
              <m:e>
                <m:r>
                  <m:t>n</m:t>
                </m:r>
              </m:e>
              <m:sub>
                <m:r>
                  <m:t>u</m:t>
                </m:r>
              </m:sub>
            </m:sSub>
          </m:sup>
          <m:e>
            <m:r>
              <m:rPr>
                <m:sty m:val="p"/>
              </m:rPr>
              <m:t>ln</m:t>
            </m:r>
            <m:r>
              <m:t>(1+</m:t>
            </m:r>
          </m:e>
        </m:nary>
        <m:sSub>
          <m:e>
            <m:r>
              <m:t>a</m:t>
            </m:r>
          </m:e>
          <m:sub>
            <m:r>
              <m:t>i</m:t>
            </m:r>
          </m:sub>
        </m:sSub>
        <m:r>
          <m:t>),</m:t>
        </m:r>
        <m:sSub>
          <m:e>
            <m:r>
              <m:t>z</m:t>
            </m:r>
          </m:e>
          <m:sub>
            <m:r>
              <m:rPr>
                <m:nor/>
              </m:rPr>
              <m:t>montant</m:t>
            </m:r>
          </m:sub>
        </m:sSub>
        <m:r>
          <m:t>=</m:t>
        </m:r>
        <m:r>
          <m:rPr>
            <m:sty m:val="p"/>
          </m:rPr>
          <m:t>clip</m:t>
        </m:r>
        <m:d>
          <m:dPr>
            <m:sepChr m:val=""/>
          </m:dPr>
          <m:e>
            <m:f>
              <m:fPr>
                <m:type m:val="bar"/>
              </m:fPr>
              <m:num>
                <m:r>
                  <m:rPr>
                    <m:sty m:val="p"/>
                  </m:rPr>
                  <m:t>ln</m:t>
                </m:r>
                <m:r>
                  <m:t>(1+</m:t>
                </m:r>
                <m:sSub>
                  <m:e>
                    <m:r>
                      <m:t>a</m:t>
                    </m:r>
                  </m:e>
                  <m:sub>
                    <m:r>
                      <m:t>t</m:t>
                    </m:r>
                  </m:sub>
                </m:sSub>
                <m:r>
                  <m:t>)−</m:t>
                </m:r>
                <m:sSub>
                  <m:e>
                    <m:r>
                      <m:t>μ</m:t>
                    </m:r>
                  </m:e>
                  <m:sub>
                    <m:r>
                      <m:t>u</m:t>
                    </m:r>
                  </m:sub>
                </m:sSub>
              </m:num>
              <m:den>
                <m:sSub>
                  <m:e>
                    <m:r>
                      <m:t>s</m:t>
                    </m:r>
                  </m:e>
                  <m:sub>
                    <m:r>
                      <m:t>u</m:t>
                    </m:r>
                  </m:sub>
                </m:sSub>
              </m:den>
            </m:f>
            <m:r>
              <m:t>,</m:t>
            </m:r>
            <m:r>
              <m:t>−</m:t>
            </m:r>
            <m:r>
              <m:t>10</m:t>
            </m:r>
            <m:r>
              <m:t>,</m:t>
            </m:r>
            <m:r>
              <m:t>10</m:t>
            </m:r>
          </m:e>
        </m:d>
      </m:oMath>
    </w:p>
    <w:p>
      <w:pPr>
        <w:spacing w:before="0" w:after="120" w:line="360" w:lineRule="auto"/>
        <w:jc w:val="both"/>
      </w:pPr>
      <w:r>
        <w:rPr>
          <w:sz w:val="24"/>
        </w:rPr>
        <w:t xml:space="preserve">où </w:t>
      </w:r>
      <m:oMath>
        <m:sSub>
          <m:e>
            <m:r>
              <m:t>s</m:t>
            </m:r>
          </m:e>
          <m:sub>
            <m:r>
              <m:t>u</m:t>
            </m:r>
          </m:sub>
        </m:sSub>
      </m:oMath>
      <w:r>
        <w:rPr>
          <w:sz w:val="24"/>
        </w:rPr>
        <w:t xml:space="preserve"> est l'écart-type correspondant, augmenté de 0,25 pour éviter les divisions par un écart nul chez les clients très réguliers, et </w:t>
      </w:r>
      <m:oMath>
        <m:r>
          <m:rPr>
            <m:sty m:val="p"/>
          </m:rPr>
          <m:t>clip</m:t>
        </m:r>
        <m:r>
          <m:t>(x,−10,10)</m:t>
        </m:r>
      </m:oMath>
      <w:r>
        <w:rPr>
          <w:sz w:val="24"/>
        </w:rPr>
        <w:t xml:space="preserve"> borne la valeur entre </w:t>
      </w:r>
      <m:oMath>
        <m:r>
          <m:t>−10</m:t>
        </m:r>
      </m:oMath>
      <w:r>
        <w:rPr>
          <w:sz w:val="24"/>
        </w:rPr>
        <w:t xml:space="preserve"> et </w:t>
      </w:r>
      <m:oMath>
        <m:r>
          <m:t>10</m:t>
        </m:r>
      </m:oMath>
      <w:r>
        <w:rPr>
          <w:sz w:val="24"/>
        </w:rPr>
        <w:t xml:space="preserve">. Exemple : un client qui a payé 10, 12, 8, 15, 10 et 11 USD a </w:t>
      </w:r>
      <m:oMath>
        <m:sSub>
          <m:e>
            <m:r>
              <m:t>μ</m:t>
            </m:r>
          </m:e>
          <m:sub>
            <m:r>
              <m:t>u</m:t>
            </m:r>
          </m:sub>
        </m:sSub>
        <m:r>
          <m:t>=2,469</m:t>
        </m:r>
      </m:oMath>
      <w:r>
        <w:rPr>
          <w:sz w:val="24"/>
        </w:rPr>
        <w:t xml:space="preserve"> et </w:t>
      </w:r>
      <m:oMath>
        <m:sSub>
          <m:e>
            <m:r>
              <m:t>s</m:t>
            </m:r>
          </m:e>
          <m:sub>
            <m:r>
              <m:t>u</m:t>
            </m:r>
          </m:sub>
        </m:sSub>
        <m:r>
          <m:t>=0,426</m:t>
        </m:r>
      </m:oMath>
      <w:r>
        <w:rPr>
          <w:sz w:val="24"/>
        </w:rPr>
        <w:t xml:space="preserve">. Une opération de 12 USD donne </w:t>
      </w:r>
      <m:oMath>
        <m:r>
          <m:t>z=0,22</m:t>
        </m:r>
      </m:oMath>
      <w:r>
        <w:rPr>
          <w:sz w:val="24"/>
        </w:rPr>
        <w:t xml:space="preserve"> (normale) ; une opération de 300 USD donne </w:t>
      </w:r>
      <m:oMath>
        <m:r>
          <m:t>z=7,6</m:t>
        </m:r>
      </m:oMath>
      <w:r>
        <w:rPr>
          <w:sz w:val="24"/>
        </w:rPr>
        <w:t xml:space="preserve"> (rupture nette).</w:t>
      </w:r>
    </w:p>
    <w:p>
      <w:pPr>
        <w:spacing w:before="0" w:after="120" w:line="360" w:lineRule="auto"/>
        <w:jc w:val="both"/>
      </w:pPr>
      <w:r>
        <w:rPr>
          <w:b/>
          <w:sz w:val="24"/>
        </w:rPr>
        <w:t>Solde et plafond.</w:t>
      </w:r>
      <w:r>
        <w:rPr>
          <w:sz w:val="24"/>
        </w:rPr>
        <w:t xml:space="preserve"> La part du solde débitée est </w:t>
      </w:r>
      <m:oMath>
        <m:r>
          <m:t>min(</m:t>
        </m:r>
        <m:sSub>
          <m:e>
            <m:r>
              <m:t>a</m:t>
            </m:r>
          </m:e>
          <m:sub>
            <m:r>
              <m:t>t</m:t>
            </m:r>
          </m:sub>
        </m:sSub>
        <m:r>
          <m:t>/(</m:t>
        </m:r>
        <m:sSub>
          <m:e>
            <m:r>
              <m:t>B</m:t>
            </m:r>
          </m:e>
          <m:sub>
            <m:r>
              <m:t>t</m:t>
            </m:r>
          </m:sub>
        </m:sSub>
        <m:r>
          <m:t>+1),5)</m:t>
        </m:r>
      </m:oMath>
      <w:r>
        <w:rPr>
          <w:sz w:val="24"/>
        </w:rPr>
        <w:t xml:space="preserve">. L'indicateur de vidage vaut </w:t>
      </w:r>
      <m:oMath>
        <m:r>
          <m:rPr>
            <m:scr m:val="double-struck"/>
            <m:sty m:val="p"/>
          </m:rPr>
          <m:t>1</m:t>
        </m:r>
        <m:r>
          <m:t>[</m:t>
        </m:r>
        <m:sSub>
          <m:e>
            <m:r>
              <m:t>B</m:t>
            </m:r>
          </m:e>
          <m:sub>
            <m:r>
              <m:t>t</m:t>
            </m:r>
          </m:sub>
        </m:sSub>
        <m:r>
          <m:t>&gt;1∧</m:t>
        </m:r>
        <m:sSub>
          <m:e>
            <m:r>
              <m:t>a</m:t>
            </m:r>
          </m:e>
          <m:sub>
            <m:r>
              <m:t>t</m:t>
            </m:r>
          </m:sub>
        </m:sSub>
        <m:r>
          <m:t>≥0,85</m:t>
        </m:r>
        <m:sSub>
          <m:e>
            <m:r>
              <m:t>B</m:t>
            </m:r>
          </m:e>
          <m:sub>
            <m:r>
              <m:t>t</m:t>
            </m:r>
          </m:sub>
        </m:sSub>
        <m:r>
          <m:t>]</m:t>
        </m:r>
      </m:oMath>
      <w:r>
        <w:rPr>
          <w:sz w:val="24"/>
        </w:rPr>
        <w:t xml:space="preserve">, où </w:t>
      </w:r>
      <m:oMath>
        <m:r>
          <m:rPr>
            <m:scr m:val="double-struck"/>
            <m:sty m:val="p"/>
          </m:rPr>
          <m:t>1</m:t>
        </m:r>
        <m:r>
          <m:t>[·]</m:t>
        </m:r>
      </m:oMath>
      <w:r>
        <w:rPr>
          <w:sz w:val="24"/>
        </w:rPr>
        <w:t xml:space="preserve"> est la fonction indicatrice (1 si la condition est vraie, 0 sinon). Le rapport au plafond KYC est </w:t>
      </w:r>
      <m:oMath>
        <m:f>
          <m:fPr>
            <m:type m:val="lin"/>
          </m:fPr>
          <m:num>
            <m:sSub>
              <m:e>
                <m:r>
                  <m:t>a</m:t>
                </m:r>
              </m:e>
              <m:sub>
                <m:r>
                  <m:t>t</m:t>
                </m:r>
              </m:sub>
            </m:sSub>
          </m:num>
          <m:den>
            <m:sSub>
              <m:e>
                <m:r>
                  <m:t>L</m:t>
                </m:r>
              </m:e>
              <m:sub>
                <m:r>
                  <m:rPr>
                    <m:nor/>
                  </m:rPr>
                  <m:t>KYC</m:t>
                </m:r>
              </m:sub>
            </m:sSub>
          </m:den>
        </m:f>
      </m:oMath>
      <w:r>
        <w:rPr>
          <w:sz w:val="24"/>
        </w:rPr>
        <w:t>.</w:t>
      </w:r>
    </w:p>
    <w:p>
      <w:pPr>
        <w:spacing w:before="0" w:after="120" w:line="360" w:lineRule="auto"/>
        <w:jc w:val="both"/>
      </w:pPr>
      <w:r>
        <w:rPr>
          <w:b/>
          <w:sz w:val="24"/>
        </w:rPr>
        <w:t>Vélocité.</w:t>
      </w:r>
      <w:r>
        <w:rPr>
          <w:sz w:val="24"/>
        </w:rPr>
        <w:t xml:space="preserve"> Pour une fenêtre </w:t>
      </w:r>
      <m:oMath>
        <m:r>
          <m:t>Δ∈{1</m:t>
        </m:r>
        <m:r>
          <m:rPr>
            <m:sty m:val="p"/>
          </m:rPr>
          <m:t> h</m:t>
        </m:r>
        <m:r>
          <m:t>,</m:t>
        </m:r>
        <m:r>
          <m:rPr>
            <m:sty m:val="p"/>
          </m:rPr>
          <m:t> </m:t>
        </m:r>
        <m:r>
          <m:t>24</m:t>
        </m:r>
        <m:r>
          <m:rPr>
            <m:sty m:val="p"/>
          </m:rPr>
          <m:t> h</m:t>
        </m:r>
        <m:r>
          <m:t>,</m:t>
        </m:r>
        <m:r>
          <m:rPr>
            <m:sty m:val="p"/>
          </m:rPr>
          <m:t> </m:t>
        </m:r>
        <m:r>
          <m:t>7</m:t>
        </m:r>
        <m:r>
          <m:rPr>
            <m:sty m:val="p"/>
          </m:rPr>
          <m:t> j</m:t>
        </m:r>
        <m:r>
          <m:t>}</m:t>
        </m:r>
      </m:oMath>
      <w:r>
        <w:rPr>
          <w:sz w:val="24"/>
        </w:rPr>
        <w:t xml:space="preserve">, </w:t>
      </w:r>
      <m:oMath>
        <m:sSub>
          <m:e>
            <m:r>
              <m:t>N</m:t>
            </m:r>
          </m:e>
          <m:sub>
            <m:r>
              <m:t>Δ</m:t>
            </m:r>
          </m:sub>
        </m:sSub>
        <m:r>
          <m:t>(t)</m:t>
        </m:r>
      </m:oMath>
      <w:r>
        <w:rPr>
          <w:sz w:val="24"/>
        </w:rPr>
        <w:t xml:space="preserve"> est le nombre d'opérations du client dans l'intervalle </w:t>
      </w:r>
      <m:oMath>
        <m:r>
          <m:t>]t−Δ,t]</m:t>
        </m:r>
      </m:oMath>
      <w:r>
        <w:rPr>
          <w:sz w:val="24"/>
        </w:rPr>
        <w:t>.</w:t>
      </w:r>
    </w:p>
    <w:p>
      <w:pPr>
        <w:spacing w:before="0" w:after="120" w:line="360" w:lineRule="auto"/>
        <w:jc w:val="both"/>
      </w:pPr>
      <w:r>
        <w:rPr>
          <w:b/>
          <w:sz w:val="24"/>
        </w:rPr>
        <w:t>Nouveauté du contexte.</w:t>
      </w:r>
      <w:r>
        <w:rPr>
          <w:sz w:val="24"/>
        </w:rPr>
        <w:t xml:space="preserve"> La variable « nouvel appareil » vaut 1 si le client a déjà un historique et que l'appareil </w:t>
      </w:r>
      <m:oMath>
        <m:sSub>
          <m:e>
            <m:r>
              <m:t>d</m:t>
            </m:r>
          </m:e>
          <m:sub>
            <m:r>
              <m:t>t</m:t>
            </m:r>
          </m:sub>
        </m:sSub>
      </m:oMath>
      <w:r>
        <w:rPr>
          <w:sz w:val="24"/>
        </w:rPr>
        <w:t xml:space="preserve"> n'appartient pas à l'ensemble </w:t>
      </w:r>
      <m:oMath>
        <m:sSub>
          <m:e>
            <m:r>
              <m:t>D</m:t>
            </m:r>
          </m:e>
          <m:sub>
            <m:r>
              <m:t>u</m:t>
            </m:r>
          </m:sub>
        </m:sSub>
      </m:oMath>
      <w:r>
        <w:rPr>
          <w:sz w:val="24"/>
        </w:rPr>
        <w:t xml:space="preserve"> de ses appareils connus : </w:t>
      </w:r>
      <m:oMath>
        <m:r>
          <m:rPr>
            <m:scr m:val="double-struck"/>
            <m:sty m:val="p"/>
          </m:rPr>
          <m:t>1</m:t>
        </m:r>
        <m:r>
          <m:t>[</m:t>
        </m:r>
        <m:sSub>
          <m:e>
            <m:r>
              <m:t>n</m:t>
            </m:r>
          </m:e>
          <m:sub>
            <m:r>
              <m:t>u</m:t>
            </m:r>
          </m:sub>
        </m:sSub>
        <m:r>
          <m:t>&gt;0∧</m:t>
        </m:r>
        <m:sSub>
          <m:e>
            <m:r>
              <m:t>d</m:t>
            </m:r>
          </m:e>
          <m:sub>
            <m:r>
              <m:t>t</m:t>
            </m:r>
          </m:sub>
        </m:sSub>
        <m:r>
          <m:t>∉</m:t>
        </m:r>
        <m:sSub>
          <m:e>
            <m:r>
              <m:t>D</m:t>
            </m:r>
          </m:e>
          <m:sub>
            <m:r>
              <m:t>u</m:t>
            </m:r>
          </m:sub>
        </m:sSub>
        <m:r>
          <m:t>]</m:t>
        </m:r>
      </m:oMath>
      <w:r>
        <w:rPr>
          <w:sz w:val="24"/>
        </w:rPr>
        <w:t xml:space="preserve">. Le même principe s'applique à la province, à l'agent, au marchand et au destinataire. La variable « destinataire lié à de nombreux clients » vaut </w:t>
      </w:r>
      <m:oMath>
        <m:r>
          <m:rPr>
            <m:sty m:val="p"/>
          </m:rPr>
          <m:t>ln</m:t>
        </m:r>
        <m:r>
          <m:t>(1+k)</m:t>
        </m:r>
      </m:oMath>
      <w:r>
        <w:rPr>
          <w:sz w:val="24"/>
        </w:rPr>
        <w:t xml:space="preserve">, où </w:t>
      </w:r>
      <m:oMath>
        <m:r>
          <m:t>k</m:t>
        </m:r>
      </m:oMath>
      <w:r>
        <w:rPr>
          <w:sz w:val="24"/>
        </w:rPr>
        <w:t xml:space="preserve"> est le nombre d'autres clients ayant échangé avec ce destinataire : un compte mule reçoit de nombreuses victimes sans lien entre elles.</w:t>
      </w:r>
    </w:p>
    <w:p>
      <w:pPr>
        <w:spacing w:before="0" w:after="120" w:line="360" w:lineRule="auto"/>
        <w:jc w:val="both"/>
      </w:pPr>
      <w:r>
        <w:rPr>
          <w:b/>
          <w:sz w:val="24"/>
        </w:rPr>
        <w:t>Horaires.</w:t>
      </w:r>
      <w:r>
        <w:rPr>
          <w:sz w:val="24"/>
        </w:rPr>
        <w:t xml:space="preserve"> L'heure est représentée sur un cercle, pour que 23 h et 0 h soient voisines :</w:t>
      </w:r>
    </w:p>
    <w:p>
      <w:pPr>
        <w:spacing w:before="120" w:after="160"/>
        <w:jc w:val="center"/>
      </w:pPr>
      <m:oMath>
        <m:sSub>
          <m:e>
            <m:r>
              <m:t>θ</m:t>
            </m:r>
          </m:e>
          <m:sub>
            <m:r>
              <m:t>t</m:t>
            </m:r>
          </m:sub>
        </m:sSub>
        <m:r>
          <m:t>=</m:t>
        </m:r>
        <m:f>
          <m:fPr>
            <m:type m:val="bar"/>
          </m:fPr>
          <m:num>
            <m:r>
              <m:t>2π</m:t>
            </m:r>
            <m:sSub>
              <m:e>
                <m:r>
                  <m:t>h</m:t>
                </m:r>
              </m:e>
              <m:sub>
                <m:r>
                  <m:t>t</m:t>
                </m:r>
              </m:sub>
            </m:sSub>
          </m:num>
          <m:den>
            <m:r>
              <m:t>24</m:t>
            </m:r>
          </m:den>
        </m:f>
        <m:r>
          <m:t>,</m:t>
        </m:r>
        <m:r>
          <m:t>(</m:t>
        </m:r>
        <m:r>
          <m:rPr>
            <m:sty m:val="p"/>
          </m:rPr>
          <m:t>sin</m:t>
        </m:r>
        <m:sSub>
          <m:e>
            <m:r>
              <m:t>θ</m:t>
            </m:r>
          </m:e>
          <m:sub>
            <m:r>
              <m:t>t</m:t>
            </m:r>
          </m:sub>
        </m:sSub>
        <m:r>
          <m:t>,</m:t>
        </m:r>
        <m:r>
          <m:rPr>
            <m:sty m:val="p"/>
          </m:rPr>
          <m:t> </m:t>
        </m:r>
        <m:r>
          <m:rPr>
            <m:sty m:val="p"/>
          </m:rPr>
          <m:t>cos</m:t>
        </m:r>
        <m:sSub>
          <m:e>
            <m:r>
              <m:t>θ</m:t>
            </m:r>
          </m:e>
          <m:sub>
            <m:r>
              <m:t>t</m:t>
            </m:r>
          </m:sub>
        </m:sSub>
        <m:r>
          <m:t>)</m:t>
        </m:r>
      </m:oMath>
    </w:p>
    <w:p>
      <w:pPr>
        <w:spacing w:before="0" w:after="120" w:line="360" w:lineRule="auto"/>
        <w:jc w:val="both"/>
      </w:pPr>
      <w:r>
        <w:rPr>
          <w:sz w:val="24"/>
        </w:rPr>
        <w:t xml:space="preserve">Codée ainsi, 23 h donne </w:t>
      </w:r>
      <m:oMath>
        <m:d>
          <m:dPr>
            <m:sepChr m:val=""/>
          </m:dPr>
          <m:e>
            <m:r>
              <m:t>−</m:t>
            </m:r>
            <m:r>
              <m:t>0</m:t>
            </m:r>
            <m:r>
              <m:t>,</m:t>
            </m:r>
            <m:r>
              <m:t>26</m:t>
            </m:r>
            <m:r>
              <m:t>;</m:t>
            </m:r>
            <m:r>
              <m:t>0</m:t>
            </m:r>
            <m:r>
              <m:t>,</m:t>
            </m:r>
            <m:r>
              <m:t>97</m:t>
            </m:r>
          </m:e>
        </m:d>
      </m:oMath>
      <w:r>
        <w:rPr>
          <w:sz w:val="24"/>
        </w:rPr>
        <w:t xml:space="preserve"> et 0 h donne </w:t>
      </w:r>
      <m:oMath>
        <m:d>
          <m:dPr>
            <m:sepChr m:val=""/>
          </m:dPr>
          <m:e>
            <m:r>
              <m:t>0</m:t>
            </m:r>
            <m:r>
              <m:t>;</m:t>
            </m:r>
            <m:r>
              <m:t>1</m:t>
            </m:r>
          </m:e>
        </m:d>
      </m:oMath>
      <w:r>
        <w:rPr>
          <w:sz w:val="24"/>
        </w:rPr>
        <w:t xml:space="preserve">, deux points voisins, alors que midi donne </w:t>
      </w:r>
      <m:oMath>
        <m:d>
          <m:dPr>
            <m:sepChr m:val="−"/>
          </m:dPr>
          <m:e>
            <m:r>
              <m:t>0</m:t>
            </m:r>
            <m:r>
              <m:t>;</m:t>
            </m:r>
          </m:e>
          <m:e>
            <m:r>
              <m:t>1</m:t>
            </m:r>
          </m:e>
        </m:d>
      </m:oMath>
      <w:r>
        <w:rPr>
          <w:sz w:val="24"/>
        </w:rPr>
        <w:t xml:space="preserve">, à l'opposé. L'écart à l'heure habituelle utilise la moyenne circulaire des heures passées, pondérée par la régularité </w:t>
      </w:r>
      <m:oMath>
        <m:r>
          <m:t>R∈[0,1]</m:t>
        </m:r>
      </m:oMath>
      <w:r>
        <w:rPr>
          <w:sz w:val="24"/>
        </w:rPr>
        <w:t xml:space="preserve"> du client : une opération à 3 h est très anormale pour un client toujours actif vers 9 h (</w:t>
      </w:r>
      <m:oMath>
        <m:r>
          <m:t>R</m:t>
        </m:r>
      </m:oMath>
      <w:r>
        <w:rPr>
          <w:sz w:val="24"/>
        </w:rPr>
        <w:t xml:space="preserve"> proche de 1), peu pour un client aux horaires dispersés (</w:t>
      </w:r>
      <m:oMath>
        <m:r>
          <m:t>R</m:t>
        </m:r>
      </m:oMath>
      <w:r>
        <w:rPr>
          <w:sz w:val="24"/>
        </w:rPr>
        <w:t xml:space="preserve"> faible).</w:t>
      </w:r>
    </w:p>
    <w:p>
      <w:pPr>
        <w:pStyle w:val="Titre4"/>
        <w:keepNext/>
        <w:numPr>
          <w:numId w:val="0"/>
        </w:numPr>
        <w:spacing w:before="200" w:after="120"/>
        <w:ind w:left="0" w:firstLine="0"/>
        <w:jc w:val="left"/>
      </w:pPr>
      <w:r>
        <w:rPr>
          <w:b/>
          <w:i/>
          <w:color w:val="000000"/>
          <w:sz w:val="25"/>
        </w:rPr>
        <w:t>4.4 Variables physiques</w:t>
      </w:r>
    </w:p>
    <w:p>
      <w:pPr>
        <w:spacing w:before="0" w:after="120" w:line="360" w:lineRule="auto"/>
        <w:jc w:val="both"/>
      </w:pPr>
      <w:r>
        <w:rPr>
          <w:sz w:val="24"/>
        </w:rPr>
        <w:t xml:space="preserve">Six variables supplémentaires traduisent des contraintes physiques : distance parcourue depuis l'opération précédente, vitesse requise pour la parcourir, infaisabilité du déplacement, déficit de conservation (débit supérieur au solde), temps avant vidage du compte et score physique synthétique. Elles ne sont </w:t>
      </w:r>
      <w:r>
        <w:rPr>
          <w:b/>
          <w:sz w:val="24"/>
        </w:rPr>
        <w:t>pas</w:t>
      </w:r>
      <w:r>
        <w:rPr>
          <w:sz w:val="24"/>
        </w:rPr>
        <w:t xml:space="preserve"> des entrées du modèle appris : elles alimentent un détecteur à part, les lois physiques, décrit dans la partie « Méthodologie ». L'étude de leur apport comme variables du modèle est menée au chapitre III.</w:t>
      </w:r>
    </w:p>
    <w:p>
      <w:pPr>
        <w:pStyle w:val="Titre4"/>
        <w:keepNext/>
        <w:numPr>
          <w:numId w:val="0"/>
        </w:numPr>
        <w:spacing w:before="200" w:after="120"/>
        <w:ind w:left="0" w:firstLine="0"/>
        <w:jc w:val="left"/>
      </w:pPr>
      <w:r>
        <w:rPr>
          <w:b/>
          <w:i/>
          <w:color w:val="000000"/>
          <w:sz w:val="25"/>
        </w:rPr>
        <w:t>4.5 Normalisation</w:t>
      </w:r>
    </w:p>
    <w:p>
      <w:pPr>
        <w:spacing w:before="0" w:after="120" w:line="360" w:lineRule="auto"/>
        <w:jc w:val="both"/>
      </w:pPr>
      <w:r>
        <w:rPr>
          <w:sz w:val="24"/>
        </w:rPr>
        <w:t>Les 58 variables sont centrées et réduites pour être sur la même échelle, condition nécessaire à l'apprentissage des réseaux de neurones :</w:t>
      </w:r>
    </w:p>
    <w:p>
      <w:pPr>
        <w:spacing w:before="120" w:after="160"/>
        <w:jc w:val="center"/>
      </w:pPr>
      <m:oMath>
        <m:sSub>
          <m:e>
            <m:limUpp>
              <m:e>
                <m:r>
                  <m:t>x</m:t>
                </m:r>
              </m:e>
              <m:lim>
                <m:r>
                  <m:t>~</m:t>
                </m:r>
              </m:lim>
            </m:limUpp>
          </m:e>
          <m:sub>
            <m:r>
              <m:t>j</m:t>
            </m:r>
          </m:sub>
        </m:sSub>
        <m:r>
          <m:t>=</m:t>
        </m:r>
        <m:r>
          <m:rPr>
            <m:sty m:val="p"/>
          </m:rPr>
          <m:t>clip</m:t>
        </m:r>
        <m:d>
          <m:dPr>
            <m:sepChr m:val=""/>
          </m:dPr>
          <m:e>
            <m:f>
              <m:fPr>
                <m:type m:val="bar"/>
              </m:fPr>
              <m:num>
                <m:sSub>
                  <m:e>
                    <m:r>
                      <m:t>x</m:t>
                    </m:r>
                  </m:e>
                  <m:sub>
                    <m:r>
                      <m:t>j</m:t>
                    </m:r>
                  </m:sub>
                </m:sSub>
                <m:r>
                  <m:t>−</m:t>
                </m:r>
                <m:sSub>
                  <m:e>
                    <m:r>
                      <m:t>m</m:t>
                    </m:r>
                  </m:e>
                  <m:sub>
                    <m:r>
                      <m:t>j</m:t>
                    </m:r>
                  </m:sub>
                </m:sSub>
              </m:num>
              <m:den>
                <m:sSub>
                  <m:e>
                    <m:r>
                      <m:t>σ</m:t>
                    </m:r>
                  </m:e>
                  <m:sub>
                    <m:r>
                      <m:t>j</m:t>
                    </m:r>
                  </m:sub>
                </m:sSub>
              </m:den>
            </m:f>
            <m:r>
              <m:t>,</m:t>
            </m:r>
            <m:r>
              <m:t>−</m:t>
            </m:r>
            <m:r>
              <m:t>10</m:t>
            </m:r>
            <m:r>
              <m:t>,</m:t>
            </m:r>
            <m:r>
              <m:t>10</m:t>
            </m:r>
          </m:e>
        </m:d>
      </m:oMath>
    </w:p>
    <w:p>
      <w:pPr>
        <w:spacing w:before="0" w:after="120" w:line="360" w:lineRule="auto"/>
        <w:jc w:val="both"/>
      </w:pPr>
      <w:r>
        <w:rPr>
          <w:sz w:val="24"/>
        </w:rPr>
        <w:t xml:space="preserve">où </w:t>
      </w:r>
      <m:oMath>
        <m:sSub>
          <m:e>
            <m:r>
              <m:t>m</m:t>
            </m:r>
          </m:e>
          <m:sub>
            <m:r>
              <m:t>j</m:t>
            </m:r>
          </m:sub>
        </m:sSub>
      </m:oMath>
      <w:r>
        <w:rPr>
          <w:sz w:val="24"/>
        </w:rPr>
        <w:t xml:space="preserve"> et </w:t>
      </w:r>
      <m:oMath>
        <m:sSub>
          <m:e>
            <m:r>
              <m:t>σ</m:t>
            </m:r>
          </m:e>
          <m:sub>
            <m:r>
              <m:t>j</m:t>
            </m:r>
          </m:sub>
        </m:sSub>
      </m:oMath>
      <w:r>
        <w:rPr>
          <w:sz w:val="24"/>
        </w:rPr>
        <w:t xml:space="preserve"> sont la moyenne et l'écart-type de la variable </w:t>
      </w:r>
      <m:oMath>
        <m:r>
          <m:t>j</m:t>
        </m:r>
      </m:oMath>
      <w:r>
        <w:rPr>
          <w:sz w:val="24"/>
        </w:rPr>
        <w:t xml:space="preserve"> estimés </w:t>
      </w:r>
      <w:r>
        <w:rPr>
          <w:b/>
          <w:sz w:val="24"/>
        </w:rPr>
        <w:t>sur la seule période d'entraînement</w:t>
      </w:r>
      <w:r>
        <w:rPr>
          <w:sz w:val="24"/>
        </w:rPr>
        <w:t>. Les estimer sur tout le jeu serait une fuite d'information. L'empreinte de cette normalisation est vérifiée au démarrage du service de notation (§ 4.8).</w:t>
      </w:r>
    </w:p>
    <w:p>
      <w:pPr>
        <w:pStyle w:val="Titre4"/>
        <w:keepNext/>
        <w:numPr>
          <w:numId w:val="0"/>
        </w:numPr>
        <w:spacing w:before="200" w:after="120"/>
        <w:ind w:left="0" w:firstLine="0"/>
        <w:jc w:val="left"/>
      </w:pPr>
      <w:r>
        <w:rPr>
          <w:b/>
          <w:i/>
          <w:color w:val="000000"/>
          <w:sz w:val="25"/>
        </w:rPr>
        <w:t>4.6 Séquences pour le réseau récurrent</w:t>
      </w:r>
    </w:p>
    <w:p>
      <w:pPr>
        <w:spacing w:before="0" w:after="120" w:line="360" w:lineRule="auto"/>
        <w:jc w:val="both"/>
      </w:pPr>
      <w:r>
        <w:rPr>
          <w:sz w:val="24"/>
        </w:rPr>
        <w:t xml:space="preserve">Le réseau LSTM ne lit pas une opération isolée mais la </w:t>
      </w:r>
      <w:r>
        <w:rPr>
          <w:b/>
          <w:sz w:val="24"/>
        </w:rPr>
        <w:t>séquence des 10 dernières opérations du même client</w:t>
      </w:r>
      <w:r>
        <w:rPr>
          <w:sz w:val="24"/>
        </w:rPr>
        <w:t>. Un index construit, pour chaque transaction, les positions de ses 9 prédécesseurs chez le même client, dans l'ordre chronologique ; les positions manquantes (début d'historique) sont masquées. Seules des opérations passées entrent dans la séquence.</w:t>
      </w:r>
    </w:p>
    <w:p>
      <w:pPr>
        <w:pStyle w:val="Titre4"/>
        <w:keepNext/>
        <w:numPr>
          <w:numId w:val="0"/>
        </w:numPr>
        <w:spacing w:before="200" w:after="120"/>
        <w:ind w:left="0" w:firstLine="0"/>
        <w:jc w:val="left"/>
      </w:pPr>
      <w:r>
        <w:rPr>
          <w:b/>
          <w:i/>
          <w:color w:val="000000"/>
          <w:sz w:val="25"/>
        </w:rPr>
        <w:t>4.7 Découpage temporel</w:t>
      </w:r>
    </w:p>
    <w:p>
      <w:pPr>
        <w:spacing w:before="0" w:after="120" w:line="360" w:lineRule="auto"/>
        <w:jc w:val="both"/>
      </w:pPr>
      <w:r>
        <w:rPr>
          <w:sz w:val="24"/>
        </w:rPr>
        <w:t xml:space="preserve">Un découpage aléatoire des données serait irréaliste : il mélangerait passé et futur, et laisserait fuir les tendances futures dans l'entraînement. Le découpage est donc </w:t>
      </w:r>
      <w:r>
        <w:rPr>
          <w:b/>
          <w:sz w:val="24"/>
        </w:rPr>
        <w:t>chronologique</w:t>
      </w:r>
      <w:r>
        <w:rPr>
          <w:sz w:val="24"/>
        </w:rPr>
        <w:t>, comme en situation réelle, où l'on apprend sur le passé pour décider sur l'avenir (tableau II.23).</w:t>
      </w:r>
    </w:p>
    <w:p>
      <w:pPr>
        <w:pStyle w:val="Légendetableau"/>
        <w:keepNext/>
        <w:spacing w:before="200" w:after="80"/>
        <w:jc w:val="center"/>
      </w:pPr>
      <w:r>
        <w:rPr>
          <w:b/>
          <w:sz w:val="20"/>
        </w:rPr>
        <w:t>Tableau II.23 — Découpage temporel des données.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1691"/>
        <w:gridCol w:w="2451"/>
        <w:gridCol w:w="5247"/>
      </w:tblGrid>
      <w:tr>
        <w:trPr>
          <w:tblHeader w:val="true"/>
        </w:trPr>
        <w:tc>
          <w:tcPr>
            <w:tcW w:type="dxa" w:w="1691"/>
            <w:shd w:val="clear" w:color="auto" w:fill="D9E2F3"/>
          </w:tcPr>
          <w:p>
            <w:pPr>
              <w:spacing w:after="20" w:before="20" w:line="240" w:lineRule="auto"/>
              <w:jc w:val="left"/>
            </w:pPr>
            <w:r/>
            <w:r>
              <w:rPr>
                <w:b/>
                <w:sz w:val="20"/>
              </w:rPr>
              <w:t>Tranche</w:t>
            </w:r>
          </w:p>
        </w:tc>
        <w:tc>
          <w:tcPr>
            <w:tcW w:type="dxa" w:w="2451"/>
            <w:shd w:val="clear" w:color="auto" w:fill="D9E2F3"/>
          </w:tcPr>
          <w:p>
            <w:pPr>
              <w:spacing w:after="20" w:before="20" w:line="240" w:lineRule="auto"/>
              <w:jc w:val="left"/>
            </w:pPr>
            <w:r/>
            <w:r>
              <w:rPr>
                <w:b/>
                <w:sz w:val="20"/>
              </w:rPr>
              <w:t>Période</w:t>
            </w:r>
          </w:p>
        </w:tc>
        <w:tc>
          <w:tcPr>
            <w:tcW w:type="dxa" w:w="5247"/>
            <w:shd w:val="clear" w:color="auto" w:fill="D9E2F3"/>
          </w:tcPr>
          <w:p>
            <w:pPr>
              <w:spacing w:after="20" w:before="20" w:line="240" w:lineRule="auto"/>
              <w:jc w:val="left"/>
            </w:pPr>
            <w:r/>
            <w:r>
              <w:rPr>
                <w:b/>
                <w:sz w:val="20"/>
              </w:rPr>
              <w:t>Usage</w:t>
            </w:r>
          </w:p>
        </w:tc>
      </w:tr>
      <w:tr>
        <w:trPr>
          <w:cantSplit w:val="true"/>
        </w:trPr>
        <w:tc>
          <w:tcPr>
            <w:tcW w:type="dxa" w:w="1691"/>
          </w:tcPr>
          <w:p>
            <w:pPr>
              <w:spacing w:after="20" w:before="20" w:line="240" w:lineRule="auto"/>
              <w:jc w:val="left"/>
            </w:pPr>
            <w:r/>
            <w:r>
              <w:rPr>
                <w:sz w:val="20"/>
              </w:rPr>
              <w:t>Entraînement</w:t>
            </w:r>
          </w:p>
        </w:tc>
        <w:tc>
          <w:tcPr>
            <w:tcW w:type="dxa" w:w="2451"/>
          </w:tcPr>
          <w:p>
            <w:pPr>
              <w:spacing w:after="20" w:before="20" w:line="240" w:lineRule="auto"/>
              <w:jc w:val="left"/>
            </w:pPr>
            <w:r/>
            <w:r>
              <w:rPr>
                <w:sz w:val="20"/>
              </w:rPr>
              <w:t>01/2019 au 02/03/2023</w:t>
            </w:r>
          </w:p>
        </w:tc>
        <w:tc>
          <w:tcPr>
            <w:tcW w:type="dxa" w:w="5247"/>
          </w:tcPr>
          <w:p>
            <w:pPr>
              <w:spacing w:after="20" w:before="20" w:line="240" w:lineRule="auto"/>
              <w:jc w:val="left"/>
            </w:pPr>
            <w:r/>
            <w:r>
              <w:rPr>
                <w:sz w:val="20"/>
              </w:rPr>
              <w:t>apprentissage des modèles</w:t>
            </w:r>
          </w:p>
        </w:tc>
      </w:tr>
      <w:tr>
        <w:trPr>
          <w:cantSplit w:val="true"/>
        </w:trPr>
        <w:tc>
          <w:tcPr>
            <w:tcW w:type="dxa" w:w="1691"/>
          </w:tcPr>
          <w:p>
            <w:pPr>
              <w:spacing w:after="20" w:before="20" w:line="240" w:lineRule="auto"/>
              <w:jc w:val="left"/>
            </w:pPr>
            <w:r/>
            <w:r>
              <w:rPr>
                <w:sz w:val="20"/>
              </w:rPr>
              <w:t>Arrêt précoce</w:t>
            </w:r>
          </w:p>
        </w:tc>
        <w:tc>
          <w:tcPr>
            <w:tcW w:type="dxa" w:w="2451"/>
          </w:tcPr>
          <w:p>
            <w:pPr>
              <w:spacing w:after="20" w:before="20" w:line="240" w:lineRule="auto"/>
              <w:jc w:val="left"/>
            </w:pPr>
            <w:r/>
            <w:r>
              <w:rPr>
                <w:sz w:val="20"/>
              </w:rPr>
              <w:t>02/03/2023 au 25/11/2023</w:t>
            </w:r>
          </w:p>
        </w:tc>
        <w:tc>
          <w:tcPr>
            <w:tcW w:type="dxa" w:w="5247"/>
          </w:tcPr>
          <w:p>
            <w:pPr>
              <w:spacing w:after="20" w:before="20" w:line="240" w:lineRule="auto"/>
              <w:jc w:val="left"/>
            </w:pPr>
            <w:r/>
            <w:r>
              <w:rPr>
                <w:sz w:val="20"/>
              </w:rPr>
              <w:t>arrêt de l'apprentissage, détection du surapprentissage</w:t>
            </w:r>
          </w:p>
        </w:tc>
      </w:tr>
      <w:tr>
        <w:trPr>
          <w:cantSplit w:val="true"/>
        </w:trPr>
        <w:tc>
          <w:tcPr>
            <w:tcW w:type="dxa" w:w="1691"/>
          </w:tcPr>
          <w:p>
            <w:pPr>
              <w:spacing w:after="20" w:before="20" w:line="240" w:lineRule="auto"/>
              <w:jc w:val="left"/>
            </w:pPr>
            <w:r/>
            <w:r>
              <w:rPr>
                <w:sz w:val="20"/>
              </w:rPr>
              <w:t>Validation</w:t>
            </w:r>
          </w:p>
        </w:tc>
        <w:tc>
          <w:tcPr>
            <w:tcW w:type="dxa" w:w="2451"/>
          </w:tcPr>
          <w:p>
            <w:pPr>
              <w:spacing w:after="20" w:before="20" w:line="240" w:lineRule="auto"/>
              <w:jc w:val="left"/>
            </w:pPr>
            <w:r/>
            <w:r>
              <w:rPr>
                <w:sz w:val="20"/>
              </w:rPr>
              <w:t>25/11/2023 au 13/12/2024</w:t>
            </w:r>
          </w:p>
        </w:tc>
        <w:tc>
          <w:tcPr>
            <w:tcW w:type="dxa" w:w="5247"/>
          </w:tcPr>
          <w:p>
            <w:pPr>
              <w:spacing w:after="20" w:before="20" w:line="240" w:lineRule="auto"/>
              <w:jc w:val="left"/>
            </w:pPr>
            <w:r/>
            <w:r>
              <w:rPr>
                <w:sz w:val="20"/>
              </w:rPr>
              <w:t>choix du seuil, calibrage de la combinaison des modèles</w:t>
            </w:r>
          </w:p>
        </w:tc>
      </w:tr>
      <w:tr>
        <w:trPr>
          <w:cantSplit w:val="true"/>
        </w:trPr>
        <w:tc>
          <w:tcPr>
            <w:tcW w:type="dxa" w:w="1691"/>
          </w:tcPr>
          <w:p>
            <w:pPr>
              <w:spacing w:after="20" w:before="20" w:line="240" w:lineRule="auto"/>
              <w:jc w:val="left"/>
            </w:pPr>
            <w:r/>
            <w:r>
              <w:rPr>
                <w:b/>
                <w:sz w:val="20"/>
              </w:rPr>
              <w:t>Test</w:t>
            </w:r>
          </w:p>
        </w:tc>
        <w:tc>
          <w:tcPr>
            <w:tcW w:type="dxa" w:w="2451"/>
          </w:tcPr>
          <w:p>
            <w:pPr>
              <w:spacing w:after="20" w:before="20" w:line="240" w:lineRule="auto"/>
              <w:jc w:val="left"/>
            </w:pPr>
            <w:r/>
            <w:r>
              <w:rPr>
                <w:sz w:val="20"/>
              </w:rPr>
              <w:t>13/12/2024 au 31/12/2025</w:t>
            </w:r>
          </w:p>
        </w:tc>
        <w:tc>
          <w:tcPr>
            <w:tcW w:type="dxa" w:w="5247"/>
          </w:tcPr>
          <w:p>
            <w:pPr>
              <w:spacing w:after="20" w:before="20" w:line="240" w:lineRule="auto"/>
              <w:jc w:val="left"/>
            </w:pPr>
            <w:r/>
            <w:r>
              <w:rPr>
                <w:sz w:val="20"/>
              </w:rPr>
              <w:t>évaluation finale sur 183 240 transactions jamais vues, dont 2 437 fraudes</w:t>
            </w:r>
          </w:p>
        </w:tc>
      </w:tr>
    </w:tbl>
    <w:p>
      <w:pPr>
        <w:spacing w:after="120"/>
      </w:pPr>
    </w:p>
    <w:p>
      <w:pPr>
        <w:spacing w:before="0" w:after="120" w:line="360" w:lineRule="auto"/>
        <w:jc w:val="both"/>
      </w:pPr>
      <w:r>
        <w:rPr>
          <w:sz w:val="24"/>
        </w:rPr>
        <w:t>Une tranche d'arrêt précoce distincte de la validation évite d'optimiser deux fois sur les mêmes données (arrêt de l'apprentissage et choix du seuil), ce qui rendrait le seuil trop optimiste.</w:t>
      </w:r>
    </w:p>
    <w:p>
      <w:pPr>
        <w:pStyle w:val="Titre4"/>
        <w:keepNext/>
        <w:numPr>
          <w:numId w:val="0"/>
        </w:numPr>
        <w:spacing w:before="200" w:after="120"/>
        <w:ind w:left="0" w:firstLine="0"/>
        <w:jc w:val="left"/>
      </w:pPr>
      <w:r>
        <w:rPr>
          <w:b/>
          <w:i/>
          <w:color w:val="000000"/>
          <w:sz w:val="25"/>
        </w:rPr>
        <w:t>4.8 Déséquilibre des classes et cohérence entre entraînement et production</w:t>
      </w:r>
    </w:p>
    <w:p>
      <w:pPr>
        <w:spacing w:before="0" w:after="120" w:line="360" w:lineRule="auto"/>
        <w:jc w:val="both"/>
      </w:pPr>
      <w:r>
        <w:rPr>
          <w:b/>
          <w:sz w:val="24"/>
        </w:rPr>
        <w:t>Déséquilibre.</w:t>
      </w:r>
      <w:r>
        <w:rPr>
          <w:sz w:val="24"/>
        </w:rPr>
        <w:t xml:space="preserve"> Avec 1,33 % de fraudes, un « modèle » qui déclarerait toutes les opérations légitimes aurait 98,67 % d'exactitude (</w:t>
      </w:r>
      <w:r>
        <w:rPr>
          <w:i/>
          <w:sz w:val="24"/>
        </w:rPr>
        <w:t>accuracy</w:t>
      </w:r>
      <w:r>
        <w:rPr>
          <w:sz w:val="24"/>
        </w:rPr>
        <w:t xml:space="preserve">) tout en étant inutile. Deux mécanismes compensent ce déséquilibre. Pour XGBoost, chaque fraude est pondérée dans la fonction de perte par </w:t>
      </w:r>
      <m:oMath>
        <m:r>
          <m:t>w=</m:t>
        </m:r>
        <m:sSup>
          <m:e>
            <m:r>
              <m:t>N</m:t>
            </m:r>
          </m:e>
          <m:sup>
            <m:r>
              <m:t>−</m:t>
            </m:r>
          </m:sup>
        </m:sSup>
        <m:r>
          <m:t>/</m:t>
        </m:r>
        <m:sSup>
          <m:e>
            <m:r>
              <m:t>N</m:t>
            </m:r>
          </m:e>
          <m:sup>
            <m:r>
              <m:t>+</m:t>
            </m:r>
          </m:sup>
        </m:sSup>
      </m:oMath>
      <w:r>
        <w:rPr>
          <w:sz w:val="24"/>
        </w:rPr>
        <w:t xml:space="preserve"> (nombre de légitimes divisé par nombre de fraudes), soit environ 74. Pour le LSTM, seule une partie (30 %) des opérations légitimes, tirée au hasard, est conservée à chaque époque.</w:t>
      </w:r>
    </w:p>
    <w:p>
      <w:pPr>
        <w:spacing w:before="0" w:after="120" w:line="360" w:lineRule="auto"/>
        <w:jc w:val="both"/>
      </w:pPr>
      <w:r>
        <w:rPr>
          <w:b/>
          <w:sz w:val="24"/>
        </w:rPr>
        <w:t>Cohérence entraînement et production.</w:t>
      </w:r>
      <w:r>
        <w:rPr>
          <w:sz w:val="24"/>
        </w:rPr>
        <w:t xml:space="preserve"> Pour que le modèle reçoive en production exactement ce qu'il a appris, les variables sont calculées par </w:t>
      </w:r>
      <w:r>
        <w:rPr>
          <w:b/>
          <w:sz w:val="24"/>
        </w:rPr>
        <w:t>la même classe</w:t>
      </w:r>
      <w:r>
        <w:rPr>
          <w:sz w:val="24"/>
        </w:rPr>
        <w:t xml:space="preserve"> (</w:t>
      </w:r>
      <w:r>
        <w:rPr>
          <w:rFonts w:ascii="Courier New" w:hAnsi="Courier New"/>
          <w:b w:val="0"/>
          <w:sz w:val="20"/>
        </w:rPr>
        <w:t>BehavioralFeatureExtractor</w:t>
      </w:r>
      <w:r>
        <w:rPr>
          <w:sz w:val="24"/>
        </w:rPr>
        <w:t>) lors de l'entraînement (rejeu de l'historique) et en production (une opération à la fois, avec l'état du client conservé dans Redis). Un test de parité compare les deux calculs, et l'empreinte de la normalisation est contrôlée au démarrage du service de notation : en cas d'écart, le service le signale. Cette discipline évite l'écart classique entre entraînement et production (</w:t>
      </w:r>
      <w:r>
        <w:rPr>
          <w:i/>
          <w:sz w:val="24"/>
        </w:rPr>
        <w:t>training-serving skew</w:t>
      </w:r>
      <w:r>
        <w:rPr>
          <w:sz w:val="24"/>
        </w:rPr>
        <w:t>).</w:t>
      </w:r>
    </w:p>
    <w:p>
      <w:pPr>
        <w:pStyle w:val="Titre2"/>
        <w:keepNext/>
        <w:numPr>
          <w:numId w:val="0"/>
        </w:numPr>
        <w:spacing w:before="360" w:after="120"/>
        <w:ind w:left="0" w:firstLine="0"/>
        <w:jc w:val="left"/>
      </w:pPr>
      <w:r>
        <w:rPr>
          <w:b/>
          <w:color w:val="1F2A44"/>
          <w:sz w:val="30"/>
        </w:rPr>
        <w:t>II. Méthodologie</w:t>
      </w:r>
    </w:p>
    <w:p>
      <w:pPr>
        <w:pStyle w:val="Titre3"/>
        <w:keepNext/>
        <w:numPr>
          <w:numId w:val="0"/>
        </w:numPr>
        <w:spacing w:before="280" w:after="120"/>
        <w:ind w:left="0" w:firstLine="0"/>
        <w:jc w:val="left"/>
      </w:pPr>
      <w:r>
        <w:rPr>
          <w:b/>
          <w:color w:val="1F2A44"/>
          <w:sz w:val="28"/>
        </w:rPr>
        <w:t>Cadre méthodologique</w:t>
      </w:r>
    </w:p>
    <w:p>
      <w:pPr>
        <w:spacing w:before="0" w:after="120" w:line="360" w:lineRule="auto"/>
        <w:jc w:val="both"/>
      </w:pPr>
      <w:r>
        <w:rPr>
          <w:sz w:val="24"/>
        </w:rPr>
        <w:t xml:space="preserve">Ce travail relève de la </w:t>
      </w:r>
      <w:r>
        <w:rPr>
          <w:b/>
          <w:sz w:val="24"/>
        </w:rPr>
        <w:t>science de la conception</w:t>
      </w:r>
      <w:r>
        <w:rPr>
          <w:sz w:val="24"/>
        </w:rPr>
        <w:t xml:space="preserve"> (</w:t>
      </w:r>
      <w:r>
        <w:rPr>
          <w:i/>
          <w:sz w:val="24"/>
        </w:rPr>
        <w:t>Design Science Research</w:t>
      </w:r>
      <w:r>
        <w:rPr>
          <w:sz w:val="24"/>
        </w:rPr>
        <w:t xml:space="preserve">, Hevner et al., 2004). Cette démarche convient aux recherches dont le résultat est un </w:t>
      </w:r>
      <w:r>
        <w:rPr>
          <w:b/>
          <w:sz w:val="24"/>
        </w:rPr>
        <w:t>artefact</w:t>
      </w:r>
      <w:r>
        <w:rPr>
          <w:sz w:val="24"/>
        </w:rPr>
        <w:t xml:space="preserve"> : on le construit pour répondre à un problème réel, puis on l'évalue de façon rigoureuse. Ici, l'artefact est le système de détection, et son évaluation passe par le test des cinq hypothèses.</w:t>
      </w:r>
    </w:p>
    <w:p>
      <w:pPr>
        <w:spacing w:before="0" w:after="120" w:line="360" w:lineRule="auto"/>
        <w:jc w:val="both"/>
      </w:pPr>
      <w:r>
        <w:rPr>
          <w:sz w:val="24"/>
        </w:rPr>
        <w:t xml:space="preserve">Le volet données suit le cycle </w:t>
      </w:r>
      <w:r>
        <w:rPr>
          <w:b/>
          <w:sz w:val="24"/>
        </w:rPr>
        <w:t>CRISP-DM</w:t>
      </w:r>
      <w:r>
        <w:rPr>
          <w:sz w:val="24"/>
        </w:rPr>
        <w:t xml:space="preserve"> (</w:t>
      </w:r>
      <w:r>
        <w:rPr>
          <w:i/>
          <w:sz w:val="24"/>
        </w:rPr>
        <w:t>Cross Industry Standard Process for Data Mining</w:t>
      </w:r>
      <w:r>
        <w:rPr>
          <w:sz w:val="24"/>
        </w:rPr>
        <w:t>, Chapman et al., 2000), standard de fait des projets d'exploration de données. Ce cycle est itératif : l'évaluation peut renvoyer à une étape antérieure, par exemple lorsqu'elle révèle une fuite d'information (tableau II.24).</w:t>
      </w:r>
    </w:p>
    <w:p>
      <w:pPr>
        <w:pStyle w:val="Légendetableau"/>
        <w:keepNext/>
        <w:spacing w:before="200" w:after="80"/>
        <w:jc w:val="center"/>
      </w:pPr>
      <w:r>
        <w:rPr>
          <w:b/>
          <w:sz w:val="20"/>
        </w:rPr>
        <w:t>Tableau II.24 — Application du cycle CRISP-DM.</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1883"/>
        <w:gridCol w:w="5249"/>
        <w:gridCol w:w="2257"/>
      </w:tblGrid>
      <w:tr>
        <w:trPr>
          <w:tblHeader w:val="true"/>
        </w:trPr>
        <w:tc>
          <w:tcPr>
            <w:tcW w:type="dxa" w:w="1883"/>
            <w:shd w:val="clear" w:color="auto" w:fill="D9E2F3"/>
          </w:tcPr>
          <w:p>
            <w:pPr>
              <w:spacing w:after="20" w:before="20" w:line="240" w:lineRule="auto"/>
              <w:jc w:val="left"/>
            </w:pPr>
            <w:r/>
            <w:r>
              <w:rPr>
                <w:b/>
                <w:sz w:val="20"/>
              </w:rPr>
              <w:t>Étape CRISP-DM</w:t>
            </w:r>
          </w:p>
        </w:tc>
        <w:tc>
          <w:tcPr>
            <w:tcW w:type="dxa" w:w="5249"/>
            <w:shd w:val="clear" w:color="auto" w:fill="D9E2F3"/>
          </w:tcPr>
          <w:p>
            <w:pPr>
              <w:spacing w:after="20" w:before="20" w:line="240" w:lineRule="auto"/>
              <w:jc w:val="left"/>
            </w:pPr>
            <w:r/>
            <w:r>
              <w:rPr>
                <w:b/>
                <w:sz w:val="20"/>
              </w:rPr>
              <w:t>Contenu dans ce travail</w:t>
            </w:r>
          </w:p>
        </w:tc>
        <w:tc>
          <w:tcPr>
            <w:tcW w:type="dxa" w:w="2257"/>
            <w:shd w:val="clear" w:color="auto" w:fill="D9E2F3"/>
          </w:tcPr>
          <w:p>
            <w:pPr>
              <w:spacing w:after="20" w:before="20" w:line="240" w:lineRule="auto"/>
              <w:jc w:val="left"/>
            </w:pPr>
            <w:r/>
            <w:r>
              <w:rPr>
                <w:b/>
                <w:sz w:val="20"/>
              </w:rPr>
              <w:t>Livrable</w:t>
            </w:r>
          </w:p>
        </w:tc>
      </w:tr>
      <w:tr>
        <w:trPr>
          <w:cantSplit w:val="true"/>
        </w:trPr>
        <w:tc>
          <w:tcPr>
            <w:tcW w:type="dxa" w:w="1883"/>
          </w:tcPr>
          <w:p>
            <w:pPr>
              <w:spacing w:after="20" w:before="20" w:line="240" w:lineRule="auto"/>
              <w:jc w:val="left"/>
            </w:pPr>
            <w:r/>
            <w:r>
              <w:rPr>
                <w:sz w:val="20"/>
              </w:rPr>
              <w:t>1. Compréhension du métier</w:t>
            </w:r>
          </w:p>
        </w:tc>
        <w:tc>
          <w:tcPr>
            <w:tcW w:type="dxa" w:w="5249"/>
          </w:tcPr>
          <w:p>
            <w:pPr>
              <w:spacing w:after="20" w:before="20" w:line="240" w:lineRule="auto"/>
              <w:jc w:val="left"/>
            </w:pPr>
            <w:r/>
            <w:r>
              <w:rPr>
                <w:sz w:val="20"/>
              </w:rPr>
              <w:t>Contexte RDC, typologies de fraude, acteurs, besoins</w:t>
            </w:r>
          </w:p>
        </w:tc>
        <w:tc>
          <w:tcPr>
            <w:tcW w:type="dxa" w:w="2257"/>
          </w:tcPr>
          <w:p>
            <w:pPr>
              <w:spacing w:after="20" w:before="20" w:line="240" w:lineRule="auto"/>
              <w:jc w:val="left"/>
            </w:pPr>
            <w:r/>
            <w:r>
              <w:rPr>
                <w:sz w:val="20"/>
              </w:rPr>
              <w:t>Partie I, section 1</w:t>
            </w:r>
          </w:p>
        </w:tc>
      </w:tr>
      <w:tr>
        <w:trPr>
          <w:cantSplit w:val="true"/>
        </w:trPr>
        <w:tc>
          <w:tcPr>
            <w:tcW w:type="dxa" w:w="1883"/>
          </w:tcPr>
          <w:p>
            <w:pPr>
              <w:spacing w:after="20" w:before="20" w:line="240" w:lineRule="auto"/>
              <w:jc w:val="left"/>
            </w:pPr>
            <w:r/>
            <w:r>
              <w:rPr>
                <w:sz w:val="20"/>
              </w:rPr>
              <w:t>2. Compréhension des données</w:t>
            </w:r>
          </w:p>
        </w:tc>
        <w:tc>
          <w:tcPr>
            <w:tcW w:type="dxa" w:w="5249"/>
          </w:tcPr>
          <w:p>
            <w:pPr>
              <w:spacing w:after="20" w:before="20" w:line="240" w:lineRule="auto"/>
              <w:jc w:val="left"/>
            </w:pPr>
            <w:r/>
            <w:r>
              <w:rPr>
                <w:sz w:val="20"/>
              </w:rPr>
              <w:t>Générateur synthétique 2019-2025, analyse exploratoire</w:t>
            </w:r>
          </w:p>
        </w:tc>
        <w:tc>
          <w:tcPr>
            <w:tcW w:type="dxa" w:w="2257"/>
          </w:tcPr>
          <w:p>
            <w:pPr>
              <w:spacing w:after="20" w:before="20" w:line="240" w:lineRule="auto"/>
              <w:jc w:val="left"/>
            </w:pPr>
            <w:r/>
            <w:r>
              <w:rPr>
                <w:sz w:val="20"/>
              </w:rPr>
              <w:t>Partie I, sections 2 et 3 ; chapitre III</w:t>
            </w:r>
          </w:p>
        </w:tc>
      </w:tr>
      <w:tr>
        <w:trPr>
          <w:cantSplit w:val="true"/>
        </w:trPr>
        <w:tc>
          <w:tcPr>
            <w:tcW w:type="dxa" w:w="1883"/>
          </w:tcPr>
          <w:p>
            <w:pPr>
              <w:spacing w:after="20" w:before="20" w:line="240" w:lineRule="auto"/>
              <w:jc w:val="left"/>
            </w:pPr>
            <w:r/>
            <w:r>
              <w:rPr>
                <w:sz w:val="20"/>
              </w:rPr>
              <w:t>3. Préparation des données</w:t>
            </w:r>
          </w:p>
        </w:tc>
        <w:tc>
          <w:tcPr>
            <w:tcW w:type="dxa" w:w="5249"/>
          </w:tcPr>
          <w:p>
            <w:pPr>
              <w:spacing w:after="20" w:before="20" w:line="240" w:lineRule="auto"/>
              <w:jc w:val="left"/>
            </w:pPr>
            <w:r/>
            <w:r>
              <w:rPr>
                <w:sz w:val="20"/>
              </w:rPr>
              <w:t>58 variables comportementales, normalisation, découpage temporel</w:t>
            </w:r>
          </w:p>
        </w:tc>
        <w:tc>
          <w:tcPr>
            <w:tcW w:type="dxa" w:w="2257"/>
          </w:tcPr>
          <w:p>
            <w:pPr>
              <w:spacing w:after="20" w:before="20" w:line="240" w:lineRule="auto"/>
              <w:jc w:val="left"/>
            </w:pPr>
            <w:r/>
            <w:r>
              <w:rPr>
                <w:sz w:val="20"/>
              </w:rPr>
              <w:t>Partie I, section 4</w:t>
            </w:r>
          </w:p>
        </w:tc>
      </w:tr>
      <w:tr>
        <w:trPr>
          <w:cantSplit w:val="true"/>
        </w:trPr>
        <w:tc>
          <w:tcPr>
            <w:tcW w:type="dxa" w:w="1883"/>
          </w:tcPr>
          <w:p>
            <w:pPr>
              <w:spacing w:after="20" w:before="20" w:line="240" w:lineRule="auto"/>
              <w:jc w:val="left"/>
            </w:pPr>
            <w:r/>
            <w:r>
              <w:rPr>
                <w:sz w:val="20"/>
              </w:rPr>
              <w:t>4. Modélisation</w:t>
            </w:r>
          </w:p>
        </w:tc>
        <w:tc>
          <w:tcPr>
            <w:tcW w:type="dxa" w:w="5249"/>
          </w:tcPr>
          <w:p>
            <w:pPr>
              <w:spacing w:after="20" w:before="20" w:line="240" w:lineRule="auto"/>
              <w:jc w:val="left"/>
            </w:pPr>
            <w:r/>
            <w:r>
              <w:rPr>
                <w:sz w:val="20"/>
              </w:rPr>
              <w:t>Modèles de référence, modèle hybride, classifieur de typologie</w:t>
            </w:r>
          </w:p>
        </w:tc>
        <w:tc>
          <w:tcPr>
            <w:tcW w:type="dxa" w:w="2257"/>
          </w:tcPr>
          <w:p>
            <w:pPr>
              <w:spacing w:after="20" w:before="20" w:line="240" w:lineRule="auto"/>
              <w:jc w:val="left"/>
            </w:pPr>
            <w:r/>
            <w:r>
              <w:rPr>
                <w:sz w:val="20"/>
              </w:rPr>
              <w:t>Partie II, sections 1 à 3</w:t>
            </w:r>
          </w:p>
        </w:tc>
      </w:tr>
      <w:tr>
        <w:trPr>
          <w:cantSplit w:val="true"/>
        </w:trPr>
        <w:tc>
          <w:tcPr>
            <w:tcW w:type="dxa" w:w="1883"/>
          </w:tcPr>
          <w:p>
            <w:pPr>
              <w:spacing w:after="20" w:before="20" w:line="240" w:lineRule="auto"/>
              <w:jc w:val="left"/>
            </w:pPr>
            <w:r/>
            <w:r>
              <w:rPr>
                <w:sz w:val="20"/>
              </w:rPr>
              <w:t>5. Évaluation</w:t>
            </w:r>
          </w:p>
        </w:tc>
        <w:tc>
          <w:tcPr>
            <w:tcW w:type="dxa" w:w="5249"/>
          </w:tcPr>
          <w:p>
            <w:pPr>
              <w:spacing w:after="20" w:before="20" w:line="240" w:lineRule="auto"/>
              <w:jc w:val="left"/>
            </w:pPr>
            <w:r/>
            <w:r>
              <w:rPr>
                <w:sz w:val="20"/>
              </w:rPr>
              <w:t>Protocole statistique H1 à H5 et évaluations complémentaires</w:t>
            </w:r>
          </w:p>
        </w:tc>
        <w:tc>
          <w:tcPr>
            <w:tcW w:type="dxa" w:w="2257"/>
          </w:tcPr>
          <w:p>
            <w:pPr>
              <w:spacing w:after="20" w:before="20" w:line="240" w:lineRule="auto"/>
              <w:jc w:val="left"/>
            </w:pPr>
            <w:r/>
            <w:r>
              <w:rPr>
                <w:sz w:val="20"/>
              </w:rPr>
              <w:t>Partie II, sections 4 à 6 ; chapitre III</w:t>
            </w:r>
          </w:p>
        </w:tc>
      </w:tr>
      <w:tr>
        <w:trPr>
          <w:cantSplit w:val="true"/>
        </w:trPr>
        <w:tc>
          <w:tcPr>
            <w:tcW w:type="dxa" w:w="1883"/>
          </w:tcPr>
          <w:p>
            <w:pPr>
              <w:spacing w:after="20" w:before="20" w:line="240" w:lineRule="auto"/>
              <w:jc w:val="left"/>
            </w:pPr>
            <w:r/>
            <w:r>
              <w:rPr>
                <w:sz w:val="20"/>
              </w:rPr>
              <w:t>6. Déploiement</w:t>
            </w:r>
          </w:p>
        </w:tc>
        <w:tc>
          <w:tcPr>
            <w:tcW w:type="dxa" w:w="5249"/>
          </w:tcPr>
          <w:p>
            <w:pPr>
              <w:spacing w:after="20" w:before="20" w:line="240" w:lineRule="auto"/>
              <w:jc w:val="left"/>
            </w:pPr>
            <w:r/>
            <w:r>
              <w:rPr>
                <w:sz w:val="20"/>
              </w:rPr>
              <w:t>Architecture temps réel, API, supervision, apprentissage continu</w:t>
            </w:r>
          </w:p>
        </w:tc>
        <w:tc>
          <w:tcPr>
            <w:tcW w:type="dxa" w:w="2257"/>
          </w:tcPr>
          <w:p>
            <w:pPr>
              <w:spacing w:after="20" w:before="20" w:line="240" w:lineRule="auto"/>
              <w:jc w:val="left"/>
            </w:pPr>
            <w:r/>
            <w:r>
              <w:rPr>
                <w:sz w:val="20"/>
              </w:rPr>
              <w:t>Chapitre III</w:t>
            </w:r>
          </w:p>
        </w:tc>
      </w:tr>
    </w:tbl>
    <w:p>
      <w:pPr>
        <w:spacing w:after="120"/>
      </w:pPr>
    </w:p>
    <w:p>
      <w:pPr>
        <w:spacing w:before="0" w:after="120" w:line="360" w:lineRule="auto"/>
        <w:jc w:val="both"/>
      </w:pPr>
      <w:r>
        <w:rPr>
          <w:sz w:val="24"/>
        </w:rPr>
        <w:t xml:space="preserve">Le développement logiciel suit une démarche </w:t>
      </w:r>
      <w:r>
        <w:rPr>
          <w:b/>
          <w:sz w:val="24"/>
        </w:rPr>
        <w:t>itérative et incrémentale</w:t>
      </w:r>
      <w:r>
        <w:rPr>
          <w:sz w:val="24"/>
        </w:rPr>
        <w:t xml:space="preserve">, inspirée du processus unifié et de sa variante en Y, </w:t>
      </w:r>
      <w:r>
        <w:rPr>
          <w:b/>
          <w:sz w:val="24"/>
        </w:rPr>
        <w:t>2TUP</w:t>
      </w:r>
      <w:r>
        <w:rPr>
          <w:sz w:val="24"/>
        </w:rPr>
        <w:t xml:space="preserve"> (</w:t>
      </w:r>
      <w:r>
        <w:rPr>
          <w:i/>
          <w:sz w:val="24"/>
        </w:rPr>
        <w:t>Two Track Unified Process</w:t>
      </w:r>
      <w:r>
        <w:rPr>
          <w:sz w:val="24"/>
        </w:rPr>
        <w:t xml:space="preserve">, Roques et Vallée, 2011). Cette variante sépare une branche fonctionnelle (les besoins du métier), une branche technique (les contraintes et les choix d'architecture) et une branche de réalisation qui les fusionne. Le projet a été conduit en incréments successifs, chacun produisant une version utilisable et s'achevant par une évaluation : données et variables, modèles, service de notation, intégration des opérateurs, tableau de bord, workers asynchrones, supervision, conteneurisation, apprentissage continu, puis réseaux de fraude, boucle de retour, politique de coût, sécurité et équité. Les diagnostics ont conduit à des corrections successives, notamment sur les fuites d'information, la cohérence entre l'entraînement et la production, le surapprentissage et le choix des seuils. La modélisation utilise le langage </w:t>
      </w:r>
      <w:r>
        <w:rPr>
          <w:b/>
          <w:sz w:val="24"/>
        </w:rPr>
        <w:t>UML</w:t>
      </w:r>
      <w:r>
        <w:rPr>
          <w:sz w:val="24"/>
        </w:rPr>
        <w:t xml:space="preserve"> (</w:t>
      </w:r>
      <w:r>
        <w:rPr>
          <w:i/>
          <w:sz w:val="24"/>
        </w:rPr>
        <w:t>Unified Modeling Language</w:t>
      </w:r>
      <w:r>
        <w:rPr>
          <w:sz w:val="24"/>
        </w:rPr>
        <w:t>), dont les diagrammes sont présentés au chapitre III.</w:t>
      </w:r>
    </w:p>
    <w:p>
      <w:pPr>
        <w:pStyle w:val="Titre3"/>
        <w:keepNext/>
        <w:numPr>
          <w:numId w:val="0"/>
        </w:numPr>
        <w:spacing w:before="280" w:after="120"/>
        <w:ind w:left="0" w:firstLine="0"/>
        <w:jc w:val="left"/>
      </w:pPr>
      <w:r>
        <w:rPr>
          <w:b/>
          <w:color w:val="1F2A44"/>
          <w:sz w:val="28"/>
        </w:rPr>
        <w:t>1. Choix des algorithmes et modèles</w:t>
      </w:r>
    </w:p>
    <w:p>
      <w:pPr>
        <w:pStyle w:val="Titre4"/>
        <w:keepNext/>
        <w:numPr>
          <w:numId w:val="0"/>
        </w:numPr>
        <w:spacing w:before="200" w:after="120"/>
        <w:ind w:left="0" w:firstLine="0"/>
        <w:jc w:val="left"/>
      </w:pPr>
      <w:r>
        <w:rPr>
          <w:b/>
          <w:i/>
          <w:color w:val="000000"/>
          <w:sz w:val="25"/>
        </w:rPr>
        <w:t>1.1 Les méthodes candidates</w:t>
      </w:r>
    </w:p>
    <w:p>
      <w:pPr>
        <w:spacing w:before="0" w:after="120" w:line="360" w:lineRule="auto"/>
        <w:jc w:val="both"/>
      </w:pPr>
      <w:r>
        <w:rPr>
          <w:sz w:val="24"/>
        </w:rPr>
        <w:t>Pour éprouver les hypothèses H1 et H3, huit méthodes, représentatives des grandes familles de l'apprentissage automatique appliqué à la fraude, sont mises en concurrence, des plus simples aux plus élaborées (tableau II.25).</w:t>
      </w:r>
    </w:p>
    <w:p>
      <w:pPr>
        <w:pStyle w:val="Légendetableau"/>
        <w:keepNext/>
        <w:spacing w:before="200" w:after="80"/>
        <w:jc w:val="center"/>
      </w:pPr>
      <w:r>
        <w:rPr>
          <w:b/>
          <w:sz w:val="20"/>
        </w:rPr>
        <w:t>Tableau II.25 — Méthodes comparées.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786"/>
        <w:gridCol w:w="1320"/>
        <w:gridCol w:w="3132"/>
        <w:gridCol w:w="1773"/>
        <w:gridCol w:w="2377"/>
      </w:tblGrid>
      <w:tr>
        <w:trPr>
          <w:tblHeader w:val="true"/>
        </w:trPr>
        <w:tc>
          <w:tcPr>
            <w:tcW w:type="dxa" w:w="786"/>
            <w:shd w:val="clear" w:color="auto" w:fill="D9E2F3"/>
          </w:tcPr>
          <w:p>
            <w:pPr>
              <w:spacing w:after="20" w:before="20" w:line="240" w:lineRule="auto"/>
              <w:jc w:val="left"/>
            </w:pPr>
            <w:r/>
            <w:r>
              <w:rPr>
                <w:b/>
                <w:sz w:val="18"/>
              </w:rPr>
              <w:t>Méthode</w:t>
            </w:r>
          </w:p>
        </w:tc>
        <w:tc>
          <w:tcPr>
            <w:tcW w:type="dxa" w:w="1320"/>
            <w:shd w:val="clear" w:color="auto" w:fill="D9E2F3"/>
          </w:tcPr>
          <w:p>
            <w:pPr>
              <w:spacing w:after="20" w:before="20" w:line="240" w:lineRule="auto"/>
              <w:jc w:val="left"/>
            </w:pPr>
            <w:r/>
            <w:r>
              <w:rPr>
                <w:b/>
                <w:sz w:val="18"/>
              </w:rPr>
              <w:t>Famille</w:t>
            </w:r>
          </w:p>
        </w:tc>
        <w:tc>
          <w:tcPr>
            <w:tcW w:type="dxa" w:w="3132"/>
            <w:shd w:val="clear" w:color="auto" w:fill="D9E2F3"/>
          </w:tcPr>
          <w:p>
            <w:pPr>
              <w:spacing w:after="20" w:before="20" w:line="240" w:lineRule="auto"/>
              <w:jc w:val="left"/>
            </w:pPr>
            <w:r/>
            <w:r>
              <w:rPr>
                <w:b/>
                <w:sz w:val="18"/>
              </w:rPr>
              <w:t>Principe</w:t>
            </w:r>
          </w:p>
        </w:tc>
        <w:tc>
          <w:tcPr>
            <w:tcW w:type="dxa" w:w="1773"/>
            <w:shd w:val="clear" w:color="auto" w:fill="D9E2F3"/>
          </w:tcPr>
          <w:p>
            <w:pPr>
              <w:spacing w:after="20" w:before="20" w:line="240" w:lineRule="auto"/>
              <w:jc w:val="left"/>
            </w:pPr>
            <w:r/>
            <w:r>
              <w:rPr>
                <w:b/>
                <w:sz w:val="18"/>
              </w:rPr>
              <w:t>Forces attendues</w:t>
            </w:r>
          </w:p>
        </w:tc>
        <w:tc>
          <w:tcPr>
            <w:tcW w:type="dxa" w:w="2377"/>
            <w:shd w:val="clear" w:color="auto" w:fill="D9E2F3"/>
          </w:tcPr>
          <w:p>
            <w:pPr>
              <w:spacing w:after="20" w:before="20" w:line="240" w:lineRule="auto"/>
              <w:jc w:val="left"/>
            </w:pPr>
            <w:r/>
            <w:r>
              <w:rPr>
                <w:b/>
                <w:sz w:val="18"/>
              </w:rPr>
              <w:t>Faiblesses attendues</w:t>
            </w:r>
          </w:p>
        </w:tc>
      </w:tr>
      <w:tr>
        <w:trPr>
          <w:cantSplit w:val="true"/>
        </w:trPr>
        <w:tc>
          <w:tcPr>
            <w:tcW w:type="dxa" w:w="786"/>
          </w:tcPr>
          <w:p>
            <w:pPr>
              <w:spacing w:after="20" w:before="20" w:line="240" w:lineRule="auto"/>
              <w:jc w:val="left"/>
            </w:pPr>
            <w:r/>
            <w:r>
              <w:rPr>
                <w:sz w:val="18"/>
              </w:rPr>
              <w:t>Règles métier</w:t>
            </w:r>
          </w:p>
        </w:tc>
        <w:tc>
          <w:tcPr>
            <w:tcW w:type="dxa" w:w="1320"/>
          </w:tcPr>
          <w:p>
            <w:pPr>
              <w:spacing w:after="20" w:before="20" w:line="240" w:lineRule="auto"/>
              <w:jc w:val="left"/>
            </w:pPr>
            <w:r/>
            <w:r>
              <w:rPr>
                <w:sz w:val="18"/>
              </w:rPr>
              <w:t>Système expert</w:t>
            </w:r>
          </w:p>
        </w:tc>
        <w:tc>
          <w:tcPr>
            <w:tcW w:type="dxa" w:w="3132"/>
          </w:tcPr>
          <w:p>
            <w:pPr>
              <w:spacing w:after="20" w:before="20" w:line="240" w:lineRule="auto"/>
              <w:jc w:val="left"/>
            </w:pPr>
            <w:r/>
            <w:r>
              <w:rPr>
                <w:sz w:val="18"/>
              </w:rPr>
              <w:t>Seuils fixes (montant, plafond, liste noire)</w:t>
            </w:r>
          </w:p>
        </w:tc>
        <w:tc>
          <w:tcPr>
            <w:tcW w:type="dxa" w:w="1773"/>
          </w:tcPr>
          <w:p>
            <w:pPr>
              <w:spacing w:after="20" w:before="20" w:line="240" w:lineRule="auto"/>
              <w:jc w:val="left"/>
            </w:pPr>
            <w:r/>
            <w:r>
              <w:rPr>
                <w:sz w:val="18"/>
              </w:rPr>
              <w:t>Simple, transparent, auditable</w:t>
            </w:r>
          </w:p>
        </w:tc>
        <w:tc>
          <w:tcPr>
            <w:tcW w:type="dxa" w:w="2377"/>
          </w:tcPr>
          <w:p>
            <w:pPr>
              <w:spacing w:after="20" w:before="20" w:line="240" w:lineRule="auto"/>
              <w:jc w:val="left"/>
            </w:pPr>
            <w:r/>
            <w:r>
              <w:rPr>
                <w:sz w:val="18"/>
              </w:rPr>
              <w:t>Ignore l'individu, facile à contourner</w:t>
            </w:r>
          </w:p>
        </w:tc>
      </w:tr>
      <w:tr>
        <w:trPr>
          <w:cantSplit w:val="true"/>
        </w:trPr>
        <w:tc>
          <w:tcPr>
            <w:tcW w:type="dxa" w:w="786"/>
          </w:tcPr>
          <w:p>
            <w:pPr>
              <w:spacing w:after="20" w:before="20" w:line="240" w:lineRule="auto"/>
              <w:jc w:val="left"/>
            </w:pPr>
            <w:r/>
            <w:r>
              <w:rPr>
                <w:sz w:val="18"/>
              </w:rPr>
              <w:t>Régression logistique</w:t>
            </w:r>
          </w:p>
        </w:tc>
        <w:tc>
          <w:tcPr>
            <w:tcW w:type="dxa" w:w="1320"/>
          </w:tcPr>
          <w:p>
            <w:pPr>
              <w:spacing w:after="20" w:before="20" w:line="240" w:lineRule="auto"/>
              <w:jc w:val="left"/>
            </w:pPr>
            <w:r/>
            <w:r>
              <w:rPr>
                <w:sz w:val="18"/>
              </w:rPr>
              <w:t>Linéaire supervisée</w:t>
            </w:r>
          </w:p>
        </w:tc>
        <w:tc>
          <w:tcPr>
            <w:tcW w:type="dxa" w:w="3132"/>
          </w:tcPr>
          <w:p>
            <w:pPr>
              <w:spacing w:after="20" w:before="20" w:line="240" w:lineRule="auto"/>
              <w:jc w:val="left"/>
            </w:pPr>
            <w:r/>
            <w:r>
              <w:rPr>
                <w:sz w:val="18"/>
              </w:rPr>
              <w:t>Combinaison linéaire des variables passée dans une sigmoïde</w:t>
            </w:r>
          </w:p>
        </w:tc>
        <w:tc>
          <w:tcPr>
            <w:tcW w:type="dxa" w:w="1773"/>
          </w:tcPr>
          <w:p>
            <w:pPr>
              <w:spacing w:after="20" w:before="20" w:line="240" w:lineRule="auto"/>
              <w:jc w:val="left"/>
            </w:pPr>
            <w:r/>
            <w:r>
              <w:rPr>
                <w:sz w:val="18"/>
              </w:rPr>
              <w:t>Interprétable, rapide</w:t>
            </w:r>
          </w:p>
        </w:tc>
        <w:tc>
          <w:tcPr>
            <w:tcW w:type="dxa" w:w="2377"/>
          </w:tcPr>
          <w:p>
            <w:pPr>
              <w:spacing w:after="20" w:before="20" w:line="240" w:lineRule="auto"/>
              <w:jc w:val="left"/>
            </w:pPr>
            <w:r/>
            <w:r>
              <w:rPr>
                <w:sz w:val="18"/>
              </w:rPr>
              <w:t>Ne capte pas les interactions non linéaires</w:t>
            </w:r>
          </w:p>
        </w:tc>
      </w:tr>
      <w:tr>
        <w:trPr>
          <w:cantSplit w:val="true"/>
        </w:trPr>
        <w:tc>
          <w:tcPr>
            <w:tcW w:type="dxa" w:w="786"/>
          </w:tcPr>
          <w:p>
            <w:pPr>
              <w:spacing w:after="20" w:before="20" w:line="240" w:lineRule="auto"/>
              <w:jc w:val="left"/>
            </w:pPr>
            <w:r/>
            <w:r>
              <w:rPr>
                <w:sz w:val="18"/>
              </w:rPr>
              <w:t>Random Forest</w:t>
            </w:r>
          </w:p>
        </w:tc>
        <w:tc>
          <w:tcPr>
            <w:tcW w:type="dxa" w:w="1320"/>
          </w:tcPr>
          <w:p>
            <w:pPr>
              <w:spacing w:after="20" w:before="20" w:line="240" w:lineRule="auto"/>
              <w:jc w:val="left"/>
            </w:pPr>
            <w:r/>
            <w:r>
              <w:rPr>
                <w:sz w:val="18"/>
              </w:rPr>
              <w:t>Ensemble d'arbres (</w:t>
            </w:r>
            <w:r>
              <w:rPr>
                <w:i/>
                <w:sz w:val="18"/>
              </w:rPr>
              <w:t>bagging</w:t>
            </w:r>
            <w:r>
              <w:rPr>
                <w:sz w:val="18"/>
              </w:rPr>
              <w:t>)</w:t>
            </w:r>
          </w:p>
        </w:tc>
        <w:tc>
          <w:tcPr>
            <w:tcW w:type="dxa" w:w="3132"/>
          </w:tcPr>
          <w:p>
            <w:pPr>
              <w:spacing w:after="20" w:before="20" w:line="240" w:lineRule="auto"/>
              <w:jc w:val="left"/>
            </w:pPr>
            <w:r/>
            <w:r>
              <w:rPr>
                <w:sz w:val="18"/>
              </w:rPr>
              <w:t>Moyenne de nombreux arbres appris sur des échantillons différents</w:t>
            </w:r>
          </w:p>
        </w:tc>
        <w:tc>
          <w:tcPr>
            <w:tcW w:type="dxa" w:w="1773"/>
          </w:tcPr>
          <w:p>
            <w:pPr>
              <w:spacing w:after="20" w:before="20" w:line="240" w:lineRule="auto"/>
              <w:jc w:val="left"/>
            </w:pPr>
            <w:r/>
            <w:r>
              <w:rPr>
                <w:sz w:val="18"/>
              </w:rPr>
              <w:t>Robuste, peu de réglages</w:t>
            </w:r>
          </w:p>
        </w:tc>
        <w:tc>
          <w:tcPr>
            <w:tcW w:type="dxa" w:w="2377"/>
          </w:tcPr>
          <w:p>
            <w:pPr>
              <w:spacing w:after="20" w:before="20" w:line="240" w:lineRule="auto"/>
              <w:jc w:val="left"/>
            </w:pPr>
            <w:r/>
            <w:r>
              <w:rPr>
                <w:sz w:val="18"/>
              </w:rPr>
              <w:t xml:space="preserve">Moins précis que le </w:t>
            </w:r>
            <w:r>
              <w:rPr>
                <w:i/>
                <w:sz w:val="18"/>
              </w:rPr>
              <w:t>boosting</w:t>
            </w:r>
            <w:r>
              <w:rPr>
                <w:sz w:val="18"/>
              </w:rPr>
              <w:t>, explication plus lourde</w:t>
            </w:r>
          </w:p>
        </w:tc>
      </w:tr>
      <w:tr>
        <w:trPr>
          <w:cantSplit w:val="true"/>
        </w:trPr>
        <w:tc>
          <w:tcPr>
            <w:tcW w:type="dxa" w:w="786"/>
          </w:tcPr>
          <w:p>
            <w:pPr>
              <w:spacing w:after="20" w:before="20" w:line="240" w:lineRule="auto"/>
              <w:jc w:val="left"/>
            </w:pPr>
            <w:r/>
            <w:r>
              <w:rPr>
                <w:sz w:val="18"/>
              </w:rPr>
              <w:t>XGBoost</w:t>
            </w:r>
          </w:p>
        </w:tc>
        <w:tc>
          <w:tcPr>
            <w:tcW w:type="dxa" w:w="1320"/>
          </w:tcPr>
          <w:p>
            <w:pPr>
              <w:spacing w:after="20" w:before="20" w:line="240" w:lineRule="auto"/>
              <w:jc w:val="left"/>
            </w:pPr>
            <w:r/>
            <w:r>
              <w:rPr>
                <w:sz w:val="18"/>
              </w:rPr>
              <w:t>Ensemble d'arbres (</w:t>
            </w:r>
            <w:r>
              <w:rPr>
                <w:i/>
                <w:sz w:val="18"/>
              </w:rPr>
              <w:t>boosting</w:t>
            </w:r>
            <w:r>
              <w:rPr>
                <w:sz w:val="18"/>
              </w:rPr>
              <w:t>)</w:t>
            </w:r>
          </w:p>
        </w:tc>
        <w:tc>
          <w:tcPr>
            <w:tcW w:type="dxa" w:w="3132"/>
          </w:tcPr>
          <w:p>
            <w:pPr>
              <w:spacing w:after="20" w:before="20" w:line="240" w:lineRule="auto"/>
              <w:jc w:val="left"/>
            </w:pPr>
            <w:r/>
            <w:r>
              <w:rPr>
                <w:sz w:val="18"/>
              </w:rPr>
              <w:t>Arbres ajoutés successivement pour corriger les erreurs des précédents</w:t>
            </w:r>
          </w:p>
        </w:tc>
        <w:tc>
          <w:tcPr>
            <w:tcW w:type="dxa" w:w="1773"/>
          </w:tcPr>
          <w:p>
            <w:pPr>
              <w:spacing w:after="20" w:before="20" w:line="240" w:lineRule="auto"/>
              <w:jc w:val="left"/>
            </w:pPr>
            <w:r/>
            <w:r>
              <w:rPr>
                <w:sz w:val="18"/>
              </w:rPr>
              <w:t>État de l'art sur données tabulaires ; TreeSHAP exact</w:t>
            </w:r>
          </w:p>
        </w:tc>
        <w:tc>
          <w:tcPr>
            <w:tcW w:type="dxa" w:w="2377"/>
          </w:tcPr>
          <w:p>
            <w:pPr>
              <w:spacing w:after="20" w:before="20" w:line="240" w:lineRule="auto"/>
              <w:jc w:val="left"/>
            </w:pPr>
            <w:r/>
            <w:r>
              <w:rPr>
                <w:sz w:val="18"/>
              </w:rPr>
              <w:t>Ne voit que l'opération courante, pas la séquence</w:t>
            </w:r>
          </w:p>
        </w:tc>
      </w:tr>
      <w:tr>
        <w:trPr>
          <w:cantSplit w:val="true"/>
        </w:trPr>
        <w:tc>
          <w:tcPr>
            <w:tcW w:type="dxa" w:w="786"/>
          </w:tcPr>
          <w:p>
            <w:pPr>
              <w:spacing w:after="20" w:before="20" w:line="240" w:lineRule="auto"/>
              <w:jc w:val="left"/>
            </w:pPr>
            <w:r/>
            <w:r>
              <w:rPr>
                <w:sz w:val="18"/>
              </w:rPr>
              <w:t>Isolation Forest</w:t>
            </w:r>
          </w:p>
        </w:tc>
        <w:tc>
          <w:tcPr>
            <w:tcW w:type="dxa" w:w="1320"/>
          </w:tcPr>
          <w:p>
            <w:pPr>
              <w:spacing w:after="20" w:before="20" w:line="240" w:lineRule="auto"/>
              <w:jc w:val="left"/>
            </w:pPr>
            <w:r/>
            <w:r>
              <w:rPr>
                <w:sz w:val="18"/>
              </w:rPr>
              <w:t>Détection d'anomalies non supervisée</w:t>
            </w:r>
          </w:p>
        </w:tc>
        <w:tc>
          <w:tcPr>
            <w:tcW w:type="dxa" w:w="3132"/>
          </w:tcPr>
          <w:p>
            <w:pPr>
              <w:spacing w:after="20" w:before="20" w:line="240" w:lineRule="auto"/>
              <w:jc w:val="left"/>
            </w:pPr>
            <w:r/>
            <w:r>
              <w:rPr>
                <w:sz w:val="18"/>
              </w:rPr>
              <w:t>Isole les points rares par partitions aléatoires</w:t>
            </w:r>
          </w:p>
        </w:tc>
        <w:tc>
          <w:tcPr>
            <w:tcW w:type="dxa" w:w="1773"/>
          </w:tcPr>
          <w:p>
            <w:pPr>
              <w:spacing w:after="20" w:before="20" w:line="240" w:lineRule="auto"/>
              <w:jc w:val="left"/>
            </w:pPr>
            <w:r/>
            <w:r>
              <w:rPr>
                <w:sz w:val="18"/>
              </w:rPr>
              <w:t>Sans étiquette, détecte l'inédit</w:t>
            </w:r>
          </w:p>
        </w:tc>
        <w:tc>
          <w:tcPr>
            <w:tcW w:type="dxa" w:w="2377"/>
          </w:tcPr>
          <w:p>
            <w:pPr>
              <w:spacing w:after="20" w:before="20" w:line="240" w:lineRule="auto"/>
              <w:jc w:val="left"/>
            </w:pPr>
            <w:r/>
            <w:r>
              <w:rPr>
                <w:sz w:val="18"/>
              </w:rPr>
              <w:t>Une anomalie n'est pas toujours une fraude</w:t>
            </w:r>
          </w:p>
        </w:tc>
      </w:tr>
      <w:tr>
        <w:trPr>
          <w:cantSplit w:val="true"/>
        </w:trPr>
        <w:tc>
          <w:tcPr>
            <w:tcW w:type="dxa" w:w="786"/>
          </w:tcPr>
          <w:p>
            <w:pPr>
              <w:spacing w:after="20" w:before="20" w:line="240" w:lineRule="auto"/>
              <w:jc w:val="left"/>
            </w:pPr>
            <w:r/>
            <w:r>
              <w:rPr>
                <w:sz w:val="18"/>
              </w:rPr>
              <w:t>Autoencodeur</w:t>
            </w:r>
          </w:p>
        </w:tc>
        <w:tc>
          <w:tcPr>
            <w:tcW w:type="dxa" w:w="1320"/>
          </w:tcPr>
          <w:p>
            <w:pPr>
              <w:spacing w:after="20" w:before="20" w:line="240" w:lineRule="auto"/>
              <w:jc w:val="left"/>
            </w:pPr>
            <w:r/>
            <w:r>
              <w:rPr>
                <w:sz w:val="18"/>
              </w:rPr>
              <w:t>Réseau de neurones non supervisé</w:t>
            </w:r>
          </w:p>
        </w:tc>
        <w:tc>
          <w:tcPr>
            <w:tcW w:type="dxa" w:w="3132"/>
          </w:tcPr>
          <w:p>
            <w:pPr>
              <w:spacing w:after="20" w:before="20" w:line="240" w:lineRule="auto"/>
              <w:jc w:val="left"/>
            </w:pPr>
            <w:r/>
            <w:r>
              <w:rPr>
                <w:sz w:val="18"/>
              </w:rPr>
              <w:t>Apprend à reconstruire les opérations légitimes ; l'erreur de reconstruction mesure l'anomalie</w:t>
            </w:r>
          </w:p>
        </w:tc>
        <w:tc>
          <w:tcPr>
            <w:tcW w:type="dxa" w:w="1773"/>
          </w:tcPr>
          <w:p>
            <w:pPr>
              <w:spacing w:after="20" w:before="20" w:line="240" w:lineRule="auto"/>
              <w:jc w:val="left"/>
            </w:pPr>
            <w:r/>
            <w:r>
              <w:rPr>
                <w:sz w:val="18"/>
              </w:rPr>
              <w:t>Sans étiquette de fraude, détecte l'inédit</w:t>
            </w:r>
          </w:p>
        </w:tc>
        <w:tc>
          <w:tcPr>
            <w:tcW w:type="dxa" w:w="2377"/>
          </w:tcPr>
          <w:p>
            <w:pPr>
              <w:spacing w:after="20" w:before="20" w:line="240" w:lineRule="auto"/>
              <w:jc w:val="left"/>
            </w:pPr>
            <w:r/>
            <w:r>
              <w:rPr>
                <w:sz w:val="18"/>
              </w:rPr>
              <w:t>Aveugle aux fraudes qui imitent le comportement normal</w:t>
            </w:r>
          </w:p>
        </w:tc>
      </w:tr>
      <w:tr>
        <w:trPr>
          <w:cantSplit w:val="true"/>
        </w:trPr>
        <w:tc>
          <w:tcPr>
            <w:tcW w:type="dxa" w:w="786"/>
          </w:tcPr>
          <w:p>
            <w:pPr>
              <w:spacing w:after="20" w:before="20" w:line="240" w:lineRule="auto"/>
              <w:jc w:val="left"/>
            </w:pPr>
            <w:r/>
            <w:r>
              <w:rPr>
                <w:sz w:val="18"/>
              </w:rPr>
              <w:t>LSTM avec attention</w:t>
            </w:r>
          </w:p>
        </w:tc>
        <w:tc>
          <w:tcPr>
            <w:tcW w:type="dxa" w:w="1320"/>
          </w:tcPr>
          <w:p>
            <w:pPr>
              <w:spacing w:after="20" w:before="20" w:line="240" w:lineRule="auto"/>
              <w:jc w:val="left"/>
            </w:pPr>
            <w:r/>
            <w:r>
              <w:rPr>
                <w:sz w:val="18"/>
              </w:rPr>
              <w:t>Réseau récurrent supervisé</w:t>
            </w:r>
          </w:p>
        </w:tc>
        <w:tc>
          <w:tcPr>
            <w:tcW w:type="dxa" w:w="3132"/>
          </w:tcPr>
          <w:p>
            <w:pPr>
              <w:spacing w:after="20" w:before="20" w:line="240" w:lineRule="auto"/>
              <w:jc w:val="left"/>
            </w:pPr>
            <w:r/>
            <w:r>
              <w:rPr>
                <w:sz w:val="18"/>
              </w:rPr>
              <w:t>Lit la séquence des 10 dernières opérations</w:t>
            </w:r>
          </w:p>
        </w:tc>
        <w:tc>
          <w:tcPr>
            <w:tcW w:type="dxa" w:w="1773"/>
          </w:tcPr>
          <w:p>
            <w:pPr>
              <w:spacing w:after="20" w:before="20" w:line="240" w:lineRule="auto"/>
              <w:jc w:val="left"/>
            </w:pPr>
            <w:r/>
            <w:r>
              <w:rPr>
                <w:sz w:val="18"/>
              </w:rPr>
              <w:t>Capte la dynamique (escalade, salves)</w:t>
            </w:r>
          </w:p>
        </w:tc>
        <w:tc>
          <w:tcPr>
            <w:tcW w:type="dxa" w:w="2377"/>
          </w:tcPr>
          <w:p>
            <w:pPr>
              <w:spacing w:after="20" w:before="20" w:line="240" w:lineRule="auto"/>
              <w:jc w:val="left"/>
            </w:pPr>
            <w:r/>
            <w:r>
              <w:rPr>
                <w:sz w:val="18"/>
              </w:rPr>
              <w:t>Plus coûteux, explication moins directe</w:t>
            </w:r>
          </w:p>
        </w:tc>
      </w:tr>
      <w:tr>
        <w:trPr>
          <w:cantSplit w:val="true"/>
        </w:trPr>
        <w:tc>
          <w:tcPr>
            <w:tcW w:type="dxa" w:w="786"/>
          </w:tcPr>
          <w:p>
            <w:pPr>
              <w:spacing w:after="20" w:before="20" w:line="240" w:lineRule="auto"/>
              <w:jc w:val="left"/>
            </w:pPr>
            <w:r/>
            <w:r>
              <w:rPr>
                <w:b/>
                <w:sz w:val="18"/>
              </w:rPr>
              <w:t>Hybride (proposé)</w:t>
            </w:r>
          </w:p>
        </w:tc>
        <w:tc>
          <w:tcPr>
            <w:tcW w:type="dxa" w:w="1320"/>
          </w:tcPr>
          <w:p>
            <w:pPr>
              <w:spacing w:after="20" w:before="20" w:line="240" w:lineRule="auto"/>
              <w:jc w:val="left"/>
            </w:pPr>
            <w:r/>
            <w:r>
              <w:rPr>
                <w:sz w:val="18"/>
              </w:rPr>
              <w:t>Empilement (</w:t>
            </w:r>
            <w:r>
              <w:rPr>
                <w:i/>
                <w:sz w:val="18"/>
              </w:rPr>
              <w:t>stacking</w:t>
            </w:r>
            <w:r>
              <w:rPr>
                <w:sz w:val="18"/>
              </w:rPr>
              <w:t>)</w:t>
            </w:r>
          </w:p>
        </w:tc>
        <w:tc>
          <w:tcPr>
            <w:tcW w:type="dxa" w:w="3132"/>
          </w:tcPr>
          <w:p>
            <w:pPr>
              <w:spacing w:after="20" w:before="20" w:line="240" w:lineRule="auto"/>
              <w:jc w:val="left"/>
            </w:pPr>
            <w:r/>
            <w:r>
              <w:rPr>
                <w:sz w:val="18"/>
              </w:rPr>
              <w:t>Combine XGBoost, LSTM et autoencodeur par une régression logistique</w:t>
            </w:r>
          </w:p>
        </w:tc>
        <w:tc>
          <w:tcPr>
            <w:tcW w:type="dxa" w:w="1773"/>
          </w:tcPr>
          <w:p>
            <w:pPr>
              <w:spacing w:after="20" w:before="20" w:line="240" w:lineRule="auto"/>
              <w:jc w:val="left"/>
            </w:pPr>
            <w:r/>
            <w:r>
              <w:rPr>
                <w:sz w:val="18"/>
              </w:rPr>
              <w:t>Cumule les forces des trois</w:t>
            </w:r>
          </w:p>
        </w:tc>
        <w:tc>
          <w:tcPr>
            <w:tcW w:type="dxa" w:w="2377"/>
          </w:tcPr>
          <w:p>
            <w:pPr>
              <w:spacing w:after="20" w:before="20" w:line="240" w:lineRule="auto"/>
              <w:jc w:val="left"/>
            </w:pPr>
            <w:r/>
            <w:r>
              <w:rPr>
                <w:sz w:val="18"/>
              </w:rPr>
              <w:t>Plus complexe à entraîner et à maintenir</w:t>
            </w:r>
          </w:p>
        </w:tc>
      </w:tr>
    </w:tbl>
    <w:p>
      <w:pPr>
        <w:spacing w:after="120"/>
      </w:pPr>
    </w:p>
    <w:p>
      <w:pPr>
        <w:spacing w:before="0" w:after="120" w:line="360" w:lineRule="auto"/>
        <w:jc w:val="both"/>
      </w:pPr>
      <w:r>
        <w:rPr>
          <w:sz w:val="24"/>
        </w:rPr>
        <w:t>Toutes les méthodes reçoivent les mêmes données, les mêmes 58 variables et sont évaluées sur le même jeu de test. Un second étage, un classifieur de typologie, identifie le type de fraude des opérations signalées.</w:t>
      </w:r>
    </w:p>
    <w:p>
      <w:pPr>
        <w:pStyle w:val="Titre4"/>
        <w:keepNext/>
        <w:numPr>
          <w:numId w:val="0"/>
        </w:numPr>
        <w:spacing w:before="200" w:after="120"/>
        <w:ind w:left="0" w:firstLine="0"/>
        <w:jc w:val="left"/>
      </w:pPr>
      <w:r>
        <w:rPr>
          <w:b/>
          <w:i/>
          <w:color w:val="000000"/>
          <w:sz w:val="25"/>
        </w:rPr>
        <w:t>1.2 Fonctionnement formel des modèles</w:t>
      </w:r>
    </w:p>
    <w:p>
      <w:pPr>
        <w:spacing w:before="0" w:after="120" w:line="360" w:lineRule="auto"/>
        <w:jc w:val="both"/>
      </w:pPr>
      <w:r>
        <w:rPr>
          <w:b/>
          <w:sz w:val="24"/>
        </w:rPr>
        <w:t>Règles métier.</w:t>
      </w:r>
      <w:r>
        <w:rPr>
          <w:sz w:val="24"/>
        </w:rPr>
        <w:t xml:space="preserve"> Un score additif compte les conditions remplies parmi six : montant supérieur à cinq fois l'habitude, nouvel appareil, opération de nuit, vidage du solde, adresse IP étrangère, rafale de quatre opérations ou plus en une heure. Elles reproduisent la pratique actuelle du secteur et servent de référence.</w:t>
      </w:r>
    </w:p>
    <w:p>
      <w:pPr>
        <w:spacing w:before="0" w:after="120" w:line="360" w:lineRule="auto"/>
        <w:jc w:val="both"/>
      </w:pPr>
      <w:r>
        <w:rPr>
          <w:b/>
          <w:sz w:val="24"/>
        </w:rPr>
        <w:t>Régression logistique.</w:t>
      </w:r>
      <w:r>
        <w:rPr>
          <w:sz w:val="24"/>
        </w:rPr>
        <w:t xml:space="preserve"> Une somme pondérée des variables est transformée en probabilité par la </w:t>
      </w:r>
      <w:r>
        <w:rPr>
          <w:b/>
          <w:sz w:val="24"/>
        </w:rPr>
        <w:t>fonction sigmoïde</w:t>
      </w:r>
      <w:r>
        <w:rPr>
          <w:sz w:val="24"/>
        </w:rPr>
        <w:t xml:space="preserve"> </w:t>
      </w:r>
      <m:oMath>
        <m:r>
          <m:t>σ</m:t>
        </m:r>
      </m:oMath>
      <w:r>
        <w:rPr>
          <w:sz w:val="24"/>
        </w:rPr>
        <w:t xml:space="preserve"> :</w:t>
      </w:r>
    </w:p>
    <w:p>
      <w:pPr>
        <w:spacing w:before="120" w:after="160"/>
        <w:jc w:val="center"/>
      </w:pPr>
      <m:oMath>
        <m:r>
          <m:t>p=σ(</m:t>
        </m:r>
        <m:sSub>
          <m:e>
            <m:r>
              <m:t>w</m:t>
            </m:r>
          </m:e>
          <m:sub>
            <m:r>
              <m:t>0</m:t>
            </m:r>
          </m:sub>
        </m:sSub>
        <m:r>
          <m:t>+</m:t>
        </m:r>
        <m:sSub>
          <m:e>
            <m:r>
              <m:t>w</m:t>
            </m:r>
          </m:e>
          <m:sub>
            <m:r>
              <m:t>1</m:t>
            </m:r>
          </m:sub>
        </m:sSub>
        <m:sSub>
          <m:e>
            <m:limUpp>
              <m:e>
                <m:r>
                  <m:t>x</m:t>
                </m:r>
              </m:e>
              <m:lim>
                <m:r>
                  <m:t>~</m:t>
                </m:r>
              </m:lim>
            </m:limUpp>
          </m:e>
          <m:sub>
            <m:r>
              <m:t>1</m:t>
            </m:r>
          </m:sub>
        </m:sSub>
        <m:r>
          <m:t>+…+</m:t>
        </m:r>
        <m:sSub>
          <m:e>
            <m:r>
              <m:t>w</m:t>
            </m:r>
          </m:e>
          <m:sub>
            <m:r>
              <m:t>58</m:t>
            </m:r>
          </m:sub>
        </m:sSub>
        <m:sSub>
          <m:e>
            <m:limUpp>
              <m:e>
                <m:r>
                  <m:t>x</m:t>
                </m:r>
              </m:e>
              <m:lim>
                <m:r>
                  <m:t>~</m:t>
                </m:r>
              </m:lim>
            </m:limUpp>
          </m:e>
          <m:sub>
            <m:r>
              <m:t>58</m:t>
            </m:r>
          </m:sub>
        </m:sSub>
        <m:r>
          <m:t>),</m:t>
        </m:r>
        <m:r>
          <m:t>σ(z)=</m:t>
        </m:r>
        <m:f>
          <m:fPr>
            <m:type m:val="bar"/>
          </m:fPr>
          <m:num>
            <m:r>
              <m:t>1</m:t>
            </m:r>
          </m:num>
          <m:den>
            <m:r>
              <m:t>1+</m:t>
            </m:r>
            <m:sSup>
              <m:e>
                <m:r>
                  <m:t>e</m:t>
                </m:r>
              </m:e>
              <m:sup>
                <m:r>
                  <m:t>−z</m:t>
                </m:r>
              </m:sup>
            </m:sSup>
          </m:den>
        </m:f>
      </m:oMath>
    </w:p>
    <w:p>
      <w:pPr>
        <w:spacing w:before="0" w:after="120" w:line="360" w:lineRule="auto"/>
        <w:jc w:val="both"/>
      </w:pPr>
      <w:r>
        <w:rPr>
          <w:sz w:val="24"/>
        </w:rPr>
        <w:t xml:space="preserve">Chaque poids </w:t>
      </w:r>
      <m:oMath>
        <m:sSub>
          <m:e>
            <m:r>
              <m:t>w</m:t>
            </m:r>
          </m:e>
          <m:sub>
            <m:r>
              <m:t>j</m:t>
            </m:r>
          </m:sub>
        </m:sSub>
      </m:oMath>
      <w:r>
        <w:rPr>
          <w:sz w:val="24"/>
        </w:rPr>
        <w:t xml:space="preserve"> mesure l'effet de la variable </w:t>
      </w:r>
      <m:oMath>
        <m:r>
          <m:t>j</m:t>
        </m:r>
      </m:oMath>
      <w:r>
        <w:rPr>
          <w:sz w:val="24"/>
        </w:rPr>
        <w:t xml:space="preserve">, ce qui la rend très interprétable ; mais le modèle est linéaire et ne capte pas les interactions (« nouvel appareil </w:t>
      </w:r>
      <w:r>
        <w:rPr>
          <w:b/>
          <w:sz w:val="24"/>
        </w:rPr>
        <w:t>et</w:t>
      </w:r>
      <w:r>
        <w:rPr>
          <w:sz w:val="24"/>
        </w:rPr>
        <w:t xml:space="preserve"> vidage »).</w:t>
      </w:r>
    </w:p>
    <w:p>
      <w:pPr>
        <w:spacing w:before="0" w:after="120" w:line="360" w:lineRule="auto"/>
        <w:jc w:val="both"/>
      </w:pPr>
      <w:r>
        <w:rPr>
          <w:b/>
          <w:sz w:val="24"/>
        </w:rPr>
        <w:t>Arbre, Random Forest et XGBoost.</w:t>
      </w:r>
      <w:r>
        <w:rPr>
          <w:sz w:val="24"/>
        </w:rPr>
        <w:t xml:space="preserve"> Un arbre de décision est une suite de questions oui / non sur les variables, qui aboutit à une feuille portant une prédiction. La </w:t>
      </w:r>
      <w:r>
        <w:rPr>
          <w:b/>
          <w:sz w:val="24"/>
        </w:rPr>
        <w:t>Random Forest</w:t>
      </w:r>
      <w:r>
        <w:rPr>
          <w:sz w:val="24"/>
        </w:rPr>
        <w:t xml:space="preserve"> (Breiman, 2001) moyenne des centaines d'arbres appris indépendamment sur des échantillons tirés au hasard (</w:t>
      </w:r>
      <w:r>
        <w:rPr>
          <w:i/>
          <w:sz w:val="24"/>
        </w:rPr>
        <w:t>bagging</w:t>
      </w:r>
      <w:r>
        <w:rPr>
          <w:sz w:val="24"/>
        </w:rPr>
        <w:t xml:space="preserve">). </w:t>
      </w:r>
      <w:r>
        <w:rPr>
          <w:b/>
          <w:sz w:val="24"/>
        </w:rPr>
        <w:t>XGBoost</w:t>
      </w:r>
      <w:r>
        <w:rPr>
          <w:sz w:val="24"/>
        </w:rPr>
        <w:t xml:space="preserve"> (Chen et Guestrin, 2016) ajoute les arbres un par un, chacun corrigeant les erreurs des précédents (</w:t>
      </w:r>
      <w:r>
        <w:rPr>
          <w:i/>
          <w:sz w:val="24"/>
        </w:rPr>
        <w:t>gradient boosting</w:t>
      </w:r>
      <w:r>
        <w:rPr>
          <w:sz w:val="24"/>
        </w:rPr>
        <w:t xml:space="preserve">). Il construit un modèle additif de </w:t>
      </w:r>
      <m:oMath>
        <m:r>
          <m:t>K</m:t>
        </m:r>
      </m:oMath>
      <w:r>
        <w:rPr>
          <w:sz w:val="24"/>
        </w:rPr>
        <w:t xml:space="preserve"> arbres, </w:t>
      </w:r>
      <m:oMath>
        <m:r>
          <m:t>F(</m:t>
        </m:r>
        <m:limUpp>
          <m:e>
            <m:r>
              <m:t>x</m:t>
            </m:r>
          </m:e>
          <m:lim>
            <m:r>
              <m:t>~</m:t>
            </m:r>
          </m:lim>
        </m:limUpp>
        <m:r>
          <m:t>)=</m:t>
        </m:r>
        <m:nary>
          <m:naryPr>
            <m:chr m:val="∑"/>
            <m:limLoc m:val="subSup"/>
            <m:grow m:val="1"/>
            <m:subHide m:val="off"/>
            <m:supHide m:val="off"/>
          </m:naryPr>
          <m:sub>
            <m:r>
              <m:t>k=1</m:t>
            </m:r>
          </m:sub>
          <m:sup>
            <m:r>
              <m:t>K</m:t>
            </m:r>
          </m:sup>
          <m:e>
            <m:sSub>
              <m:e>
                <m:r>
                  <m:t>f</m:t>
                </m:r>
              </m:e>
              <m:sub>
                <m:r>
                  <m:t>k</m:t>
                </m:r>
              </m:sub>
            </m:sSub>
          </m:e>
        </m:nary>
        <m:r>
          <m:t>(</m:t>
        </m:r>
        <m:limUpp>
          <m:e>
            <m:r>
              <m:t>x</m:t>
            </m:r>
          </m:e>
          <m:lim>
            <m:r>
              <m:t>~</m:t>
            </m:r>
          </m:lim>
        </m:limUpp>
        <m:r>
          <m:t>)</m:t>
        </m:r>
      </m:oMath>
      <w:r>
        <w:rPr>
          <w:sz w:val="24"/>
        </w:rPr>
        <w:t>, en minimisant une perte logistique pondérée et régularisée :</w:t>
      </w:r>
    </w:p>
    <w:p>
      <w:pPr>
        <w:spacing w:before="120" w:after="160"/>
        <w:jc w:val="center"/>
      </w:pPr>
      <m:oMath>
        <m:r>
          <m:t>ℒ=</m:t>
        </m:r>
        <m:nary>
          <m:naryPr>
            <m:chr m:val="∑"/>
            <m:limLoc m:val="subSup"/>
            <m:grow m:val="1"/>
            <m:subHide m:val="off"/>
            <m:supHide m:val="on"/>
          </m:naryPr>
          <m:sub>
            <m:r>
              <m:t>i</m:t>
            </m:r>
          </m:sub>
          <m:sup/>
          <m:e>
            <m:sSub>
              <m:e>
                <m:r>
                  <m:t>w</m:t>
                </m:r>
              </m:e>
              <m:sub>
                <m:r>
                  <m:t>i</m:t>
                </m:r>
              </m:sub>
            </m:sSub>
          </m:e>
        </m:nary>
        <m:r>
          <m:t>[−</m:t>
        </m:r>
        <m:sSub>
          <m:e>
            <m:r>
              <m:t>y</m:t>
            </m:r>
          </m:e>
          <m:sub>
            <m:r>
              <m:t>i</m:t>
            </m:r>
          </m:sub>
        </m:sSub>
        <m:r>
          <m:rPr>
            <m:sty m:val="p"/>
          </m:rPr>
          <m:t>ln</m:t>
        </m:r>
        <m:r>
          <m:t>σ(</m:t>
        </m:r>
        <m:sSub>
          <m:e>
            <m:r>
              <m:t>F</m:t>
            </m:r>
          </m:e>
          <m:sub>
            <m:r>
              <m:t>i</m:t>
            </m:r>
          </m:sub>
        </m:sSub>
        <m:r>
          <m:t>)−(1−</m:t>
        </m:r>
        <m:sSub>
          <m:e>
            <m:r>
              <m:t>y</m:t>
            </m:r>
          </m:e>
          <m:sub>
            <m:r>
              <m:t>i</m:t>
            </m:r>
          </m:sub>
        </m:sSub>
        <m:r>
          <m:t>)</m:t>
        </m:r>
        <m:r>
          <m:rPr>
            <m:sty m:val="p"/>
          </m:rPr>
          <m:t>ln</m:t>
        </m:r>
        <m:r>
          <m:t>(1−σ(</m:t>
        </m:r>
        <m:sSub>
          <m:e>
            <m:r>
              <m:t>F</m:t>
            </m:r>
          </m:e>
          <m:sub>
            <m:r>
              <m:t>i</m:t>
            </m:r>
          </m:sub>
        </m:sSub>
        <m:r>
          <m:t>))]+</m:t>
        </m:r>
        <m:nary>
          <m:naryPr>
            <m:chr m:val="∑"/>
            <m:limLoc m:val="subSup"/>
            <m:grow m:val="1"/>
            <m:subHide m:val="off"/>
            <m:supHide m:val="on"/>
          </m:naryPr>
          <m:sub>
            <m:r>
              <m:t>k</m:t>
            </m:r>
          </m:sub>
          <m:sup/>
          <m:e>
            <m:r>
              <m:t>Ω(</m:t>
            </m:r>
          </m:e>
        </m:nary>
        <m:sSub>
          <m:e>
            <m:r>
              <m:t>f</m:t>
            </m:r>
          </m:e>
          <m:sub>
            <m:r>
              <m:t>k</m:t>
            </m:r>
          </m:sub>
        </m:sSub>
        <m:r>
          <m:t>),</m:t>
        </m:r>
        <m:r>
          <m:t>Ω(f)=γT+</m:t>
        </m:r>
        <m:f>
          <m:fPr>
            <m:type m:val="bar"/>
          </m:fPr>
          <m:num>
            <m:r>
              <m:t>1</m:t>
            </m:r>
          </m:num>
          <m:den>
            <m:r>
              <m:t>2</m:t>
            </m:r>
          </m:den>
        </m:f>
        <m:r>
          <m:t>λ‖w</m:t>
        </m:r>
        <m:sSup>
          <m:e>
            <m:r>
              <m:t>‖</m:t>
            </m:r>
          </m:e>
          <m:sup>
            <m:r>
              <m:t>2</m:t>
            </m:r>
          </m:sup>
        </m:sSup>
      </m:oMath>
    </w:p>
    <w:p>
      <w:pPr>
        <w:spacing w:before="0" w:after="120" w:line="360" w:lineRule="auto"/>
        <w:jc w:val="both"/>
      </w:pPr>
      <w:r>
        <w:rPr>
          <w:sz w:val="24"/>
        </w:rPr>
        <w:t>Le crochet est l'</w:t>
      </w:r>
      <w:r>
        <w:rPr>
          <w:b/>
          <w:sz w:val="24"/>
        </w:rPr>
        <w:t>entropie croisée</w:t>
      </w:r>
      <w:r>
        <w:rPr>
          <w:sz w:val="24"/>
        </w:rPr>
        <w:t xml:space="preserve">, qui punit fortement une probabilité confiante mais fausse ; </w:t>
      </w:r>
      <m:oMath>
        <m:sSub>
          <m:e>
            <m:r>
              <m:t>w</m:t>
            </m:r>
          </m:e>
          <m:sub>
            <m:r>
              <m:t>i</m:t>
            </m:r>
          </m:sub>
        </m:sSub>
      </m:oMath>
      <w:r>
        <w:rPr>
          <w:sz w:val="24"/>
        </w:rPr>
        <w:t xml:space="preserve"> est le poids de l'exemple (environ 74 pour une fraude) ; </w:t>
      </w:r>
      <m:oMath>
        <m:r>
          <m:t>Ω</m:t>
        </m:r>
      </m:oMath>
      <w:r>
        <w:rPr>
          <w:sz w:val="24"/>
        </w:rPr>
        <w:t xml:space="preserve"> est la </w:t>
      </w:r>
      <w:r>
        <w:rPr>
          <w:b/>
          <w:sz w:val="24"/>
        </w:rPr>
        <w:t>régularisation</w:t>
      </w:r>
      <w:r>
        <w:rPr>
          <w:sz w:val="24"/>
        </w:rPr>
        <w:t xml:space="preserve">, qui pénalise le nombre de feuilles </w:t>
      </w:r>
      <m:oMath>
        <m:r>
          <m:t>T</m:t>
        </m:r>
      </m:oMath>
      <w:r>
        <w:rPr>
          <w:sz w:val="24"/>
        </w:rPr>
        <w:t xml:space="preserve"> (par </w:t>
      </w:r>
      <m:oMath>
        <m:r>
          <m:t>γ</m:t>
        </m:r>
      </m:oMath>
      <w:r>
        <w:rPr>
          <w:sz w:val="24"/>
        </w:rPr>
        <w:t xml:space="preserve">) et la taille de leurs valeurs (par </w:t>
      </w:r>
      <m:oMath>
        <m:r>
          <m:t>λ</m:t>
        </m:r>
      </m:oMath>
      <w:r>
        <w:rPr>
          <w:sz w:val="24"/>
        </w:rPr>
        <w:t>) pour empêcher des arbres trop complexes.</w:t>
      </w:r>
    </w:p>
    <w:p>
      <w:pPr>
        <w:spacing w:before="0" w:after="120" w:line="360" w:lineRule="auto"/>
        <w:jc w:val="both"/>
      </w:pPr>
      <w:r>
        <w:rPr>
          <w:b/>
          <w:sz w:val="24"/>
        </w:rPr>
        <w:t>Isolation Forest.</w:t>
      </w:r>
      <w:r>
        <w:rPr>
          <w:sz w:val="24"/>
        </w:rPr>
        <w:t xml:space="preserve"> Cette méthode non supervisée découpe les données au hasard, récursivement. Un point </w:t>
      </w:r>
      <w:r>
        <w:rPr>
          <w:b/>
          <w:sz w:val="24"/>
        </w:rPr>
        <w:t>rare</w:t>
      </w:r>
      <w:r>
        <w:rPr>
          <w:sz w:val="24"/>
        </w:rPr>
        <w:t xml:space="preserve"> est isolé en très peu de coupes (Liu et al., 2008). Elle n'a pas besoin d'étiquettes, mais une anomalie n'est pas forcément une fraude.</w:t>
      </w:r>
    </w:p>
    <w:p>
      <w:pPr>
        <w:spacing w:before="0" w:after="120" w:line="360" w:lineRule="auto"/>
        <w:jc w:val="both"/>
      </w:pPr>
      <w:r>
        <w:rPr>
          <w:b/>
          <w:sz w:val="24"/>
        </w:rPr>
        <w:t>Autoencodeur.</w:t>
      </w:r>
      <w:r>
        <w:rPr>
          <w:sz w:val="24"/>
        </w:rPr>
        <w:t xml:space="preserve"> Ce réseau de neurones compresse puis reconstruit chaque opération : </w:t>
      </w:r>
      <m:oMath>
        <m:r>
          <m:t>58→32→16→8→16→32→58</m:t>
        </m:r>
      </m:oMath>
      <w:r>
        <w:rPr>
          <w:sz w:val="24"/>
        </w:rPr>
        <w:t xml:space="preserve">. Le goulot de 8 neurones l'oblige à apprendre l'essentiel des opérations normales (Hinton et Salakhutdinov, 2006). Il est entraîné </w:t>
      </w:r>
      <w:r>
        <w:rPr>
          <w:b/>
          <w:sz w:val="24"/>
        </w:rPr>
        <w:t>sur les seules opérations légitimes</w:t>
      </w:r>
      <w:r>
        <w:rPr>
          <w:sz w:val="24"/>
        </w:rPr>
        <w:t xml:space="preserve"> :</w:t>
      </w:r>
    </w:p>
    <w:p>
      <w:pPr>
        <w:spacing w:before="120" w:after="160"/>
        <w:jc w:val="center"/>
      </w:pPr>
      <m:oMath>
        <m:sSub>
          <m:e>
            <m:r>
              <m:t>min</m:t>
            </m:r>
          </m:e>
          <m:sub>
            <m:r>
              <m:t>ϕ</m:t>
            </m:r>
          </m:sub>
        </m:sSub>
        <m:r>
          <m:rPr>
            <m:sty m:val="p"/>
          </m:rPr>
          <m:t> </m:t>
        </m:r>
        <m:f>
          <m:fPr>
            <m:type m:val="bar"/>
          </m:fPr>
          <m:num>
            <m:r>
              <m:t>1</m:t>
            </m:r>
          </m:num>
          <m:den>
            <m:r>
              <m:t>N</m:t>
            </m:r>
          </m:den>
        </m:f>
        <m:nary>
          <m:naryPr>
            <m:chr m:val="∑"/>
            <m:limLoc m:val="subSup"/>
            <m:grow m:val="1"/>
            <m:subHide m:val="off"/>
            <m:supHide m:val="on"/>
          </m:naryPr>
          <m:sub>
            <m:r>
              <m:t>i</m:t>
            </m:r>
          </m:sub>
          <m:sup/>
          <m:e>
            <m:r>
              <m:t>\lVert</m:t>
            </m:r>
          </m:e>
        </m:nary>
        <m:sSub>
          <m:e>
            <m:limUpp>
              <m:e>
                <m:r>
                  <m:t>x</m:t>
                </m:r>
              </m:e>
              <m:lim>
                <m:r>
                  <m:t>~</m:t>
                </m:r>
              </m:lim>
            </m:limUpp>
          </m:e>
          <m:sub>
            <m:r>
              <m:t>i</m:t>
            </m:r>
          </m:sub>
        </m:sSub>
        <m:r>
          <m:t>−</m:t>
        </m:r>
        <m:sSub>
          <m:e>
            <m:r>
              <m:t>g</m:t>
            </m:r>
          </m:e>
          <m:sub>
            <m:r>
              <m:t>ϕ</m:t>
            </m:r>
          </m:sub>
        </m:sSub>
        <m:r>
          <m:t>(</m:t>
        </m:r>
        <m:sSub>
          <m:e>
            <m:limUpp>
              <m:e>
                <m:r>
                  <m:t>x</m:t>
                </m:r>
              </m:e>
              <m:lim>
                <m:r>
                  <m:t>~</m:t>
                </m:r>
              </m:lim>
            </m:limUpp>
          </m:e>
          <m:sub>
            <m:r>
              <m:t>i</m:t>
            </m:r>
          </m:sub>
        </m:sSub>
        <m:r>
          <m:t>)</m:t>
        </m:r>
        <m:sSubSup>
          <m:e>
            <m:r>
              <m:t>\rVert</m:t>
            </m:r>
          </m:e>
          <m:sub>
            <m:r>
              <m:t>2</m:t>
            </m:r>
          </m:sub>
          <m:sup>
            <m:r>
              <m:t>2</m:t>
            </m:r>
          </m:sup>
        </m:sSubSup>
        <m:r>
          <m:t>,</m:t>
        </m:r>
        <m:sSub>
          <m:e>
            <m:r>
              <m:t>s</m:t>
            </m:r>
          </m:e>
          <m:sub>
            <m:r>
              <m:rPr>
                <m:nor/>
              </m:rPr>
              <m:t>AE</m:t>
            </m:r>
          </m:sub>
        </m:sSub>
        <m:r>
          <m:t>=</m:t>
        </m:r>
        <m:r>
          <m:rPr>
            <m:sty m:val="p"/>
          </m:rPr>
          <m:t>ln</m:t>
        </m:r>
        <m:r>
          <m:t>(</m:t>
        </m:r>
        <m:f>
          <m:fPr>
            <m:type m:val="bar"/>
          </m:fPr>
          <m:num>
            <m:r>
              <m:t>1</m:t>
            </m:r>
          </m:num>
          <m:den>
            <m:r>
              <m:t>58</m:t>
            </m:r>
          </m:den>
        </m:f>
        <m:r>
          <m:t>‖</m:t>
        </m:r>
        <m:limUpp>
          <m:e>
            <m:r>
              <m:t>x</m:t>
            </m:r>
          </m:e>
          <m:lim>
            <m:r>
              <m:t>~</m:t>
            </m:r>
          </m:lim>
        </m:limUpp>
        <m:r>
          <m:t>−</m:t>
        </m:r>
        <m:sSub>
          <m:e>
            <m:r>
              <m:t>g</m:t>
            </m:r>
          </m:e>
          <m:sub>
            <m:r>
              <m:t>ϕ</m:t>
            </m:r>
          </m:sub>
        </m:sSub>
        <m:r>
          <m:t>(</m:t>
        </m:r>
        <m:limUpp>
          <m:e>
            <m:r>
              <m:t>x</m:t>
            </m:r>
          </m:e>
          <m:lim>
            <m:r>
              <m:t>~</m:t>
            </m:r>
          </m:lim>
        </m:limUpp>
        <m:r>
          <m:t>)</m:t>
        </m:r>
        <m:sSubSup>
          <m:e>
            <m:r>
              <m:t>‖</m:t>
            </m:r>
          </m:e>
          <m:sub>
            <m:r>
              <m:t>2</m:t>
            </m:r>
          </m:sub>
          <m:sup>
            <m:r>
              <m:t>2</m:t>
            </m:r>
          </m:sup>
        </m:sSubSup>
        <m:r>
          <m:t>+</m:t>
        </m:r>
        <m:sSup>
          <m:e>
            <m:r>
              <m:t>10</m:t>
            </m:r>
          </m:e>
          <m:sup>
            <m:r>
              <m:t>−6</m:t>
            </m:r>
          </m:sup>
        </m:sSup>
        <m:r>
          <m:t>)</m:t>
        </m:r>
      </m:oMath>
    </w:p>
    <w:p>
      <w:pPr>
        <w:spacing w:before="0" w:after="120" w:line="360" w:lineRule="auto"/>
        <w:jc w:val="both"/>
      </w:pPr>
      <w:r>
        <w:rPr>
          <w:sz w:val="24"/>
        </w:rPr>
        <w:t xml:space="preserve">où </w:t>
      </w:r>
      <m:oMath>
        <m:sSub>
          <m:e>
            <m:r>
              <m:t>g</m:t>
            </m:r>
          </m:e>
          <m:sub>
            <m:r>
              <m:t>ϕ</m:t>
            </m:r>
          </m:sub>
        </m:sSub>
      </m:oMath>
      <w:r>
        <w:rPr>
          <w:sz w:val="24"/>
        </w:rPr>
        <w:t xml:space="preserve"> est le réseau, de paramètres </w:t>
      </w:r>
      <m:oMath>
        <m:r>
          <m:t>ϕ</m:t>
        </m:r>
      </m:oMath>
      <w:r>
        <w:rPr>
          <w:sz w:val="24"/>
        </w:rPr>
        <w:t>. Une opération qu'il reconstruit mal est inhabituelle : l'</w:t>
      </w:r>
      <w:r>
        <w:rPr>
          <w:b/>
          <w:sz w:val="24"/>
        </w:rPr>
        <w:t>erreur de reconstruction</w:t>
      </w:r>
      <w:r>
        <w:rPr>
          <w:sz w:val="24"/>
        </w:rPr>
        <w:t xml:space="preserve"> </w:t>
      </w:r>
      <m:oMath>
        <m:sSub>
          <m:e>
            <m:r>
              <m:t>s</m:t>
            </m:r>
          </m:e>
          <m:sub>
            <m:r>
              <m:rPr>
                <m:nor/>
              </m:rPr>
              <m:t>AE</m:t>
            </m:r>
          </m:sub>
        </m:sSub>
      </m:oMath>
      <w:r>
        <w:rPr>
          <w:sz w:val="24"/>
        </w:rPr>
        <w:t xml:space="preserve"> sert de score d'anomalie.</w:t>
      </w:r>
    </w:p>
    <w:p>
      <w:pPr>
        <w:spacing w:before="0" w:after="120" w:line="360" w:lineRule="auto"/>
        <w:jc w:val="both"/>
      </w:pPr>
      <w:r>
        <w:rPr>
          <w:b/>
          <w:sz w:val="24"/>
        </w:rPr>
        <w:t>LSTM avec attention.</w:t>
      </w:r>
      <w:r>
        <w:rPr>
          <w:sz w:val="24"/>
        </w:rPr>
        <w:t xml:space="preserve"> Un réseau récurrent lit les 10 dernières opérations du client dans l'ordre, en gardant une mémoire. Le LSTM (</w:t>
      </w:r>
      <w:r>
        <w:rPr>
          <w:i/>
          <w:sz w:val="24"/>
        </w:rPr>
        <w:t>Long Short-Term Memory</w:t>
      </w:r>
      <w:r>
        <w:rPr>
          <w:sz w:val="24"/>
        </w:rPr>
        <w:t>, Hochreiter et Schmidhuber, 1997) contrôle cette mémoire par trois portes, d'oubli (</w:t>
      </w:r>
      <m:oMath>
        <m:sSub>
          <m:e>
            <m:r>
              <m:t>f</m:t>
            </m:r>
          </m:e>
          <m:sub>
            <m:r>
              <m:t>τ</m:t>
            </m:r>
          </m:sub>
        </m:sSub>
      </m:oMath>
      <w:r>
        <w:rPr>
          <w:sz w:val="24"/>
        </w:rPr>
        <w:t>), d'entrée (</w:t>
      </w:r>
      <m:oMath>
        <m:sSub>
          <m:e>
            <m:r>
              <m:t>i</m:t>
            </m:r>
          </m:e>
          <m:sub>
            <m:r>
              <m:t>τ</m:t>
            </m:r>
          </m:sub>
        </m:sSub>
      </m:oMath>
      <w:r>
        <w:rPr>
          <w:sz w:val="24"/>
        </w:rPr>
        <w:t>) et de sortie (</w:t>
      </w:r>
      <m:oMath>
        <m:sSub>
          <m:e>
            <m:r>
              <m:t>o</m:t>
            </m:r>
          </m:e>
          <m:sub>
            <m:r>
              <m:t>τ</m:t>
            </m:r>
          </m:sub>
        </m:sSub>
      </m:oMath>
      <w:r>
        <w:rPr>
          <w:sz w:val="24"/>
        </w:rPr>
        <w:t>), ce qui évite que le début de la séquence soit oublié :</w:t>
      </w:r>
    </w:p>
    <w:p>
      <w:pPr>
        <w:spacing w:before="120" w:after="160"/>
        <w:jc w:val="center"/>
      </w:pPr>
      <m:oMath>
        <m:sSub>
          <m:e>
            <m:r>
              <m:t>c</m:t>
            </m:r>
          </m:e>
          <m:sub>
            <m:r>
              <m:t>τ</m:t>
            </m:r>
          </m:sub>
        </m:sSub>
        <m:r>
          <m:t>=</m:t>
        </m:r>
        <m:sSub>
          <m:e>
            <m:r>
              <m:t>f</m:t>
            </m:r>
          </m:e>
          <m:sub>
            <m:r>
              <m:t>τ</m:t>
            </m:r>
          </m:sub>
        </m:sSub>
        <m:r>
          <m:t>⊙</m:t>
        </m:r>
        <m:sSub>
          <m:e>
            <m:r>
              <m:t>c</m:t>
            </m:r>
          </m:e>
          <m:sub>
            <m:r>
              <m:t>τ−1</m:t>
            </m:r>
          </m:sub>
        </m:sSub>
        <m:r>
          <m:t>+</m:t>
        </m:r>
        <m:sSub>
          <m:e>
            <m:r>
              <m:t>i</m:t>
            </m:r>
          </m:e>
          <m:sub>
            <m:r>
              <m:t>τ</m:t>
            </m:r>
          </m:sub>
        </m:sSub>
        <m:r>
          <m:t>⊙</m:t>
        </m:r>
        <m:sSub>
          <m:e>
            <m:r>
              <m:t>g</m:t>
            </m:r>
          </m:e>
          <m:sub>
            <m:r>
              <m:t>τ</m:t>
            </m:r>
          </m:sub>
        </m:sSub>
        <m:r>
          <m:t>,</m:t>
        </m:r>
        <m:sSub>
          <m:e>
            <m:r>
              <m:t>h</m:t>
            </m:r>
          </m:e>
          <m:sub>
            <m:r>
              <m:t>τ</m:t>
            </m:r>
          </m:sub>
        </m:sSub>
        <m:r>
          <m:t>=</m:t>
        </m:r>
        <m:sSub>
          <m:e>
            <m:r>
              <m:t>o</m:t>
            </m:r>
          </m:e>
          <m:sub>
            <m:r>
              <m:t>τ</m:t>
            </m:r>
          </m:sub>
        </m:sSub>
        <m:r>
          <m:t>⊙</m:t>
        </m:r>
        <m:r>
          <m:rPr>
            <m:sty m:val="p"/>
          </m:rPr>
          <m:t>tanh</m:t>
        </m:r>
        <m:r>
          <m:t>(</m:t>
        </m:r>
        <m:sSub>
          <m:e>
            <m:r>
              <m:t>c</m:t>
            </m:r>
          </m:e>
          <m:sub>
            <m:r>
              <m:t>τ</m:t>
            </m:r>
          </m:sub>
        </m:sSub>
        <m:r>
          <m:t>)</m:t>
        </m:r>
      </m:oMath>
    </w:p>
    <w:p>
      <w:pPr>
        <w:spacing w:before="0" w:after="120" w:line="360" w:lineRule="auto"/>
        <w:jc w:val="both"/>
      </w:pPr>
      <w:r>
        <w:rPr>
          <w:sz w:val="24"/>
        </w:rPr>
        <w:t xml:space="preserve">où </w:t>
      </w:r>
      <m:oMath>
        <m:sSub>
          <m:e>
            <m:r>
              <m:t>c</m:t>
            </m:r>
          </m:e>
          <m:sub>
            <m:r>
              <m:t>τ</m:t>
            </m:r>
          </m:sub>
        </m:sSub>
      </m:oMath>
      <w:r>
        <w:rPr>
          <w:sz w:val="24"/>
        </w:rPr>
        <w:t xml:space="preserve"> est la mémoire, </w:t>
      </w:r>
      <m:oMath>
        <m:sSub>
          <m:e>
            <m:r>
              <m:t>h</m:t>
            </m:r>
          </m:e>
          <m:sub>
            <m:r>
              <m:t>τ</m:t>
            </m:r>
          </m:sub>
        </m:sSub>
      </m:oMath>
      <w:r>
        <w:rPr>
          <w:sz w:val="24"/>
        </w:rPr>
        <w:t xml:space="preserve"> la sortie à l'étape </w:t>
      </w:r>
      <m:oMath>
        <m:r>
          <m:t>τ</m:t>
        </m:r>
      </m:oMath>
      <w:r>
        <w:rPr>
          <w:sz w:val="24"/>
        </w:rPr>
        <w:t xml:space="preserve"> et </w:t>
      </w:r>
      <m:oMath>
        <m:r>
          <m:t>⊙</m:t>
        </m:r>
      </m:oMath>
      <w:r>
        <w:rPr>
          <w:sz w:val="24"/>
        </w:rPr>
        <w:t xml:space="preserve"> le produit terme à terme. Au lieu de ne garder que la dernière sortie, un mécanisme d'</w:t>
      </w:r>
      <w:r>
        <w:rPr>
          <w:b/>
          <w:sz w:val="24"/>
        </w:rPr>
        <w:t>attention</w:t>
      </w:r>
      <w:r>
        <w:rPr>
          <w:sz w:val="24"/>
        </w:rPr>
        <w:t xml:space="preserve"> (Bahdanau et al., 2015) pondère toutes les étapes :</w:t>
      </w:r>
    </w:p>
    <w:p>
      <w:pPr>
        <w:spacing w:before="120" w:after="160"/>
        <w:jc w:val="center"/>
      </w:pPr>
      <m:oMath>
        <m:sSub>
          <m:e>
            <m:r>
              <m:t>e</m:t>
            </m:r>
          </m:e>
          <m:sub>
            <m:r>
              <m:t>τ</m:t>
            </m:r>
          </m:sub>
        </m:sSub>
        <m:r>
          <m:t>=</m:t>
        </m:r>
        <m:sSup>
          <m:e>
            <m:r>
              <m:t>v</m:t>
            </m:r>
          </m:e>
          <m:sup>
            <m:r>
              <m:t>⊤</m:t>
            </m:r>
          </m:sup>
        </m:sSup>
        <m:r>
          <m:rPr>
            <m:sty m:val="p"/>
          </m:rPr>
          <m:t>tanh</m:t>
        </m:r>
        <m:r>
          <m:t>(</m:t>
        </m:r>
        <m:sSub>
          <m:e>
            <m:r>
              <m:t>W</m:t>
            </m:r>
          </m:e>
          <m:sub>
            <m:r>
              <m:t>a</m:t>
            </m:r>
          </m:sub>
        </m:sSub>
        <m:sSub>
          <m:e>
            <m:r>
              <m:t>h</m:t>
            </m:r>
          </m:e>
          <m:sub>
            <m:r>
              <m:t>τ</m:t>
            </m:r>
          </m:sub>
        </m:sSub>
        <m:r>
          <m:t>+</m:t>
        </m:r>
        <m:sSub>
          <m:e>
            <m:r>
              <m:t>b</m:t>
            </m:r>
          </m:e>
          <m:sub>
            <m:r>
              <m:t>a</m:t>
            </m:r>
          </m:sub>
        </m:sSub>
        <m:r>
          <m:t>),</m:t>
        </m:r>
        <m:sSub>
          <m:e>
            <m:r>
              <m:t>α</m:t>
            </m:r>
          </m:e>
          <m:sub>
            <m:r>
              <m:t>τ</m:t>
            </m:r>
          </m:sub>
        </m:sSub>
        <m:r>
          <m:t>=</m:t>
        </m:r>
        <m:f>
          <m:fPr>
            <m:type m:val="bar"/>
          </m:fPr>
          <m:num>
            <m:sSup>
              <m:e>
                <m:r>
                  <m:t>e</m:t>
                </m:r>
              </m:e>
              <m:sup>
                <m:sSub>
                  <m:e>
                    <m:r>
                      <m:t>e</m:t>
                    </m:r>
                  </m:e>
                  <m:sub>
                    <m:r>
                      <m:t>τ</m:t>
                    </m:r>
                  </m:sub>
                </m:sSub>
              </m:sup>
            </m:sSup>
          </m:num>
          <m:den>
            <m:nary>
              <m:naryPr>
                <m:chr m:val="∑"/>
                <m:limLoc m:val="subSup"/>
                <m:grow m:val="1"/>
                <m:subHide m:val="off"/>
                <m:supHide m:val="on"/>
              </m:naryPr>
              <m:sub>
                <m:sSup>
                  <m:e>
                    <m:r>
                      <m:t>τ</m:t>
                    </m:r>
                  </m:e>
                  <m:sup>
                    <m:r>
                      <m:t>′</m:t>
                    </m:r>
                  </m:sup>
                </m:sSup>
              </m:sub>
              <m:sup/>
              <m:e>
                <m:sSup>
                  <m:e>
                    <m:r>
                      <m:t>e</m:t>
                    </m:r>
                  </m:e>
                  <m:sup>
                    <m:sSub>
                      <m:e>
                        <m:r>
                          <m:t>e</m:t>
                        </m:r>
                      </m:e>
                      <m:sub>
                        <m:sSup>
                          <m:e>
                            <m:r>
                              <m:t>τ</m:t>
                            </m:r>
                          </m:e>
                          <m:sup>
                            <m:r>
                              <m:t>′</m:t>
                            </m:r>
                          </m:sup>
                        </m:sSup>
                      </m:sub>
                    </m:sSub>
                  </m:sup>
                </m:sSup>
              </m:e>
            </m:nary>
          </m:den>
        </m:f>
        <m:r>
          <m:t>,</m:t>
        </m:r>
        <m:r>
          <m:t>c=</m:t>
        </m:r>
        <m:nary>
          <m:naryPr>
            <m:chr m:val="∑"/>
            <m:limLoc m:val="subSup"/>
            <m:grow m:val="1"/>
            <m:subHide m:val="off"/>
            <m:supHide m:val="on"/>
          </m:naryPr>
          <m:sub>
            <m:r>
              <m:t>τ</m:t>
            </m:r>
          </m:sub>
          <m:sup/>
          <m:e>
            <m:sSub>
              <m:e>
                <m:r>
                  <m:t>α</m:t>
                </m:r>
              </m:e>
              <m:sub>
                <m:r>
                  <m:t>τ</m:t>
                </m:r>
              </m:sub>
            </m:sSub>
          </m:e>
        </m:nary>
        <m:sSub>
          <m:e>
            <m:r>
              <m:t>h</m:t>
            </m:r>
          </m:e>
          <m:sub>
            <m:r>
              <m:t>τ</m:t>
            </m:r>
          </m:sub>
        </m:sSub>
      </m:oMath>
    </w:p>
    <w:p>
      <w:pPr>
        <w:spacing w:before="0" w:after="120" w:line="360" w:lineRule="auto"/>
        <w:jc w:val="both"/>
      </w:pPr>
      <m:oMath>
        <m:sSub>
          <m:e>
            <m:r>
              <m:t>e</m:t>
            </m:r>
          </m:e>
          <m:sub>
            <m:r>
              <m:t>τ</m:t>
            </m:r>
          </m:sub>
        </m:sSub>
      </m:oMath>
      <w:r>
        <w:rPr>
          <w:sz w:val="24"/>
        </w:rPr>
        <w:t xml:space="preserve"> est un score d'importance de l'opération </w:t>
      </w:r>
      <m:oMath>
        <m:r>
          <m:t>τ</m:t>
        </m:r>
      </m:oMath>
      <w:r>
        <w:rPr>
          <w:sz w:val="24"/>
        </w:rPr>
        <w:t xml:space="preserve"> ; la fonction </w:t>
      </w:r>
      <w:r>
        <w:rPr>
          <w:b/>
          <w:sz w:val="24"/>
        </w:rPr>
        <w:t>softmax</w:t>
      </w:r>
      <w:r>
        <w:rPr>
          <w:sz w:val="24"/>
        </w:rPr>
        <w:t xml:space="preserve"> le transforme en poids </w:t>
      </w:r>
      <m:oMath>
        <m:sSub>
          <m:e>
            <m:r>
              <m:t>α</m:t>
            </m:r>
          </m:e>
          <m:sub>
            <m:r>
              <m:t>τ</m:t>
            </m:r>
          </m:sub>
        </m:sSub>
      </m:oMath>
      <w:r>
        <w:rPr>
          <w:sz w:val="24"/>
        </w:rPr>
        <w:t xml:space="preserve"> positifs de somme 1 ; </w:t>
      </w:r>
      <m:oMath>
        <m:r>
          <m:t>c</m:t>
        </m:r>
      </m:oMath>
      <w:r>
        <w:rPr>
          <w:sz w:val="24"/>
        </w:rPr>
        <w:t xml:space="preserve"> est un résumé pondéré de la séquence. Ces poids indiquent à l'analyste </w:t>
      </w:r>
      <w:r>
        <w:rPr>
          <w:b/>
          <w:sz w:val="24"/>
        </w:rPr>
        <w:t>quelles opérations passées</w:t>
      </w:r>
      <w:r>
        <w:rPr>
          <w:sz w:val="24"/>
        </w:rPr>
        <w:t xml:space="preserve"> ont pesé dans la décision.</w:t>
      </w:r>
    </w:p>
    <w:p>
      <w:pPr>
        <w:spacing w:before="0" w:after="120" w:line="360" w:lineRule="auto"/>
        <w:jc w:val="both"/>
      </w:pPr>
      <w:r>
        <w:rPr>
          <w:b/>
          <w:sz w:val="24"/>
        </w:rPr>
        <w:t>Hybride : empilement.</w:t>
      </w:r>
      <w:r>
        <w:rPr>
          <w:sz w:val="24"/>
        </w:rPr>
        <w:t xml:space="preserve"> Les scores des trois composantes, </w:t>
      </w:r>
      <m:oMath>
        <m:sSub>
          <m:e>
            <m:r>
              <m:t>s</m:t>
            </m:r>
          </m:e>
          <m:sub>
            <m:r>
              <m:t>k</m:t>
            </m:r>
          </m:sub>
        </m:sSub>
      </m:oMath>
      <w:r>
        <w:rPr>
          <w:sz w:val="24"/>
        </w:rPr>
        <w:t xml:space="preserve"> avec </w:t>
      </w:r>
      <m:oMath>
        <m:r>
          <m:t>k∈{</m:t>
        </m:r>
        <m:r>
          <m:rPr>
            <m:nor/>
          </m:rPr>
          <m:t>XGB</m:t>
        </m:r>
        <m:r>
          <m:t>,</m:t>
        </m:r>
        <m:r>
          <m:rPr>
            <m:nor/>
          </m:rPr>
          <m:t>LSTM</m:t>
        </m:r>
        <m:r>
          <m:t>,</m:t>
        </m:r>
        <m:r>
          <m:rPr>
            <m:nor/>
          </m:rPr>
          <m:t>AE</m:t>
        </m:r>
        <m:r>
          <m:t>}</m:t>
        </m:r>
      </m:oMath>
      <w:r>
        <w:rPr>
          <w:sz w:val="24"/>
        </w:rPr>
        <w:t>, sont standardisés (</w:t>
      </w:r>
      <m:oMath>
        <m:sSub>
          <m:e>
            <m:r>
              <m:t>z</m:t>
            </m:r>
          </m:e>
          <m:sub>
            <m:r>
              <m:t>k</m:t>
            </m:r>
          </m:sub>
        </m:sSub>
      </m:oMath>
      <w:r>
        <w:rPr>
          <w:sz w:val="24"/>
        </w:rPr>
        <w:t xml:space="preserve">), puis combinés par une régression logistique, le </w:t>
      </w:r>
      <w:r>
        <w:rPr>
          <w:b/>
          <w:sz w:val="24"/>
        </w:rPr>
        <w:t>méta-apprenant</w:t>
      </w:r>
      <w:r>
        <w:rPr>
          <w:sz w:val="24"/>
        </w:rPr>
        <w:t xml:space="preserve"> (Wolpert, 1992), apprise sur la validation :</w:t>
      </w:r>
    </w:p>
    <w:p>
      <w:pPr>
        <w:spacing w:before="120" w:after="160"/>
        <w:jc w:val="center"/>
      </w:pPr>
      <m:oMath>
        <m:sSub>
          <m:e>
            <m:r>
              <m:t>z</m:t>
            </m:r>
          </m:e>
          <m:sub>
            <m:r>
              <m:t>k</m:t>
            </m:r>
          </m:sub>
        </m:sSub>
        <m:r>
          <m:t>=</m:t>
        </m:r>
        <m:f>
          <m:fPr>
            <m:type m:val="bar"/>
          </m:fPr>
          <m:num>
            <m:sSub>
              <m:e>
                <m:r>
                  <m:t>s</m:t>
                </m:r>
              </m:e>
              <m:sub>
                <m:r>
                  <m:t>k</m:t>
                </m:r>
              </m:sub>
            </m:sSub>
            <m:r>
              <m:t>−</m:t>
            </m:r>
            <m:sSub>
              <m:e>
                <m:r>
                  <m:t>μ</m:t>
                </m:r>
              </m:e>
              <m:sub>
                <m:r>
                  <m:t>k</m:t>
                </m:r>
              </m:sub>
            </m:sSub>
          </m:num>
          <m:den>
            <m:sSub>
              <m:e>
                <m:r>
                  <m:t>σ</m:t>
                </m:r>
              </m:e>
              <m:sub>
                <m:r>
                  <m:t>k</m:t>
                </m:r>
              </m:sub>
            </m:sSub>
          </m:den>
        </m:f>
        <m:r>
          <m:t>,</m:t>
        </m:r>
        <m:r>
          <m:t>p=σ(</m:t>
        </m:r>
        <m:sSub>
          <m:e>
            <m:r>
              <m:t>β</m:t>
            </m:r>
          </m:e>
          <m:sub>
            <m:r>
              <m:t>0</m:t>
            </m:r>
          </m:sub>
        </m:sSub>
        <m:r>
          <m:t>+</m:t>
        </m:r>
        <m:nary>
          <m:naryPr>
            <m:chr m:val="∑"/>
            <m:limLoc m:val="subSup"/>
            <m:grow m:val="1"/>
            <m:subHide m:val="off"/>
            <m:supHide m:val="on"/>
          </m:naryPr>
          <m:sub>
            <m:r>
              <m:t>k</m:t>
            </m:r>
          </m:sub>
          <m:sup/>
          <m:e>
            <m:sSub>
              <m:e>
                <m:r>
                  <m:t>β</m:t>
                </m:r>
              </m:e>
              <m:sub>
                <m:r>
                  <m:t>k</m:t>
                </m:r>
              </m:sub>
            </m:sSub>
          </m:e>
        </m:nary>
        <m:sSub>
          <m:e>
            <m:r>
              <m:t>z</m:t>
            </m:r>
          </m:e>
          <m:sub>
            <m:r>
              <m:t>k</m:t>
            </m:r>
          </m:sub>
        </m:sSub>
        <m:r>
          <m:t>)</m:t>
        </m:r>
      </m:oMath>
    </w:p>
    <w:p>
      <w:pPr>
        <w:spacing w:before="0" w:after="120" w:line="360" w:lineRule="auto"/>
        <w:jc w:val="both"/>
      </w:pPr>
      <w:r>
        <w:rPr>
          <w:sz w:val="24"/>
        </w:rPr>
        <w:t xml:space="preserve">Le terme </w:t>
      </w:r>
      <m:oMath>
        <m:sSub>
          <m:e>
            <m:r>
              <m:t>β</m:t>
            </m:r>
          </m:e>
          <m:sub>
            <m:r>
              <m:t>k</m:t>
            </m:r>
          </m:sub>
        </m:sSub>
        <m:sSub>
          <m:e>
            <m:r>
              <m:t>z</m:t>
            </m:r>
          </m:e>
          <m:sub>
            <m:r>
              <m:t>k</m:t>
            </m:r>
          </m:sub>
        </m:sSub>
      </m:oMath>
      <w:r>
        <w:rPr>
          <w:sz w:val="24"/>
        </w:rPr>
        <w:t xml:space="preserve"> mesure la </w:t>
      </w:r>
      <w:r>
        <w:rPr>
          <w:b/>
          <w:sz w:val="24"/>
        </w:rPr>
        <w:t>contribution de chaque composante</w:t>
      </w:r>
      <w:r>
        <w:rPr>
          <w:sz w:val="24"/>
        </w:rPr>
        <w:t>, affichée à l'analyste. Le méta-apprenant est appris sur la validation, que les composantes n'ont pas vue : appris sur l'entraînement, il ferait confiance aux composantes qui ont appris ces données par cœur.</w:t>
      </w:r>
    </w:p>
    <w:p>
      <w:pPr>
        <w:spacing w:before="0" w:after="120" w:line="360" w:lineRule="auto"/>
        <w:jc w:val="both"/>
      </w:pPr>
      <w:r>
        <w:rPr>
          <w:b/>
          <w:sz w:val="24"/>
        </w:rPr>
        <w:t>Seuil de décision.</w:t>
      </w:r>
      <w:r>
        <w:rPr>
          <w:sz w:val="24"/>
        </w:rPr>
        <w:t xml:space="preserve"> Le modèle fournit une probabilité ; le seuil </w:t>
      </w:r>
      <m:oMath>
        <m:sSup>
          <m:e>
            <m:r>
              <m:t>τ</m:t>
            </m:r>
          </m:e>
          <m:sup>
            <m:r>
              <m:t>*</m:t>
            </m:r>
          </m:sup>
        </m:sSup>
      </m:oMath>
      <w:r>
        <w:rPr>
          <w:sz w:val="24"/>
        </w:rPr>
        <w:t xml:space="preserve"> la transforme en décision. Il est choisi sur la validation pour maximiser le F1, jamais sur le test :</w:t>
      </w:r>
    </w:p>
    <w:p>
      <w:pPr>
        <w:spacing w:before="120" w:after="160"/>
        <w:jc w:val="center"/>
      </w:pPr>
      <m:oMath>
        <m:sSup>
          <m:e>
            <m:r>
              <m:t>τ</m:t>
            </m:r>
          </m:e>
          <m:sup>
            <m:r>
              <m:t>*</m:t>
            </m:r>
          </m:sup>
        </m:sSup>
        <m:r>
          <m:t>=</m:t>
        </m:r>
        <m:sSub>
          <m:e>
            <m:r>
              <m:rPr>
                <m:sty m:val="p"/>
              </m:rPr>
              <m:t>argmax</m:t>
            </m:r>
          </m:e>
          <m:sub>
            <m:r>
              <m:t>τ</m:t>
            </m:r>
          </m:sub>
        </m:sSub>
        <m:r>
          <m:rPr>
            <m:sty m:val="p"/>
          </m:rPr>
          <m:t> </m:t>
        </m:r>
        <m:f>
          <m:fPr>
            <m:type m:val="bar"/>
          </m:fPr>
          <m:num>
            <m:r>
              <m:t>2P(τ)R(τ)</m:t>
            </m:r>
          </m:num>
          <m:den>
            <m:r>
              <m:t>P(τ)+R(τ)</m:t>
            </m:r>
          </m:den>
        </m:f>
      </m:oMath>
    </w:p>
    <w:p>
      <w:pPr>
        <w:spacing w:before="0" w:after="120" w:line="360" w:lineRule="auto"/>
        <w:jc w:val="both"/>
      </w:pPr>
      <w:r>
        <w:rPr>
          <w:sz w:val="24"/>
        </w:rPr>
        <w:t xml:space="preserve">où </w:t>
      </w:r>
      <m:oMath>
        <m:r>
          <m:t>P(τ)</m:t>
        </m:r>
      </m:oMath>
      <w:r>
        <w:rPr>
          <w:sz w:val="24"/>
        </w:rPr>
        <w:t xml:space="preserve"> et </w:t>
      </w:r>
      <m:oMath>
        <m:r>
          <m:t>R(τ)</m:t>
        </m:r>
      </m:oMath>
      <w:r>
        <w:rPr>
          <w:sz w:val="24"/>
        </w:rPr>
        <w:t xml:space="preserve"> sont la précision et le rappel au seuil </w:t>
      </w:r>
      <m:oMath>
        <m:r>
          <m:t>τ</m:t>
        </m:r>
      </m:oMath>
      <w:r>
        <w:rPr>
          <w:sz w:val="24"/>
        </w:rPr>
        <w:t>.</w:t>
      </w:r>
    </w:p>
    <w:p>
      <w:pPr>
        <w:pStyle w:val="Titre4"/>
        <w:keepNext/>
        <w:numPr>
          <w:numId w:val="0"/>
        </w:numPr>
        <w:spacing w:before="200" w:after="120"/>
        <w:ind w:left="0" w:firstLine="0"/>
        <w:jc w:val="left"/>
      </w:pPr>
      <w:r>
        <w:rPr>
          <w:b/>
          <w:i/>
          <w:color w:val="000000"/>
          <w:sz w:val="25"/>
        </w:rPr>
        <w:t>1.3 Second étage : la typologie</w:t>
      </w:r>
    </w:p>
    <w:p>
      <w:pPr>
        <w:spacing w:before="0" w:after="120" w:line="360" w:lineRule="auto"/>
        <w:jc w:val="both"/>
      </w:pPr>
      <w:r>
        <w:rPr>
          <w:sz w:val="24"/>
        </w:rPr>
        <w:t xml:space="preserve">Un second modèle, XGBoost multiclasse (fonction </w:t>
      </w:r>
      <w:r>
        <w:rPr>
          <w:i/>
          <w:sz w:val="24"/>
        </w:rPr>
        <w:t>softmax</w:t>
      </w:r>
      <w:r>
        <w:rPr>
          <w:sz w:val="24"/>
        </w:rPr>
        <w:t xml:space="preserve">), est entraîné sur les seules fraudes. Sa sortie est restreinte aux typologies possibles pour le canal </w:t>
      </w:r>
      <m:oMath>
        <m:r>
          <m:t>c</m:t>
        </m:r>
      </m:oMath>
      <w:r>
        <w:rPr>
          <w:sz w:val="24"/>
        </w:rPr>
        <w:t xml:space="preserve"> (un test de carte n'a pas de sens en Mobile Money), puis renormalisée :</w:t>
      </w:r>
    </w:p>
    <w:p>
      <w:pPr>
        <w:spacing w:before="120" w:after="160"/>
        <w:jc w:val="center"/>
      </w:pPr>
      <m:oMath>
        <m:acc>
          <m:accPr>
            <m:chr m:val="̂"/>
          </m:accPr>
          <m:e>
            <m:r>
              <m:t>P</m:t>
            </m:r>
          </m:e>
        </m:acc>
        <m:r>
          <m:t>(k∣</m:t>
        </m:r>
        <m:limUpp>
          <m:e>
            <m:r>
              <m:t>x</m:t>
            </m:r>
          </m:e>
          <m:lim>
            <m:r>
              <m:t>~</m:t>
            </m:r>
          </m:lim>
        </m:limUpp>
        <m:r>
          <m:t>,c)=</m:t>
        </m:r>
        <m:f>
          <m:fPr>
            <m:type m:val="bar"/>
          </m:fPr>
          <m:num>
            <m:r>
              <m:t>P(k∣</m:t>
            </m:r>
            <m:limUpp>
              <m:e>
                <m:r>
                  <m:t>x</m:t>
                </m:r>
              </m:e>
              <m:lim>
                <m:r>
                  <m:t>~</m:t>
                </m:r>
              </m:lim>
            </m:limUpp>
            <m:r>
              <m:t>)</m:t>
            </m:r>
            <m:r>
              <m:rPr>
                <m:scr m:val="double-struck"/>
                <m:sty m:val="p"/>
              </m:rPr>
              <m:t>1</m:t>
            </m:r>
            <m:r>
              <m:t>[k∈</m:t>
            </m:r>
            <m:sSub>
              <m:e>
                <m:r>
                  <m:t>𝒦</m:t>
                </m:r>
              </m:e>
              <m:sub>
                <m:r>
                  <m:t>c</m:t>
                </m:r>
              </m:sub>
            </m:sSub>
            <m:r>
              <m:t>]</m:t>
            </m:r>
          </m:num>
          <m:den>
            <m:nary>
              <m:naryPr>
                <m:chr m:val="∑"/>
                <m:limLoc m:val="subSup"/>
                <m:grow m:val="1"/>
                <m:subHide m:val="off"/>
                <m:supHide m:val="on"/>
              </m:naryPr>
              <m:sub>
                <m:sSup>
                  <m:e>
                    <m:r>
                      <m:t>k</m:t>
                    </m:r>
                  </m:e>
                  <m:sup>
                    <m:r>
                      <m:t>′</m:t>
                    </m:r>
                  </m:sup>
                </m:sSup>
                <m:r>
                  <m:t>∈</m:t>
                </m:r>
                <m:sSub>
                  <m:e>
                    <m:r>
                      <m:t>𝒦</m:t>
                    </m:r>
                  </m:e>
                  <m:sub>
                    <m:r>
                      <m:t>c</m:t>
                    </m:r>
                  </m:sub>
                </m:sSub>
              </m:sub>
              <m:sup/>
              <m:e>
                <m:r>
                  <m:t>P(</m:t>
                </m:r>
              </m:e>
            </m:nary>
            <m:sSup>
              <m:e>
                <m:r>
                  <m:t>k</m:t>
                </m:r>
              </m:e>
              <m:sup>
                <m:r>
                  <m:t>′</m:t>
                </m:r>
              </m:sup>
            </m:sSup>
            <m:r>
              <m:t>∣</m:t>
            </m:r>
            <m:limUpp>
              <m:e>
                <m:r>
                  <m:t>x</m:t>
                </m:r>
              </m:e>
              <m:lim>
                <m:r>
                  <m:t>~</m:t>
                </m:r>
              </m:lim>
            </m:limUpp>
            <m:r>
              <m:t>)</m:t>
            </m:r>
          </m:den>
        </m:f>
        <m:r>
          <m:t>,</m:t>
        </m:r>
        <m:acc>
          <m:accPr>
            <m:chr m:val="̂"/>
          </m:accPr>
          <m:e>
            <m:r>
              <m:t>k</m:t>
            </m:r>
          </m:e>
        </m:acc>
        <m:r>
          <m:t>=</m:t>
        </m:r>
        <m:sSub>
          <m:e>
            <m:r>
              <m:rPr>
                <m:sty m:val="p"/>
              </m:rPr>
              <m:t>argmax</m:t>
            </m:r>
          </m:e>
          <m:sub>
            <m:r>
              <m:t>k</m:t>
            </m:r>
          </m:sub>
        </m:sSub>
        <m:acc>
          <m:accPr>
            <m:chr m:val="̂"/>
          </m:accPr>
          <m:e>
            <m:r>
              <m:t>P</m:t>
            </m:r>
          </m:e>
        </m:acc>
        <m:r>
          <m:t>(k∣</m:t>
        </m:r>
        <m:limUpp>
          <m:e>
            <m:r>
              <m:t>x</m:t>
            </m:r>
          </m:e>
          <m:lim>
            <m:r>
              <m:t>~</m:t>
            </m:r>
          </m:lim>
        </m:limUpp>
        <m:r>
          <m:t>,c)</m:t>
        </m:r>
      </m:oMath>
    </w:p>
    <w:p>
      <w:pPr>
        <w:spacing w:before="0" w:after="120" w:line="360" w:lineRule="auto"/>
        <w:jc w:val="both"/>
      </w:pPr>
      <w:r>
        <w:rPr>
          <w:sz w:val="24"/>
        </w:rPr>
        <w:t xml:space="preserve">où </w:t>
      </w:r>
      <m:oMath>
        <m:sSub>
          <m:e>
            <m:r>
              <m:t>𝒦</m:t>
            </m:r>
          </m:e>
          <m:sub>
            <m:r>
              <m:t>c</m:t>
            </m:r>
          </m:sub>
        </m:sSub>
      </m:oMath>
      <w:r>
        <w:rPr>
          <w:sz w:val="24"/>
        </w:rPr>
        <w:t xml:space="preserve"> est l'ensemble des typologies possibles sur le canal </w:t>
      </w:r>
      <m:oMath>
        <m:r>
          <m:t>c</m:t>
        </m:r>
      </m:oMath>
      <w:r>
        <w:rPr>
          <w:sz w:val="24"/>
        </w:rPr>
        <w:t>.</w:t>
      </w:r>
    </w:p>
    <w:p>
      <w:pPr>
        <w:pStyle w:val="Titre4"/>
        <w:keepNext/>
        <w:numPr>
          <w:numId w:val="0"/>
        </w:numPr>
        <w:spacing w:before="200" w:after="120"/>
        <w:ind w:left="0" w:firstLine="0"/>
        <w:jc w:val="left"/>
      </w:pPr>
      <w:r>
        <w:rPr>
          <w:b/>
          <w:i/>
          <w:color w:val="000000"/>
          <w:sz w:val="25"/>
        </w:rPr>
        <w:t>1.4 Composants complémentaires du moteur de décision</w:t>
      </w:r>
    </w:p>
    <w:p>
      <w:pPr>
        <w:spacing w:before="0" w:after="120" w:line="360" w:lineRule="auto"/>
        <w:jc w:val="both"/>
      </w:pPr>
      <w:r>
        <w:rPr>
          <w:sz w:val="24"/>
        </w:rPr>
        <w:t>Au modèle appris s'ajoutent cinq composants, qui renforcent la détection, l'explication et la décision.</w:t>
      </w:r>
    </w:p>
    <w:p>
      <w:pPr>
        <w:spacing w:before="0" w:after="120" w:line="360" w:lineRule="auto"/>
        <w:jc w:val="both"/>
      </w:pPr>
      <w:r>
        <w:rPr>
          <w:b/>
          <w:sz w:val="24"/>
        </w:rPr>
        <w:t>Décision coût-sensible.</w:t>
      </w:r>
      <w:r>
        <w:rPr>
          <w:sz w:val="24"/>
        </w:rPr>
        <w:t xml:space="preserve"> Un seuil unique « fraude / pas fraude » ignore le montant en jeu. Le système choisit plutôt l'action dont le </w:t>
      </w:r>
      <w:r>
        <w:rPr>
          <w:b/>
          <w:sz w:val="24"/>
        </w:rPr>
        <w:t>coût attendu</w:t>
      </w:r>
      <w:r>
        <w:rPr>
          <w:sz w:val="24"/>
        </w:rPr>
        <w:t xml:space="preserve"> est minimal. Pour une probabilité </w:t>
      </w:r>
      <m:oMath>
        <m:r>
          <m:t>p</m:t>
        </m:r>
      </m:oMath>
      <w:r>
        <w:rPr>
          <w:sz w:val="24"/>
        </w:rPr>
        <w:t xml:space="preserve"> et un montant </w:t>
      </w:r>
      <m:oMath>
        <m:r>
          <m:t>m</m:t>
        </m:r>
      </m:oMath>
      <w:r>
        <w:rPr>
          <w:sz w:val="24"/>
        </w:rPr>
        <w:t xml:space="preserve"> :</w:t>
      </w:r>
    </w:p>
    <w:p>
      <w:pPr>
        <w:spacing w:before="120" w:after="160"/>
        <w:jc w:val="center"/>
      </w:pPr>
      <m:oMath>
        <m:r>
          <m:t>𝔼[</m:t>
        </m:r>
        <m:r>
          <m:rPr>
            <m:nor/>
          </m:rPr>
          <m:t>APPROVE</m:t>
        </m:r>
        <m:r>
          <m:t>]=pm,</m:t>
        </m:r>
        <m:r>
          <m:t>𝔼[</m:t>
        </m:r>
        <m:r>
          <m:rPr>
            <m:nor/>
          </m:rPr>
          <m:t>VERIFY</m:t>
        </m:r>
        <m:r>
          <m:t>]=</m:t>
        </m:r>
        <m:sSub>
          <m:e>
            <m:r>
              <m:t>c</m:t>
            </m:r>
          </m:e>
          <m:sub>
            <m:r>
              <m:t>f</m:t>
            </m:r>
          </m:sub>
        </m:sSub>
        <m:r>
          <m:t>+pm(1−κ),</m:t>
        </m:r>
        <m:r>
          <m:t>𝔼[</m:t>
        </m:r>
        <m:r>
          <m:rPr>
            <m:nor/>
          </m:rPr>
          <m:t>BLOCK</m:t>
        </m:r>
        <m:r>
          <m:t>]=(1−p)(</m:t>
        </m:r>
        <m:sSub>
          <m:e>
            <m:r>
              <m:t>c</m:t>
            </m:r>
          </m:e>
          <m:sub>
            <m:r>
              <m:t>b</m:t>
            </m:r>
          </m:sub>
        </m:sSub>
        <m:r>
          <m:t>+λm)</m:t>
        </m:r>
      </m:oMath>
    </w:p>
    <w:p>
      <w:pPr>
        <w:spacing w:before="0" w:after="120" w:line="360" w:lineRule="auto"/>
        <w:jc w:val="both"/>
      </w:pPr>
      <w:r>
        <w:rPr>
          <w:sz w:val="24"/>
        </w:rPr>
        <w:t xml:space="preserve">où </w:t>
      </w:r>
      <m:oMath>
        <m:r>
          <m:t>𝔼[·]</m:t>
        </m:r>
      </m:oMath>
      <w:r>
        <w:rPr>
          <w:sz w:val="24"/>
        </w:rPr>
        <w:t xml:space="preserve"> désigne l'espérance (le coût moyen attendu), </w:t>
      </w:r>
      <m:oMath>
        <m:sSub>
          <m:e>
            <m:r>
              <m:t>c</m:t>
            </m:r>
          </m:e>
          <m:sub>
            <m:r>
              <m:t>f</m:t>
            </m:r>
          </m:sub>
        </m:sSub>
      </m:oMath>
      <w:r>
        <w:rPr>
          <w:sz w:val="24"/>
        </w:rPr>
        <w:t xml:space="preserve"> le coût d'une vérification (friction), </w:t>
      </w:r>
      <m:oMath>
        <m:r>
          <m:t>κ</m:t>
        </m:r>
      </m:oMath>
      <w:r>
        <w:rPr>
          <w:sz w:val="24"/>
        </w:rPr>
        <w:t xml:space="preserve"> la part des fraudes stoppées par la vérification, </w:t>
      </w:r>
      <m:oMath>
        <m:sSub>
          <m:e>
            <m:r>
              <m:t>c</m:t>
            </m:r>
          </m:e>
          <m:sub>
            <m:r>
              <m:t>b</m:t>
            </m:r>
          </m:sub>
        </m:sSub>
      </m:oMath>
      <w:r>
        <w:rPr>
          <w:sz w:val="24"/>
        </w:rPr>
        <w:t xml:space="preserve"> le coût fixe d'un client honnête bloqué et </w:t>
      </w:r>
      <m:oMath>
        <m:r>
          <m:t>λ</m:t>
        </m:r>
      </m:oMath>
      <w:r>
        <w:rPr>
          <w:sz w:val="24"/>
        </w:rPr>
        <w:t xml:space="preserve"> la part du montant perdue lors d'un blocage à tort. Approuver coûte le montant si c'est une fraude ; vérifier coûte la friction à coup sûr, plus le montant si la fraude passe malgré la vérification ; bloquer ne coûte que si le client était honnête. Par exemple, à probabilité égale (</w:t>
      </w:r>
      <m:oMath>
        <m:r>
          <m:t>p=0,30</m:t>
        </m:r>
      </m:oMath>
      <w:r>
        <w:rPr>
          <w:sz w:val="24"/>
        </w:rPr>
        <w:t xml:space="preserve">), le système bloque une opération de 500 USD mais se contente de faire vérifier une opération de 10 USD, ce qu'un seuil unique ne sait pas faire (Elkan, 2001). Au-dessus de </w:t>
      </w:r>
      <m:oMath>
        <m:r>
          <m:t>p=0,97</m:t>
        </m:r>
      </m:oMath>
      <w:r>
        <w:rPr>
          <w:sz w:val="24"/>
        </w:rPr>
        <w:t xml:space="preserve"> on bloque, en dessous de </w:t>
      </w:r>
      <m:oMath>
        <m:r>
          <m:t>0,01</m:t>
        </m:r>
      </m:oMath>
      <w:r>
        <w:rPr>
          <w:sz w:val="24"/>
        </w:rPr>
        <w:t xml:space="preserve"> on approuve. Les règles métier ne peuvent ensuite que renforcer l'action.</w:t>
      </w:r>
    </w:p>
    <w:p>
      <w:pPr>
        <w:spacing w:before="0" w:after="120" w:line="360" w:lineRule="auto"/>
        <w:jc w:val="both"/>
      </w:pPr>
      <w:r>
        <w:rPr>
          <w:b/>
          <w:sz w:val="24"/>
        </w:rPr>
        <w:t>Lois physiques.</w:t>
      </w:r>
      <w:r>
        <w:rPr>
          <w:sz w:val="24"/>
        </w:rPr>
        <w:t xml:space="preserve"> Un modèle appris ne connaît que les fraudes qu'il a vues. Les lois physiques ajoutent des contraintes que toute fraude, même inédite, doit respecter. La </w:t>
      </w:r>
      <w:r>
        <w:rPr>
          <w:b/>
          <w:sz w:val="24"/>
        </w:rPr>
        <w:t>cinématique</w:t>
      </w:r>
      <w:r>
        <w:rPr>
          <w:sz w:val="24"/>
        </w:rPr>
        <w:t xml:space="preserve"> calcule la distance de grand cercle </w:t>
      </w:r>
      <m:oMath>
        <m:r>
          <m:t>d</m:t>
        </m:r>
      </m:oMath>
      <w:r>
        <w:rPr>
          <w:sz w:val="24"/>
        </w:rPr>
        <w:t xml:space="preserve"> (formule de haversine, </w:t>
      </w:r>
      <m:oMath>
        <m:sSub>
          <m:e>
            <m:r>
              <m:t>R</m:t>
            </m:r>
          </m:e>
          <m:sub>
            <m:r>
              <m:t>⊕</m:t>
            </m:r>
          </m:sub>
        </m:sSub>
        <m:r>
          <m:t>=6371</m:t>
        </m:r>
      </m:oMath>
      <w:r>
        <w:rPr>
          <w:sz w:val="24"/>
        </w:rPr>
        <w:t xml:space="preserve"> km) entre les chefs-lieux de deux provinces consécutives, puis la durée minimale du trajet par la route (80 km/h) ou par avion (800 km/h plus 2 h de formalités) :</w:t>
      </w:r>
    </w:p>
    <w:p>
      <w:pPr>
        <w:spacing w:before="120" w:after="160"/>
        <w:jc w:val="center"/>
      </w:pPr>
      <m:oMath>
        <m:sSub>
          <m:e>
            <m:r>
              <m:t>t</m:t>
            </m:r>
          </m:e>
          <m:sub>
            <m:r>
              <m:t>min</m:t>
            </m:r>
          </m:sub>
        </m:sSub>
        <m:r>
          <m:t>(d)=min(</m:t>
        </m:r>
        <m:f>
          <m:fPr>
            <m:type m:val="bar"/>
          </m:fPr>
          <m:num>
            <m:r>
              <m:t>d</m:t>
            </m:r>
          </m:num>
          <m:den>
            <m:r>
              <m:t>80</m:t>
            </m:r>
          </m:den>
        </m:f>
        <m:r>
          <m:t>,</m:t>
        </m:r>
        <m:r>
          <m:rPr>
            <m:sty m:val="p"/>
          </m:rPr>
          <m:t> </m:t>
        </m:r>
        <m:r>
          <m:t>2+</m:t>
        </m:r>
        <m:f>
          <m:fPr>
            <m:type m:val="bar"/>
          </m:fPr>
          <m:num>
            <m:r>
              <m:t>d</m:t>
            </m:r>
          </m:num>
          <m:den>
            <m:r>
              <m:t>800</m:t>
            </m:r>
          </m:den>
        </m:f>
        <m:r>
          <m:t>),</m:t>
        </m:r>
        <m:r>
          <m:t>I=max(0,</m:t>
        </m:r>
        <m:r>
          <m:rPr>
            <m:sty m:val="p"/>
          </m:rPr>
          <m:t> </m:t>
        </m:r>
        <m:f>
          <m:fPr>
            <m:type m:val="bar"/>
          </m:fPr>
          <m:num>
            <m:sSub>
              <m:e>
                <m:r>
                  <m:t>t</m:t>
                </m:r>
              </m:e>
              <m:sub>
                <m:r>
                  <m:t>min</m:t>
                </m:r>
              </m:sub>
            </m:sSub>
            <m:r>
              <m:t>(d)</m:t>
            </m:r>
          </m:num>
          <m:den>
            <m:r>
              <m:t>Δt</m:t>
            </m:r>
          </m:den>
        </m:f>
        <m:r>
          <m:t>−1)</m:t>
        </m:r>
      </m:oMath>
    </w:p>
    <w:p>
      <w:pPr>
        <w:spacing w:before="0" w:after="120" w:line="360" w:lineRule="auto"/>
        <w:jc w:val="both"/>
      </w:pPr>
      <w:r>
        <w:rPr>
          <w:sz w:val="24"/>
        </w:rPr>
        <w:t xml:space="preserve">où </w:t>
      </w:r>
      <m:oMath>
        <m:r>
          <m:t>Δt</m:t>
        </m:r>
      </m:oMath>
      <w:r>
        <w:rPr>
          <w:sz w:val="24"/>
        </w:rPr>
        <w:t xml:space="preserve"> est le temps écoulé depuis l'opération précédente. L'</w:t>
      </w:r>
      <w:r>
        <w:rPr>
          <w:b/>
          <w:sz w:val="24"/>
        </w:rPr>
        <w:t>infaisabilité</w:t>
      </w:r>
      <w:r>
        <w:rPr>
          <w:sz w:val="24"/>
        </w:rPr>
        <w:t xml:space="preserve"> </w:t>
      </w:r>
      <m:oMath>
        <m:r>
          <m:t>I</m:t>
        </m:r>
      </m:oMath>
      <w:r>
        <w:rPr>
          <w:sz w:val="24"/>
        </w:rPr>
        <w:t xml:space="preserve"> vaut 0 si le trajet est possible ; </w:t>
      </w:r>
      <m:oMath>
        <m:r>
          <m:t>I≥1</m:t>
        </m:r>
      </m:oMath>
      <w:r>
        <w:rPr>
          <w:sz w:val="24"/>
        </w:rPr>
        <w:t xml:space="preserve"> signifie que le client aurait dû aller au moins deux fois plus vite que le moyen le plus rapide, ce qui est une violation nette. Exemple : Kinshasa-Lubumbashi représente 1 568 km, soit 3,96 h au minimum ; deux opérations espacées de 30 minutes donnent </w:t>
      </w:r>
      <m:oMath>
        <m:r>
          <m:t>I=6,9</m:t>
        </m:r>
      </m:oMath>
      <w:r>
        <w:rPr>
          <w:sz w:val="24"/>
        </w:rPr>
        <w:t xml:space="preserve">. La </w:t>
      </w:r>
      <w:r>
        <w:rPr>
          <w:b/>
          <w:sz w:val="24"/>
        </w:rPr>
        <w:t>conservation</w:t>
      </w:r>
      <w:r>
        <w:rPr>
          <w:sz w:val="24"/>
        </w:rPr>
        <w:t xml:space="preserve"> interdit qu'un débit dépasse le solde.</w:t>
      </w:r>
    </w:p>
    <w:p>
      <w:pPr>
        <w:spacing w:before="0" w:after="120" w:line="360" w:lineRule="auto"/>
        <w:jc w:val="both"/>
      </w:pPr>
      <w:r>
        <w:rPr>
          <w:b/>
          <w:sz w:val="24"/>
        </w:rPr>
        <w:t>Explication.</w:t>
      </w:r>
      <w:r>
        <w:rPr>
          <w:sz w:val="24"/>
        </w:rPr>
        <w:t xml:space="preserve"> Chaque décision est accompagnée de ses explications. Les </w:t>
      </w:r>
      <w:r>
        <w:rPr>
          <w:b/>
          <w:sz w:val="24"/>
        </w:rPr>
        <w:t>valeurs de Shapley</w:t>
      </w:r>
      <w:r>
        <w:rPr>
          <w:sz w:val="24"/>
        </w:rPr>
        <w:t xml:space="preserve"> répartissent le score d'une opération entre les variables, comme on répartirait un gain entre les joueurs d'une équipe (Lundberg et Lee, 2017) : </w:t>
      </w:r>
      <m:oMath>
        <m:r>
          <m:t>F(</m:t>
        </m:r>
        <m:limUpp>
          <m:e>
            <m:r>
              <m:t>x</m:t>
            </m:r>
          </m:e>
          <m:lim>
            <m:r>
              <m:t>~</m:t>
            </m:r>
          </m:lim>
        </m:limUpp>
        <m:r>
          <m:t>)=</m:t>
        </m:r>
        <m:sSub>
          <m:e>
            <m:r>
              <m:t>ϕ</m:t>
            </m:r>
          </m:e>
          <m:sub>
            <m:r>
              <m:t>0</m:t>
            </m:r>
          </m:sub>
        </m:sSub>
        <m:r>
          <m:t>+</m:t>
        </m:r>
        <m:nary>
          <m:naryPr>
            <m:chr m:val="∑"/>
            <m:limLoc m:val="subSup"/>
            <m:grow m:val="1"/>
            <m:subHide m:val="off"/>
            <m:supHide m:val="off"/>
          </m:naryPr>
          <m:sub>
            <m:r>
              <m:t>j=1</m:t>
            </m:r>
          </m:sub>
          <m:sup>
            <m:r>
              <m:t>58</m:t>
            </m:r>
          </m:sup>
          <m:e>
            <m:sSub>
              <m:e>
                <m:r>
                  <m:t>ϕ</m:t>
                </m:r>
              </m:e>
              <m:sub>
                <m:r>
                  <m:t>j</m:t>
                </m:r>
              </m:sub>
            </m:sSub>
          </m:e>
        </m:nary>
      </m:oMath>
      <w:r>
        <w:rPr>
          <w:sz w:val="24"/>
        </w:rPr>
        <w:t xml:space="preserve">, où </w:t>
      </w:r>
      <m:oMath>
        <m:sSub>
          <m:e>
            <m:r>
              <m:t>ϕ</m:t>
            </m:r>
          </m:e>
          <m:sub>
            <m:r>
              <m:t>0</m:t>
            </m:r>
          </m:sub>
        </m:sSub>
      </m:oMath>
      <w:r>
        <w:rPr>
          <w:sz w:val="24"/>
        </w:rPr>
        <w:t xml:space="preserve"> est le score moyen et </w:t>
      </w:r>
      <m:oMath>
        <m:sSub>
          <m:e>
            <m:r>
              <m:t>ϕ</m:t>
            </m:r>
          </m:e>
          <m:sub>
            <m:r>
              <m:t>j</m:t>
            </m:r>
          </m:sub>
        </m:sSub>
      </m:oMath>
      <w:r>
        <w:rPr>
          <w:sz w:val="24"/>
        </w:rPr>
        <w:t xml:space="preserve"> la contribution de la variable </w:t>
      </w:r>
      <m:oMath>
        <m:r>
          <m:t>j</m:t>
        </m:r>
      </m:oMath>
      <w:r>
        <w:rPr>
          <w:sz w:val="24"/>
        </w:rPr>
        <w:t xml:space="preserve">. L'algorithme </w:t>
      </w:r>
      <w:r>
        <w:rPr>
          <w:b/>
          <w:sz w:val="24"/>
        </w:rPr>
        <w:t>TreeSHAP</w:t>
      </w:r>
      <w:r>
        <w:rPr>
          <w:sz w:val="24"/>
        </w:rPr>
        <w:t xml:space="preserve"> les calcule exactement pour les arbres (Lundberg et al., 2020). S'y ajoutent les contributions des composantes (</w:t>
      </w:r>
      <m:oMath>
        <m:sSub>
          <m:e>
            <m:r>
              <m:t>β</m:t>
            </m:r>
          </m:e>
          <m:sub>
            <m:r>
              <m:t>k</m:t>
            </m:r>
          </m:sub>
        </m:sSub>
        <m:sSub>
          <m:e>
            <m:r>
              <m:t>z</m:t>
            </m:r>
          </m:e>
          <m:sub>
            <m:r>
              <m:t>k</m:t>
            </m:r>
          </m:sub>
        </m:sSub>
      </m:oMath>
      <w:r>
        <w:rPr>
          <w:sz w:val="24"/>
        </w:rPr>
        <w:t>) et les poids d'attention.</w:t>
      </w:r>
    </w:p>
    <w:p>
      <w:pPr>
        <w:spacing w:before="0" w:after="120" w:line="360" w:lineRule="auto"/>
        <w:jc w:val="both"/>
      </w:pPr>
      <w:r>
        <w:rPr>
          <w:b/>
          <w:sz w:val="24"/>
        </w:rPr>
        <w:t>Cas similaires et procédures (RAG sans modèle de langage).</w:t>
      </w:r>
      <w:r>
        <w:rPr>
          <w:sz w:val="24"/>
        </w:rPr>
        <w:t xml:space="preserve"> Les opérations passées les plus proches dans l'espace des variables (k plus proches voisins) sont retrouvées avec leur proportion de fraudes. Un indicateur de cohérence les compare à la décision du modèle : si les cas proches la contredisent, une revue attentive est conseillée. Les passages pertinents d'une base de procédures par type de fraude sont retrouvés par </w:t>
      </w:r>
      <w:r>
        <w:rPr>
          <w:b/>
          <w:sz w:val="24"/>
        </w:rPr>
        <w:t>TF-IDF</w:t>
      </w:r>
      <w:r>
        <w:rPr>
          <w:sz w:val="24"/>
        </w:rPr>
        <w:t xml:space="preserve"> (</w:t>
      </w:r>
      <w:r>
        <w:rPr>
          <w:i/>
          <w:sz w:val="24"/>
        </w:rPr>
        <w:t>Term Frequency – Inverse Document Frequency</w:t>
      </w:r>
      <w:r>
        <w:rPr>
          <w:sz w:val="24"/>
        </w:rPr>
        <w:t>), pondération forte pour un mot fréquent dans un document et rare dans les autres. Aucun modèle de langage externe n'est utilisé : les preuves viennent uniquement de sources vérifiables et aucune donnée ne quitte la plateforme.</w:t>
      </w:r>
    </w:p>
    <w:p>
      <w:pPr>
        <w:spacing w:before="0" w:after="120" w:line="360" w:lineRule="auto"/>
        <w:jc w:val="both"/>
      </w:pPr>
      <w:r>
        <w:rPr>
          <w:b/>
          <w:sz w:val="24"/>
        </w:rPr>
        <w:t>Analyse du message.</w:t>
      </w:r>
      <w:r>
        <w:rPr>
          <w:sz w:val="24"/>
        </w:rPr>
        <w:t xml:space="preserve"> Le score d'ingénierie sociale d'un message de transfert est un </w:t>
      </w:r>
      <w:r>
        <w:rPr>
          <w:b/>
          <w:sz w:val="24"/>
        </w:rPr>
        <w:t>OU probabiliste</w:t>
      </w:r>
      <w:r>
        <w:rPr>
          <w:sz w:val="24"/>
        </w:rPr>
        <w:t xml:space="preserve"> (</w:t>
      </w:r>
      <w:r>
        <w:rPr>
          <w:i/>
          <w:sz w:val="24"/>
        </w:rPr>
        <w:t>noisy-OR</w:t>
      </w:r>
      <w:r>
        <w:rPr>
          <w:sz w:val="24"/>
        </w:rPr>
        <w:t xml:space="preserve">) des catégories d'indices détectées </w:t>
      </w:r>
      <m:oMath>
        <m:r>
          <m:t>𝒞</m:t>
        </m:r>
      </m:oMath>
      <w:r>
        <w:rPr>
          <w:sz w:val="24"/>
        </w:rPr>
        <w:t xml:space="preserve"> (urgence, gain, faux agent), de poids </w:t>
      </w:r>
      <m:oMath>
        <m:sSub>
          <m:e>
            <m:r>
              <m:t>w</m:t>
            </m:r>
          </m:e>
          <m:sub>
            <m:r>
              <m:t>c</m:t>
            </m:r>
          </m:sub>
        </m:sSub>
      </m:oMath>
      <w:r>
        <w:rPr>
          <w:sz w:val="24"/>
        </w:rPr>
        <w:t xml:space="preserve"> :</w:t>
      </w:r>
    </w:p>
    <w:p>
      <w:pPr>
        <w:spacing w:before="120" w:after="160"/>
        <w:jc w:val="center"/>
      </w:pPr>
      <m:oMath>
        <m:sSub>
          <m:e>
            <m:r>
              <m:t>S</m:t>
            </m:r>
          </m:e>
          <m:sub>
            <m:r>
              <m:rPr>
                <m:nor/>
              </m:rPr>
              <m:t>IS</m:t>
            </m:r>
          </m:sub>
        </m:sSub>
        <m:r>
          <m:t>=1−</m:t>
        </m:r>
        <m:nary>
          <m:naryPr>
            <m:chr m:val="∏"/>
            <m:limLoc m:val="subSup"/>
            <m:grow m:val="1"/>
            <m:subHide m:val="off"/>
            <m:supHide m:val="on"/>
          </m:naryPr>
          <m:sub>
            <m:r>
              <m:t>c∈𝒞</m:t>
            </m:r>
          </m:sub>
          <m:sup/>
          <m:e>
            <m:r>
              <m:t>(1−</m:t>
            </m:r>
          </m:e>
        </m:nary>
        <m:sSub>
          <m:e>
            <m:r>
              <m:t>w</m:t>
            </m:r>
          </m:e>
          <m:sub>
            <m:r>
              <m:t>c</m:t>
            </m:r>
          </m:sub>
        </m:sSub>
        <m:r>
          <m:t>)</m:t>
        </m:r>
      </m:oMath>
    </w:p>
    <w:p>
      <w:pPr>
        <w:spacing w:before="0" w:after="120" w:line="360" w:lineRule="auto"/>
        <w:jc w:val="both"/>
      </w:pPr>
      <w:r>
        <w:rPr>
          <w:sz w:val="24"/>
        </w:rPr>
        <w:t xml:space="preserve">C'est la probabilité qu'au moins un indice soit réellement révélateur. Deux indices de poids 0,5 donnent </w:t>
      </w:r>
      <m:oMath>
        <m:r>
          <m:t>1−0,5×0,5=0,75</m:t>
        </m:r>
      </m:oMath>
      <w:r>
        <w:rPr>
          <w:sz w:val="24"/>
        </w:rPr>
        <w:t>. Le texte seul impose une vérification, jamais un blocage (RG-10), et n'est jamais stocké en clair.</w:t>
      </w:r>
    </w:p>
    <w:p>
      <w:pPr>
        <w:spacing w:before="0" w:after="120" w:line="360" w:lineRule="auto"/>
        <w:jc w:val="both"/>
      </w:pPr>
      <w:r>
        <w:rPr>
          <w:b/>
          <w:sz w:val="24"/>
        </w:rPr>
        <w:t>Analyse de réseau.</w:t>
      </w:r>
      <w:r>
        <w:rPr>
          <w:sz w:val="24"/>
        </w:rPr>
        <w:t xml:space="preserve"> Le score transaction par transaction ne voit pas les réseaux de mules. Un </w:t>
      </w:r>
      <w:r>
        <w:rPr>
          <w:b/>
          <w:sz w:val="24"/>
        </w:rPr>
        <w:t>graphe biparti</w:t>
      </w:r>
      <w:r>
        <w:rPr>
          <w:sz w:val="24"/>
        </w:rPr>
        <w:t xml:space="preserve"> relie les comptes clients aux entités qu'ils utilisent : portefeuille destinataire, appareil, agent, marchand (Akoglu et al., 2015). Chaque transaction pèse par le verdict de l'analyste s'il existe, sinon par la probabilité du modèle. Trois scores interprétables en découlent. Le </w:t>
      </w:r>
      <w:r>
        <w:rPr>
          <w:b/>
          <w:sz w:val="24"/>
        </w:rPr>
        <w:t>risque direct</w:t>
      </w:r>
      <w:r>
        <w:rPr>
          <w:sz w:val="24"/>
        </w:rPr>
        <w:t xml:space="preserve"> d'une entité </w:t>
      </w:r>
      <m:oMath>
        <m:r>
          <m:t>e</m:t>
        </m:r>
      </m:oMath>
      <w:r>
        <w:rPr>
          <w:sz w:val="24"/>
        </w:rPr>
        <w:t xml:space="preserve"> est sa part de fraude lissée vers le taux global </w:t>
      </w:r>
      <m:oMath>
        <m:bar>
          <m:barPr>
            <m:pos m:val="top"/>
          </m:barPr>
          <m:e>
            <m:r>
              <m:t>p</m:t>
            </m:r>
          </m:e>
        </m:bar>
      </m:oMath>
      <w:r>
        <w:rPr>
          <w:sz w:val="24"/>
        </w:rPr>
        <w:t xml:space="preserve"> :</w:t>
      </w:r>
    </w:p>
    <w:p>
      <w:pPr>
        <w:spacing w:before="120" w:after="160"/>
        <w:jc w:val="center"/>
      </w:pPr>
      <m:oMath>
        <m:sSub>
          <m:e>
            <m:r>
              <m:t>r</m:t>
            </m:r>
          </m:e>
          <m:sub>
            <m:r>
              <m:t>e</m:t>
            </m:r>
          </m:sub>
        </m:sSub>
        <m:r>
          <m:t>=</m:t>
        </m:r>
        <m:f>
          <m:fPr>
            <m:type m:val="bar"/>
          </m:fPr>
          <m:num>
            <m:sSub>
              <m:e>
                <m:r>
                  <m:t>S</m:t>
                </m:r>
              </m:e>
              <m:sub>
                <m:r>
                  <m:t>e</m:t>
                </m:r>
              </m:sub>
            </m:sSub>
            <m:r>
              <m:t>+m</m:t>
            </m:r>
            <m:bar>
              <m:barPr>
                <m:pos m:val="top"/>
              </m:barPr>
              <m:e>
                <m:r>
                  <m:t>p</m:t>
                </m:r>
              </m:e>
            </m:bar>
          </m:num>
          <m:den>
            <m:sSub>
              <m:e>
                <m:r>
                  <m:t>K</m:t>
                </m:r>
              </m:e>
              <m:sub>
                <m:r>
                  <m:t>e</m:t>
                </m:r>
              </m:sub>
            </m:sSub>
            <m:r>
              <m:t>+m</m:t>
            </m:r>
          </m:den>
        </m:f>
        <m:r>
          <m:t>,</m:t>
        </m:r>
        <m:r>
          <m:t>m=4</m:t>
        </m:r>
      </m:oMath>
    </w:p>
    <w:p>
      <w:pPr>
        <w:spacing w:before="0" w:after="120" w:line="360" w:lineRule="auto"/>
        <w:jc w:val="both"/>
      </w:pPr>
      <w:r>
        <w:rPr>
          <w:sz w:val="24"/>
        </w:rPr>
        <w:t xml:space="preserve">où </w:t>
      </w:r>
      <m:oMath>
        <m:sSub>
          <m:e>
            <m:r>
              <m:t>S</m:t>
            </m:r>
          </m:e>
          <m:sub>
            <m:r>
              <m:t>e</m:t>
            </m:r>
          </m:sub>
        </m:sSub>
      </m:oMath>
      <w:r>
        <w:rPr>
          <w:sz w:val="24"/>
        </w:rPr>
        <w:t xml:space="preserve"> est la suspicion cumulée des transactions de l'entité, </w:t>
      </w:r>
      <m:oMath>
        <m:sSub>
          <m:e>
            <m:r>
              <m:t>K</m:t>
            </m:r>
          </m:e>
          <m:sub>
            <m:r>
              <m:t>e</m:t>
            </m:r>
          </m:sub>
        </m:sSub>
      </m:oMath>
      <w:r>
        <w:rPr>
          <w:sz w:val="24"/>
        </w:rPr>
        <w:t xml:space="preserve"> leur nombre et </w:t>
      </w:r>
      <m:oMath>
        <m:r>
          <m:t>m</m:t>
        </m:r>
      </m:oMath>
      <w:r>
        <w:rPr>
          <w:sz w:val="24"/>
        </w:rPr>
        <w:t xml:space="preserve"> le poids de l'a priori (une seule fraude ne condamne pas une entité très utilisée). L'</w:t>
      </w:r>
      <w:r>
        <w:rPr>
          <w:b/>
          <w:sz w:val="24"/>
        </w:rPr>
        <w:t>exposition</w:t>
      </w:r>
      <w:r>
        <w:rPr>
          <w:sz w:val="24"/>
        </w:rPr>
        <w:t xml:space="preserve"> d'un compte </w:t>
      </w:r>
      <m:oMath>
        <m:r>
          <m:t>u</m:t>
        </m:r>
      </m:oMath>
      <w:r>
        <w:rPr>
          <w:sz w:val="24"/>
        </w:rPr>
        <w:t xml:space="preserve"> combine l'excès de risque de ses entités </w:t>
      </w:r>
      <m:oMath>
        <m:r>
          <m:t>ℰ(u)</m:t>
        </m:r>
      </m:oMath>
      <w:r>
        <w:rPr>
          <w:sz w:val="24"/>
        </w:rPr>
        <w:t xml:space="preserve"> au-dessus du taux global :</w:t>
      </w:r>
    </w:p>
    <w:p>
      <w:pPr>
        <w:spacing w:before="120" w:after="160"/>
        <w:jc w:val="center"/>
      </w:pPr>
      <m:oMath>
        <m:sSub>
          <m:e>
            <m:r>
              <m:t>E</m:t>
            </m:r>
          </m:e>
          <m:sub>
            <m:r>
              <m:t>u</m:t>
            </m:r>
          </m:sub>
        </m:sSub>
        <m:r>
          <m:t>=1−</m:t>
        </m:r>
        <m:nary>
          <m:naryPr>
            <m:chr m:val="∏"/>
            <m:limLoc m:val="subSup"/>
            <m:grow m:val="1"/>
            <m:subHide m:val="off"/>
            <m:supHide m:val="on"/>
          </m:naryPr>
          <m:sub>
            <m:r>
              <m:t>e∈ℰ(u)</m:t>
            </m:r>
          </m:sub>
          <m:sup/>
          <m:e>
            <m:d>
              <m:dPr>
                <m:sepChr m:val="−"/>
              </m:dPr>
              <m:e>
                <m:r>
                  <m:t>1</m:t>
                </m:r>
              </m:e>
              <m:e>
                <m:f>
                  <m:fPr>
                    <m:type m:val="bar"/>
                  </m:fPr>
                  <m:num>
                    <m:r>
                      <m:t>max(</m:t>
                    </m:r>
                    <m:sSub>
                      <m:e>
                        <m:r>
                          <m:t>r</m:t>
                        </m:r>
                      </m:e>
                      <m:sub>
                        <m:r>
                          <m:t>e</m:t>
                        </m:r>
                      </m:sub>
                    </m:sSub>
                    <m:r>
                      <m:t>−</m:t>
                    </m:r>
                    <m:bar>
                      <m:barPr>
                        <m:pos m:val="top"/>
                      </m:barPr>
                      <m:e>
                        <m:r>
                          <m:t>p</m:t>
                        </m:r>
                      </m:e>
                    </m:bar>
                    <m:r>
                      <m:t>,0)</m:t>
                    </m:r>
                  </m:num>
                  <m:den>
                    <m:r>
                      <m:t>1−</m:t>
                    </m:r>
                    <m:bar>
                      <m:barPr>
                        <m:pos m:val="top"/>
                      </m:barPr>
                      <m:e>
                        <m:r>
                          <m:t>p</m:t>
                        </m:r>
                      </m:e>
                    </m:bar>
                  </m:den>
                </m:f>
              </m:e>
            </m:d>
          </m:e>
        </m:nary>
      </m:oMath>
    </w:p>
    <w:p>
      <w:pPr>
        <w:spacing w:before="0" w:after="120" w:line="360" w:lineRule="auto"/>
        <w:jc w:val="both"/>
      </w:pPr>
      <w:r>
        <w:rPr>
          <w:sz w:val="24"/>
        </w:rPr>
        <w:t xml:space="preserve">Enfin, le </w:t>
      </w:r>
      <w:r>
        <w:rPr>
          <w:b/>
          <w:sz w:val="24"/>
        </w:rPr>
        <w:t>risque propagé</w:t>
      </w:r>
      <w:r>
        <w:rPr>
          <w:sz w:val="24"/>
        </w:rPr>
        <w:t xml:space="preserve"> d'une entité partagée par au moins deux comptes est l'exposition moyenne de ces comptes, entité exclue, et le score final est </w:t>
      </w:r>
      <m:oMath>
        <m:sSub>
          <m:e>
            <m:r>
              <m:t>R</m:t>
            </m:r>
          </m:e>
          <m:sub>
            <m:r>
              <m:t>e</m:t>
            </m:r>
          </m:sub>
        </m:sSub>
        <m:r>
          <m:t>=1−(1−</m:t>
        </m:r>
        <m:sSub>
          <m:e>
            <m:r>
              <m:t>r</m:t>
            </m:r>
          </m:e>
          <m:sub>
            <m:r>
              <m:t>e</m:t>
            </m:r>
          </m:sub>
        </m:sSub>
        <m:r>
          <m:t>)(1−α</m:t>
        </m:r>
        <m:sSub>
          <m:e>
            <m:r>
              <m:t>q</m:t>
            </m:r>
          </m:e>
          <m:sub>
            <m:r>
              <m:t>e</m:t>
            </m:r>
          </m:sub>
        </m:sSub>
        <m:r>
          <m:t>)</m:t>
        </m:r>
      </m:oMath>
      <w:r>
        <w:rPr>
          <w:sz w:val="24"/>
        </w:rPr>
        <w:t xml:space="preserve"> avec </w:t>
      </w:r>
      <m:oMath>
        <m:r>
          <m:t>α=0,5</m:t>
        </m:r>
      </m:oMath>
      <w:r>
        <w:rPr>
          <w:sz w:val="24"/>
        </w:rPr>
        <w:t xml:space="preserve">, où </w:t>
      </w:r>
      <m:oMath>
        <m:sSub>
          <m:e>
            <m:r>
              <m:t>q</m:t>
            </m:r>
          </m:e>
          <m:sub>
            <m:r>
              <m:t>e</m:t>
            </m:r>
          </m:sub>
        </m:sSub>
      </m:oMath>
      <w:r>
        <w:rPr>
          <w:sz w:val="24"/>
        </w:rPr>
        <w:t xml:space="preserve"> est ce risque propagé. Les </w:t>
      </w:r>
      <w:r>
        <w:rPr>
          <w:b/>
          <w:sz w:val="24"/>
        </w:rPr>
        <w:t>réseaux</w:t>
      </w:r>
      <w:r>
        <w:rPr>
          <w:sz w:val="24"/>
        </w:rPr>
        <w:t xml:space="preserve"> sont les composantes connexes des comptes reliés par des entités partagées dont le risque direct dépasse 0,30.</w:t>
      </w:r>
    </w:p>
    <w:p>
      <w:pPr>
        <w:pStyle w:val="Titre3"/>
        <w:keepNext/>
        <w:numPr>
          <w:numId w:val="0"/>
        </w:numPr>
        <w:spacing w:before="280" w:after="120"/>
        <w:ind w:left="0" w:firstLine="0"/>
        <w:jc w:val="left"/>
      </w:pPr>
      <w:r>
        <w:rPr>
          <w:b/>
          <w:color w:val="1F2A44"/>
          <w:sz w:val="28"/>
        </w:rPr>
        <w:t>2. Justification des choix</w:t>
      </w:r>
    </w:p>
    <w:p>
      <w:pPr>
        <w:pStyle w:val="Titre4"/>
        <w:keepNext/>
        <w:numPr>
          <w:numId w:val="0"/>
        </w:numPr>
        <w:spacing w:before="200" w:after="120"/>
        <w:ind w:left="0" w:firstLine="0"/>
        <w:jc w:val="left"/>
      </w:pPr>
      <w:r>
        <w:rPr>
          <w:b/>
          <w:i/>
          <w:color w:val="000000"/>
          <w:sz w:val="25"/>
        </w:rPr>
        <w:t>2.1 Critères de choix</w:t>
      </w:r>
    </w:p>
    <w:p>
      <w:pPr>
        <w:spacing w:before="0" w:after="120" w:line="360" w:lineRule="auto"/>
        <w:jc w:val="both"/>
      </w:pPr>
      <w:r>
        <w:rPr>
          <w:sz w:val="24"/>
        </w:rPr>
        <w:t xml:space="preserve">Les critères ont été fixés </w:t>
      </w:r>
      <w:r>
        <w:rPr>
          <w:b/>
          <w:sz w:val="24"/>
        </w:rPr>
        <w:t>avant</w:t>
      </w:r>
      <w:r>
        <w:rPr>
          <w:sz w:val="24"/>
        </w:rPr>
        <w:t xml:space="preserve"> l'expérimentation, à partir des besoins de la section 1. Chacun reçoit un poids qui traduit son importance pour le métier (tableau II.26).</w:t>
      </w:r>
    </w:p>
    <w:p>
      <w:pPr>
        <w:pStyle w:val="Légendetableau"/>
        <w:keepNext/>
        <w:spacing w:before="200" w:after="80"/>
        <w:jc w:val="center"/>
      </w:pPr>
      <w:r>
        <w:rPr>
          <w:b/>
          <w:sz w:val="20"/>
        </w:rPr>
        <w:t>Tableau II.26 — Critères de choix et pondération.</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2650"/>
        <w:gridCol w:w="679"/>
        <w:gridCol w:w="4913"/>
        <w:gridCol w:w="1147"/>
      </w:tblGrid>
      <w:tr>
        <w:trPr>
          <w:tblHeader w:val="true"/>
        </w:trPr>
        <w:tc>
          <w:tcPr>
            <w:tcW w:type="dxa" w:w="2650"/>
            <w:shd w:val="clear" w:color="auto" w:fill="D9E2F3"/>
          </w:tcPr>
          <w:p>
            <w:pPr>
              <w:spacing w:after="20" w:before="20" w:line="240" w:lineRule="auto"/>
              <w:jc w:val="left"/>
            </w:pPr>
            <w:r/>
            <w:r>
              <w:rPr>
                <w:b/>
                <w:sz w:val="18"/>
              </w:rPr>
              <w:t>Critère</w:t>
            </w:r>
          </w:p>
        </w:tc>
        <w:tc>
          <w:tcPr>
            <w:tcW w:type="dxa" w:w="679"/>
            <w:shd w:val="clear" w:color="auto" w:fill="D9E2F3"/>
          </w:tcPr>
          <w:p>
            <w:pPr>
              <w:spacing w:after="20" w:before="20" w:line="240" w:lineRule="auto"/>
              <w:jc w:val="left"/>
            </w:pPr>
            <w:r/>
            <w:r>
              <w:rPr>
                <w:b/>
                <w:sz w:val="18"/>
              </w:rPr>
              <w:t>Poids</w:t>
            </w:r>
          </w:p>
        </w:tc>
        <w:tc>
          <w:tcPr>
            <w:tcW w:type="dxa" w:w="4913"/>
            <w:shd w:val="clear" w:color="auto" w:fill="D9E2F3"/>
          </w:tcPr>
          <w:p>
            <w:pPr>
              <w:spacing w:after="20" w:before="20" w:line="240" w:lineRule="auto"/>
              <w:jc w:val="left"/>
            </w:pPr>
            <w:r/>
            <w:r>
              <w:rPr>
                <w:b/>
                <w:sz w:val="18"/>
              </w:rPr>
              <w:t>Mesure</w:t>
            </w:r>
          </w:p>
        </w:tc>
        <w:tc>
          <w:tcPr>
            <w:tcW w:type="dxa" w:w="1147"/>
            <w:shd w:val="clear" w:color="auto" w:fill="D9E2F3"/>
          </w:tcPr>
          <w:p>
            <w:pPr>
              <w:spacing w:after="20" w:before="20" w:line="240" w:lineRule="auto"/>
              <w:jc w:val="left"/>
            </w:pPr>
            <w:r/>
            <w:r>
              <w:rPr>
                <w:b/>
                <w:sz w:val="18"/>
              </w:rPr>
              <w:t>Besoin lié</w:t>
            </w:r>
          </w:p>
        </w:tc>
      </w:tr>
      <w:tr>
        <w:trPr>
          <w:cantSplit w:val="true"/>
        </w:trPr>
        <w:tc>
          <w:tcPr>
            <w:tcW w:type="dxa" w:w="2650"/>
          </w:tcPr>
          <w:p>
            <w:pPr>
              <w:spacing w:after="20" w:before="20" w:line="240" w:lineRule="auto"/>
              <w:jc w:val="left"/>
            </w:pPr>
            <w:r/>
            <w:r>
              <w:rPr>
                <w:sz w:val="18"/>
              </w:rPr>
              <w:t>Performance de détection</w:t>
            </w:r>
          </w:p>
        </w:tc>
        <w:tc>
          <w:tcPr>
            <w:tcW w:type="dxa" w:w="679"/>
          </w:tcPr>
          <w:p>
            <w:pPr>
              <w:spacing w:after="20" w:before="20" w:line="240" w:lineRule="auto"/>
              <w:jc w:val="left"/>
            </w:pPr>
            <w:r/>
            <w:r>
              <w:rPr>
                <w:sz w:val="18"/>
              </w:rPr>
              <w:t>30 %</w:t>
            </w:r>
          </w:p>
        </w:tc>
        <w:tc>
          <w:tcPr>
            <w:tcW w:type="dxa" w:w="4913"/>
          </w:tcPr>
          <w:p>
            <w:pPr>
              <w:spacing w:after="20" w:before="20" w:line="240" w:lineRule="auto"/>
              <w:jc w:val="left"/>
            </w:pPr>
            <w:r/>
            <w:r>
              <w:rPr>
                <w:sz w:val="18"/>
              </w:rPr>
              <w:t>PR-AUC sur le test</w:t>
            </w:r>
          </w:p>
        </w:tc>
        <w:tc>
          <w:tcPr>
            <w:tcW w:type="dxa" w:w="1147"/>
          </w:tcPr>
          <w:p>
            <w:pPr>
              <w:spacing w:after="20" w:before="20" w:line="240" w:lineRule="auto"/>
              <w:jc w:val="left"/>
            </w:pPr>
            <w:r/>
            <w:r>
              <w:rPr>
                <w:sz w:val="18"/>
              </w:rPr>
              <w:t>BM-01, BM-02</w:t>
            </w:r>
          </w:p>
        </w:tc>
      </w:tr>
      <w:tr>
        <w:trPr>
          <w:cantSplit w:val="true"/>
        </w:trPr>
        <w:tc>
          <w:tcPr>
            <w:tcW w:type="dxa" w:w="2650"/>
          </w:tcPr>
          <w:p>
            <w:pPr>
              <w:spacing w:after="20" w:before="20" w:line="240" w:lineRule="auto"/>
              <w:jc w:val="left"/>
            </w:pPr>
            <w:r/>
            <w:r>
              <w:rPr>
                <w:sz w:val="18"/>
              </w:rPr>
              <w:t>Qualité au seuil opérationnel</w:t>
            </w:r>
          </w:p>
        </w:tc>
        <w:tc>
          <w:tcPr>
            <w:tcW w:type="dxa" w:w="679"/>
          </w:tcPr>
          <w:p>
            <w:pPr>
              <w:spacing w:after="20" w:before="20" w:line="240" w:lineRule="auto"/>
              <w:jc w:val="left"/>
            </w:pPr>
            <w:r/>
            <w:r>
              <w:rPr>
                <w:sz w:val="18"/>
              </w:rPr>
              <w:t>20 %</w:t>
            </w:r>
          </w:p>
        </w:tc>
        <w:tc>
          <w:tcPr>
            <w:tcW w:type="dxa" w:w="4913"/>
          </w:tcPr>
          <w:p>
            <w:pPr>
              <w:spacing w:after="20" w:before="20" w:line="240" w:lineRule="auto"/>
              <w:jc w:val="left"/>
            </w:pPr>
            <w:r/>
            <w:r>
              <w:rPr>
                <w:sz w:val="18"/>
              </w:rPr>
              <w:t>F1, fausses alertes, fraudes manquées</w:t>
            </w:r>
          </w:p>
        </w:tc>
        <w:tc>
          <w:tcPr>
            <w:tcW w:type="dxa" w:w="1147"/>
          </w:tcPr>
          <w:p>
            <w:pPr>
              <w:spacing w:after="20" w:before="20" w:line="240" w:lineRule="auto"/>
              <w:jc w:val="left"/>
            </w:pPr>
            <w:r/>
            <w:r>
              <w:rPr>
                <w:sz w:val="18"/>
              </w:rPr>
              <w:t>BM-04</w:t>
            </w:r>
          </w:p>
        </w:tc>
      </w:tr>
      <w:tr>
        <w:trPr>
          <w:cantSplit w:val="true"/>
        </w:trPr>
        <w:tc>
          <w:tcPr>
            <w:tcW w:type="dxa" w:w="2650"/>
          </w:tcPr>
          <w:p>
            <w:pPr>
              <w:spacing w:after="20" w:before="20" w:line="240" w:lineRule="auto"/>
              <w:jc w:val="left"/>
            </w:pPr>
            <w:r/>
            <w:r>
              <w:rPr>
                <w:sz w:val="18"/>
              </w:rPr>
              <w:t>Explicabilité</w:t>
            </w:r>
          </w:p>
        </w:tc>
        <w:tc>
          <w:tcPr>
            <w:tcW w:type="dxa" w:w="679"/>
          </w:tcPr>
          <w:p>
            <w:pPr>
              <w:spacing w:after="20" w:before="20" w:line="240" w:lineRule="auto"/>
              <w:jc w:val="left"/>
            </w:pPr>
            <w:r/>
            <w:r>
              <w:rPr>
                <w:sz w:val="18"/>
              </w:rPr>
              <w:t>15 %</w:t>
            </w:r>
          </w:p>
        </w:tc>
        <w:tc>
          <w:tcPr>
            <w:tcW w:type="dxa" w:w="4913"/>
          </w:tcPr>
          <w:p>
            <w:pPr>
              <w:spacing w:after="20" w:before="20" w:line="240" w:lineRule="auto"/>
              <w:jc w:val="left"/>
            </w:pPr>
            <w:r/>
            <w:r>
              <w:rPr>
                <w:sz w:val="18"/>
              </w:rPr>
              <w:t>Possibilité d'expliquer chaque décision à l'analyste et au régulateur</w:t>
            </w:r>
          </w:p>
        </w:tc>
        <w:tc>
          <w:tcPr>
            <w:tcW w:type="dxa" w:w="1147"/>
          </w:tcPr>
          <w:p>
            <w:pPr>
              <w:spacing w:after="20" w:before="20" w:line="240" w:lineRule="auto"/>
              <w:jc w:val="left"/>
            </w:pPr>
            <w:r/>
            <w:r>
              <w:rPr>
                <w:sz w:val="18"/>
              </w:rPr>
              <w:t>BM-06, BT-14</w:t>
            </w:r>
          </w:p>
        </w:tc>
      </w:tr>
      <w:tr>
        <w:trPr>
          <w:cantSplit w:val="true"/>
        </w:trPr>
        <w:tc>
          <w:tcPr>
            <w:tcW w:type="dxa" w:w="2650"/>
          </w:tcPr>
          <w:p>
            <w:pPr>
              <w:spacing w:after="20" w:before="20" w:line="240" w:lineRule="auto"/>
              <w:jc w:val="left"/>
            </w:pPr>
            <w:r/>
            <w:r>
              <w:rPr>
                <w:sz w:val="18"/>
              </w:rPr>
              <w:t>Temps réel et simplicité</w:t>
            </w:r>
          </w:p>
        </w:tc>
        <w:tc>
          <w:tcPr>
            <w:tcW w:type="dxa" w:w="679"/>
          </w:tcPr>
          <w:p>
            <w:pPr>
              <w:spacing w:after="20" w:before="20" w:line="240" w:lineRule="auto"/>
              <w:jc w:val="left"/>
            </w:pPr>
            <w:r/>
            <w:r>
              <w:rPr>
                <w:sz w:val="18"/>
              </w:rPr>
              <w:t>15 %</w:t>
            </w:r>
          </w:p>
        </w:tc>
        <w:tc>
          <w:tcPr>
            <w:tcW w:type="dxa" w:w="4913"/>
          </w:tcPr>
          <w:p>
            <w:pPr>
              <w:spacing w:after="20" w:before="20" w:line="240" w:lineRule="auto"/>
              <w:jc w:val="left"/>
            </w:pPr>
            <w:r/>
            <w:r>
              <w:rPr>
                <w:sz w:val="18"/>
              </w:rPr>
              <w:t>Latence d'inférence, coût d'entraînement et de maintenance</w:t>
            </w:r>
          </w:p>
        </w:tc>
        <w:tc>
          <w:tcPr>
            <w:tcW w:type="dxa" w:w="1147"/>
          </w:tcPr>
          <w:p>
            <w:pPr>
              <w:spacing w:after="20" w:before="20" w:line="240" w:lineRule="auto"/>
              <w:jc w:val="left"/>
            </w:pPr>
            <w:r/>
            <w:r>
              <w:rPr>
                <w:sz w:val="18"/>
              </w:rPr>
              <w:t>BT-01</w:t>
            </w:r>
          </w:p>
        </w:tc>
      </w:tr>
      <w:tr>
        <w:trPr>
          <w:cantSplit w:val="true"/>
        </w:trPr>
        <w:tc>
          <w:tcPr>
            <w:tcW w:type="dxa" w:w="2650"/>
          </w:tcPr>
          <w:p>
            <w:pPr>
              <w:spacing w:after="20" w:before="20" w:line="240" w:lineRule="auto"/>
              <w:jc w:val="left"/>
            </w:pPr>
            <w:r/>
            <w:r>
              <w:rPr>
                <w:sz w:val="18"/>
              </w:rPr>
              <w:t>Prise en compte de la dynamique</w:t>
            </w:r>
          </w:p>
        </w:tc>
        <w:tc>
          <w:tcPr>
            <w:tcW w:type="dxa" w:w="679"/>
          </w:tcPr>
          <w:p>
            <w:pPr>
              <w:spacing w:after="20" w:before="20" w:line="240" w:lineRule="auto"/>
              <w:jc w:val="left"/>
            </w:pPr>
            <w:r/>
            <w:r>
              <w:rPr>
                <w:sz w:val="18"/>
              </w:rPr>
              <w:t>10 %</w:t>
            </w:r>
          </w:p>
        </w:tc>
        <w:tc>
          <w:tcPr>
            <w:tcW w:type="dxa" w:w="4913"/>
          </w:tcPr>
          <w:p>
            <w:pPr>
              <w:spacing w:after="20" w:before="20" w:line="240" w:lineRule="auto"/>
              <w:jc w:val="left"/>
            </w:pPr>
            <w:r/>
            <w:r>
              <w:rPr>
                <w:sz w:val="18"/>
              </w:rPr>
              <w:t>Capacité à lire la séquence des opérations</w:t>
            </w:r>
          </w:p>
        </w:tc>
        <w:tc>
          <w:tcPr>
            <w:tcW w:type="dxa" w:w="1147"/>
          </w:tcPr>
          <w:p>
            <w:pPr>
              <w:spacing w:after="20" w:before="20" w:line="240" w:lineRule="auto"/>
              <w:jc w:val="left"/>
            </w:pPr>
            <w:r/>
            <w:r>
              <w:rPr>
                <w:sz w:val="18"/>
              </w:rPr>
              <w:t>BM-02</w:t>
            </w:r>
          </w:p>
        </w:tc>
      </w:tr>
      <w:tr>
        <w:trPr>
          <w:cantSplit w:val="true"/>
        </w:trPr>
        <w:tc>
          <w:tcPr>
            <w:tcW w:type="dxa" w:w="2650"/>
          </w:tcPr>
          <w:p>
            <w:pPr>
              <w:spacing w:after="20" w:before="20" w:line="240" w:lineRule="auto"/>
              <w:jc w:val="left"/>
            </w:pPr>
            <w:r/>
            <w:r>
              <w:rPr>
                <w:sz w:val="18"/>
              </w:rPr>
              <w:t>Détection de fraudes inédites</w:t>
            </w:r>
          </w:p>
        </w:tc>
        <w:tc>
          <w:tcPr>
            <w:tcW w:type="dxa" w:w="679"/>
          </w:tcPr>
          <w:p>
            <w:pPr>
              <w:spacing w:after="20" w:before="20" w:line="240" w:lineRule="auto"/>
              <w:jc w:val="left"/>
            </w:pPr>
            <w:r/>
            <w:r>
              <w:rPr>
                <w:sz w:val="18"/>
              </w:rPr>
              <w:t>10 %</w:t>
            </w:r>
          </w:p>
        </w:tc>
        <w:tc>
          <w:tcPr>
            <w:tcW w:type="dxa" w:w="4913"/>
          </w:tcPr>
          <w:p>
            <w:pPr>
              <w:spacing w:after="20" w:before="20" w:line="240" w:lineRule="auto"/>
              <w:jc w:val="left"/>
            </w:pPr>
            <w:r/>
            <w:r>
              <w:rPr>
                <w:sz w:val="18"/>
              </w:rPr>
              <w:t>Capacité à signaler un comportement jamais vu, sans étiquette</w:t>
            </w:r>
          </w:p>
        </w:tc>
        <w:tc>
          <w:tcPr>
            <w:tcW w:type="dxa" w:w="1147"/>
          </w:tcPr>
          <w:p>
            <w:pPr>
              <w:spacing w:after="20" w:before="20" w:line="240" w:lineRule="auto"/>
              <w:jc w:val="left"/>
            </w:pPr>
            <w:r/>
            <w:r>
              <w:rPr>
                <w:sz w:val="18"/>
              </w:rPr>
              <w:t>BM-15, BM-16, BT-19</w:t>
            </w:r>
          </w:p>
        </w:tc>
      </w:tr>
    </w:tbl>
    <w:p>
      <w:pPr>
        <w:spacing w:after="120"/>
      </w:pPr>
    </w:p>
    <w:p>
      <w:pPr>
        <w:spacing w:before="0" w:after="120" w:line="360" w:lineRule="auto"/>
        <w:jc w:val="both"/>
      </w:pPr>
      <w:r>
        <w:rPr>
          <w:sz w:val="24"/>
        </w:rPr>
        <w:t>La performance de détection pèse le plus, car c'est la raison d'être du système. Mais un modèle très performant, impossible à expliquer ou trop lent pour décider avant l'exécution, ne serait pas utilisable en RDC, sous le contrôle de la BCC. Chaque méthode reçoit une note de 1 à 5 par critère ; la matrice complète est présentée au chapitre III, une fois les performances mesurées.</w:t>
      </w:r>
    </w:p>
    <w:p>
      <w:pPr>
        <w:pStyle w:val="Titre4"/>
        <w:keepNext/>
        <w:numPr>
          <w:numId w:val="0"/>
        </w:numPr>
        <w:spacing w:before="200" w:after="120"/>
        <w:ind w:left="0" w:firstLine="0"/>
        <w:jc w:val="left"/>
      </w:pPr>
      <w:r>
        <w:rPr>
          <w:b/>
          <w:i/>
          <w:color w:val="000000"/>
          <w:sz w:val="25"/>
        </w:rPr>
        <w:t>2.2 Justification de chaque choix</w:t>
      </w:r>
    </w:p>
    <w:p>
      <w:pPr>
        <w:spacing w:before="0" w:after="120" w:line="360" w:lineRule="auto"/>
        <w:jc w:val="both"/>
      </w:pPr>
      <w:r>
        <w:rPr>
          <w:sz w:val="24"/>
        </w:rPr>
        <w:t>Chaque choix de conception répond à une raison métier ou à un résultat établi (tableau II.27).</w:t>
      </w:r>
    </w:p>
    <w:p>
      <w:pPr>
        <w:pStyle w:val="Légendetableau"/>
        <w:keepNext/>
        <w:spacing w:before="200" w:after="80"/>
        <w:jc w:val="center"/>
      </w:pPr>
      <w:r>
        <w:rPr>
          <w:b/>
          <w:sz w:val="20"/>
        </w:rPr>
        <w:t>Tableau II.27 — Justification des choix.</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2298"/>
        <w:gridCol w:w="4546"/>
        <w:gridCol w:w="2544"/>
      </w:tblGrid>
      <w:tr>
        <w:trPr>
          <w:tblHeader w:val="true"/>
        </w:trPr>
        <w:tc>
          <w:tcPr>
            <w:tcW w:type="dxa" w:w="2298"/>
            <w:shd w:val="clear" w:color="auto" w:fill="D9E2F3"/>
          </w:tcPr>
          <w:p>
            <w:pPr>
              <w:spacing w:after="20" w:before="20" w:line="240" w:lineRule="auto"/>
              <w:jc w:val="left"/>
            </w:pPr>
            <w:r/>
            <w:r>
              <w:rPr>
                <w:b/>
                <w:sz w:val="20"/>
              </w:rPr>
              <w:t>Choix</w:t>
            </w:r>
          </w:p>
        </w:tc>
        <w:tc>
          <w:tcPr>
            <w:tcW w:type="dxa" w:w="4546"/>
            <w:shd w:val="clear" w:color="auto" w:fill="D9E2F3"/>
          </w:tcPr>
          <w:p>
            <w:pPr>
              <w:spacing w:after="20" w:before="20" w:line="240" w:lineRule="auto"/>
              <w:jc w:val="left"/>
            </w:pPr>
            <w:r/>
            <w:r>
              <w:rPr>
                <w:b/>
                <w:sz w:val="20"/>
              </w:rPr>
              <w:t>Raison</w:t>
            </w:r>
          </w:p>
        </w:tc>
        <w:tc>
          <w:tcPr>
            <w:tcW w:type="dxa" w:w="2544"/>
            <w:shd w:val="clear" w:color="auto" w:fill="D9E2F3"/>
          </w:tcPr>
          <w:p>
            <w:pPr>
              <w:spacing w:after="20" w:before="20" w:line="240" w:lineRule="auto"/>
              <w:jc w:val="left"/>
            </w:pPr>
            <w:r/>
            <w:r>
              <w:rPr>
                <w:b/>
                <w:sz w:val="20"/>
              </w:rPr>
              <w:t>Appui</w:t>
            </w:r>
          </w:p>
        </w:tc>
      </w:tr>
      <w:tr>
        <w:trPr>
          <w:cantSplit w:val="true"/>
        </w:trPr>
        <w:tc>
          <w:tcPr>
            <w:tcW w:type="dxa" w:w="2298"/>
          </w:tcPr>
          <w:p>
            <w:pPr>
              <w:spacing w:after="20" w:before="20" w:line="240" w:lineRule="auto"/>
              <w:jc w:val="left"/>
            </w:pPr>
            <w:r/>
            <w:r>
              <w:rPr>
                <w:sz w:val="20"/>
              </w:rPr>
              <w:t>Arbres boostés (XGBoost) pour les variables tabulaires</w:t>
            </w:r>
          </w:p>
        </w:tc>
        <w:tc>
          <w:tcPr>
            <w:tcW w:type="dxa" w:w="4546"/>
          </w:tcPr>
          <w:p>
            <w:pPr>
              <w:spacing w:after="20" w:before="20" w:line="240" w:lineRule="auto"/>
              <w:jc w:val="left"/>
            </w:pPr>
            <w:r/>
            <w:r>
              <w:rPr>
                <w:sz w:val="20"/>
              </w:rPr>
              <w:t>Les modèles à base d'arbres restent les plus performants sur données tabulaires de taille moyenne, et TreeSHAP donne une explication exacte</w:t>
            </w:r>
          </w:p>
        </w:tc>
        <w:tc>
          <w:tcPr>
            <w:tcW w:type="dxa" w:w="2544"/>
          </w:tcPr>
          <w:p>
            <w:pPr>
              <w:spacing w:after="20" w:before="20" w:line="240" w:lineRule="auto"/>
              <w:jc w:val="left"/>
            </w:pPr>
            <w:r/>
            <w:r>
              <w:rPr>
                <w:sz w:val="20"/>
              </w:rPr>
              <w:t>Grinsztajn et al. (2022) ; Chen et Guestrin (2016) ; Lundberg et al. (2020)</w:t>
            </w:r>
          </w:p>
        </w:tc>
      </w:tr>
      <w:tr>
        <w:trPr>
          <w:cantSplit w:val="true"/>
        </w:trPr>
        <w:tc>
          <w:tcPr>
            <w:tcW w:type="dxa" w:w="2298"/>
          </w:tcPr>
          <w:p>
            <w:pPr>
              <w:spacing w:after="20" w:before="20" w:line="240" w:lineRule="auto"/>
              <w:jc w:val="left"/>
            </w:pPr>
            <w:r/>
            <w:r>
              <w:rPr>
                <w:sz w:val="20"/>
              </w:rPr>
              <w:t>LSTM avec attention pour la séquence</w:t>
            </w:r>
          </w:p>
        </w:tc>
        <w:tc>
          <w:tcPr>
            <w:tcW w:type="dxa" w:w="4546"/>
          </w:tcPr>
          <w:p>
            <w:pPr>
              <w:spacing w:after="20" w:before="20" w:line="240" w:lineRule="auto"/>
              <w:jc w:val="left"/>
            </w:pPr>
            <w:r/>
            <w:r>
              <w:rPr>
                <w:sz w:val="20"/>
              </w:rPr>
              <w:t>Capte l'escalade et les salves d'opérations ; l'attention désigne les opérations passées décisives. Les modèles de séquence apportent un gain surtout sur les opérations en présence de la carte, moins sur les paiements à distance</w:t>
            </w:r>
          </w:p>
        </w:tc>
        <w:tc>
          <w:tcPr>
            <w:tcW w:type="dxa" w:w="2544"/>
          </w:tcPr>
          <w:p>
            <w:pPr>
              <w:spacing w:after="20" w:before="20" w:line="240" w:lineRule="auto"/>
              <w:jc w:val="left"/>
            </w:pPr>
            <w:r/>
            <w:r>
              <w:rPr>
                <w:sz w:val="20"/>
              </w:rPr>
              <w:t>Hochreiter et Schmidhuber (1997) ; Bahdanau et al. (2015) ; Jurgovsky et al. (2018)</w:t>
            </w:r>
          </w:p>
        </w:tc>
      </w:tr>
      <w:tr>
        <w:trPr>
          <w:cantSplit w:val="true"/>
        </w:trPr>
        <w:tc>
          <w:tcPr>
            <w:tcW w:type="dxa" w:w="2298"/>
          </w:tcPr>
          <w:p>
            <w:pPr>
              <w:spacing w:after="20" w:before="20" w:line="240" w:lineRule="auto"/>
              <w:jc w:val="left"/>
            </w:pPr>
            <w:r/>
            <w:r>
              <w:rPr>
                <w:sz w:val="20"/>
              </w:rPr>
              <w:t>Autoencodeur pour l'inédit</w:t>
            </w:r>
          </w:p>
        </w:tc>
        <w:tc>
          <w:tcPr>
            <w:tcW w:type="dxa" w:w="4546"/>
          </w:tcPr>
          <w:p>
            <w:pPr>
              <w:spacing w:after="20" w:before="20" w:line="240" w:lineRule="auto"/>
              <w:jc w:val="left"/>
            </w:pPr>
            <w:r/>
            <w:r>
              <w:rPr>
                <w:sz w:val="20"/>
              </w:rPr>
              <w:t>Apprend sans étiquette de fraude et signale un comportement jamais vu ; combiner supervisé et non supervisé améliore la détection quand les fraudes évoluent</w:t>
            </w:r>
          </w:p>
        </w:tc>
        <w:tc>
          <w:tcPr>
            <w:tcW w:type="dxa" w:w="2544"/>
          </w:tcPr>
          <w:p>
            <w:pPr>
              <w:spacing w:after="20" w:before="20" w:line="240" w:lineRule="auto"/>
              <w:jc w:val="left"/>
            </w:pPr>
            <w:r/>
            <w:r>
              <w:rPr>
                <w:sz w:val="20"/>
              </w:rPr>
              <w:t>Hinton et Salakhutdinov (2006) ; Carcillo et al. (2019)</w:t>
            </w:r>
          </w:p>
        </w:tc>
      </w:tr>
      <w:tr>
        <w:trPr>
          <w:cantSplit w:val="true"/>
        </w:trPr>
        <w:tc>
          <w:tcPr>
            <w:tcW w:type="dxa" w:w="2298"/>
          </w:tcPr>
          <w:p>
            <w:pPr>
              <w:spacing w:after="20" w:before="20" w:line="240" w:lineRule="auto"/>
              <w:jc w:val="left"/>
            </w:pPr>
            <w:r/>
            <w:r>
              <w:rPr>
                <w:sz w:val="20"/>
              </w:rPr>
              <w:t>Empilement par régression logistique</w:t>
            </w:r>
          </w:p>
        </w:tc>
        <w:tc>
          <w:tcPr>
            <w:tcW w:type="dxa" w:w="4546"/>
          </w:tcPr>
          <w:p>
            <w:pPr>
              <w:spacing w:after="20" w:before="20" w:line="240" w:lineRule="auto"/>
              <w:jc w:val="left"/>
            </w:pPr>
            <w:r/>
            <w:r>
              <w:rPr>
                <w:sz w:val="20"/>
              </w:rPr>
              <w:t>Combine des modèles de nature différente par un méta-apprenant simple, interprétable, appris sur des données que les composantes n'ont pas vues</w:t>
            </w:r>
          </w:p>
        </w:tc>
        <w:tc>
          <w:tcPr>
            <w:tcW w:type="dxa" w:w="2544"/>
          </w:tcPr>
          <w:p>
            <w:pPr>
              <w:spacing w:after="20" w:before="20" w:line="240" w:lineRule="auto"/>
              <w:jc w:val="left"/>
            </w:pPr>
            <w:r/>
            <w:r>
              <w:rPr>
                <w:sz w:val="20"/>
              </w:rPr>
              <w:t>Wolpert (1992)</w:t>
            </w:r>
          </w:p>
        </w:tc>
      </w:tr>
      <w:tr>
        <w:trPr>
          <w:cantSplit w:val="true"/>
        </w:trPr>
        <w:tc>
          <w:tcPr>
            <w:tcW w:type="dxa" w:w="2298"/>
          </w:tcPr>
          <w:p>
            <w:pPr>
              <w:spacing w:after="20" w:before="20" w:line="240" w:lineRule="auto"/>
              <w:jc w:val="left"/>
            </w:pPr>
            <w:r/>
            <w:r>
              <w:rPr>
                <w:sz w:val="20"/>
              </w:rPr>
              <w:t>Variables d'écart au profil et horaires cycliques</w:t>
            </w:r>
          </w:p>
        </w:tc>
        <w:tc>
          <w:tcPr>
            <w:tcW w:type="dxa" w:w="4546"/>
          </w:tcPr>
          <w:p>
            <w:pPr>
              <w:spacing w:after="20" w:before="20" w:line="240" w:lineRule="auto"/>
              <w:jc w:val="left"/>
            </w:pPr>
            <w:r/>
            <w:r>
              <w:rPr>
                <w:sz w:val="20"/>
              </w:rPr>
              <w:t>Une fraude est une rupture d'habitude ; des variables agrégées par client et des variables périodiques pour l'heure améliorent la détection de fraude par carte</w:t>
            </w:r>
          </w:p>
        </w:tc>
        <w:tc>
          <w:tcPr>
            <w:tcW w:type="dxa" w:w="2544"/>
          </w:tcPr>
          <w:p>
            <w:pPr>
              <w:spacing w:after="20" w:before="20" w:line="240" w:lineRule="auto"/>
              <w:jc w:val="left"/>
            </w:pPr>
            <w:r/>
            <w:r>
              <w:rPr>
                <w:sz w:val="20"/>
              </w:rPr>
              <w:t>Bahnsen et al. (2016)</w:t>
            </w:r>
          </w:p>
        </w:tc>
      </w:tr>
      <w:tr>
        <w:trPr>
          <w:cantSplit w:val="true"/>
        </w:trPr>
        <w:tc>
          <w:tcPr>
            <w:tcW w:type="dxa" w:w="2298"/>
          </w:tcPr>
          <w:p>
            <w:pPr>
              <w:spacing w:after="20" w:before="20" w:line="240" w:lineRule="auto"/>
              <w:jc w:val="left"/>
            </w:pPr>
            <w:r/>
            <w:r>
              <w:rPr>
                <w:sz w:val="20"/>
              </w:rPr>
              <w:t>Découpage chronologique</w:t>
            </w:r>
          </w:p>
        </w:tc>
        <w:tc>
          <w:tcPr>
            <w:tcW w:type="dxa" w:w="4546"/>
          </w:tcPr>
          <w:p>
            <w:pPr>
              <w:spacing w:after="20" w:before="20" w:line="240" w:lineRule="auto"/>
              <w:jc w:val="left"/>
            </w:pPr>
            <w:r/>
            <w:r>
              <w:rPr>
                <w:sz w:val="20"/>
              </w:rPr>
              <w:t>Le comportement évolue : l'évaluation doit apprendre sur le passé et tester sur l'avenir, comme en production</w:t>
            </w:r>
          </w:p>
        </w:tc>
        <w:tc>
          <w:tcPr>
            <w:tcW w:type="dxa" w:w="2544"/>
          </w:tcPr>
          <w:p>
            <w:pPr>
              <w:spacing w:after="20" w:before="20" w:line="240" w:lineRule="auto"/>
              <w:jc w:val="left"/>
            </w:pPr>
            <w:r/>
            <w:r>
              <w:rPr>
                <w:sz w:val="20"/>
              </w:rPr>
              <w:t>Dal Pozzolo et al. (2014)</w:t>
            </w:r>
          </w:p>
        </w:tc>
      </w:tr>
      <w:tr>
        <w:trPr>
          <w:cantSplit w:val="true"/>
        </w:trPr>
        <w:tc>
          <w:tcPr>
            <w:tcW w:type="dxa" w:w="2298"/>
          </w:tcPr>
          <w:p>
            <w:pPr>
              <w:spacing w:after="20" w:before="20" w:line="240" w:lineRule="auto"/>
              <w:jc w:val="left"/>
            </w:pPr>
            <w:r/>
            <w:r>
              <w:rPr>
                <w:sz w:val="20"/>
              </w:rPr>
              <w:t>Décision selon le coût attendu</w:t>
            </w:r>
          </w:p>
        </w:tc>
        <w:tc>
          <w:tcPr>
            <w:tcW w:type="dxa" w:w="4546"/>
          </w:tcPr>
          <w:p>
            <w:pPr>
              <w:spacing w:after="20" w:before="20" w:line="240" w:lineRule="auto"/>
              <w:jc w:val="left"/>
            </w:pPr>
            <w:r/>
            <w:r>
              <w:rPr>
                <w:sz w:val="20"/>
              </w:rPr>
              <w:t>Les erreurs n'ont pas le même coût ; l'action doit minimiser la perte attendue, avec un montant en jeu</w:t>
            </w:r>
          </w:p>
        </w:tc>
        <w:tc>
          <w:tcPr>
            <w:tcW w:type="dxa" w:w="2544"/>
          </w:tcPr>
          <w:p>
            <w:pPr>
              <w:spacing w:after="20" w:before="20" w:line="240" w:lineRule="auto"/>
              <w:jc w:val="left"/>
            </w:pPr>
            <w:r/>
            <w:r>
              <w:rPr>
                <w:sz w:val="20"/>
              </w:rPr>
              <w:t>Elkan (2001)</w:t>
            </w:r>
          </w:p>
        </w:tc>
      </w:tr>
      <w:tr>
        <w:trPr>
          <w:cantSplit w:val="true"/>
        </w:trPr>
        <w:tc>
          <w:tcPr>
            <w:tcW w:type="dxa" w:w="2298"/>
          </w:tcPr>
          <w:p>
            <w:pPr>
              <w:spacing w:after="20" w:before="20" w:line="240" w:lineRule="auto"/>
              <w:jc w:val="left"/>
            </w:pPr>
            <w:r/>
            <w:r>
              <w:rPr>
                <w:sz w:val="20"/>
              </w:rPr>
              <w:t>Lois physiques</w:t>
            </w:r>
          </w:p>
        </w:tc>
        <w:tc>
          <w:tcPr>
            <w:tcW w:type="dxa" w:w="4546"/>
          </w:tcPr>
          <w:p>
            <w:pPr>
              <w:spacing w:after="20" w:before="20" w:line="240" w:lineRule="auto"/>
              <w:jc w:val="left"/>
            </w:pPr>
            <w:r/>
            <w:r>
              <w:rPr>
                <w:sz w:val="20"/>
              </w:rPr>
              <w:t>Contraintes valables même pour une fraude inédite, indépendantes de l'apprentissage</w:t>
            </w:r>
          </w:p>
        </w:tc>
        <w:tc>
          <w:tcPr>
            <w:tcW w:type="dxa" w:w="2544"/>
          </w:tcPr>
          <w:p>
            <w:pPr>
              <w:spacing w:after="20" w:before="20" w:line="240" w:lineRule="auto"/>
              <w:jc w:val="left"/>
            </w:pPr>
            <w:r/>
            <w:r>
              <w:rPr>
                <w:sz w:val="20"/>
              </w:rPr>
              <w:t>Connaissance du domaine</w:t>
            </w:r>
          </w:p>
        </w:tc>
      </w:tr>
      <w:tr>
        <w:trPr>
          <w:cantSplit w:val="true"/>
        </w:trPr>
        <w:tc>
          <w:tcPr>
            <w:tcW w:type="dxa" w:w="2298"/>
          </w:tcPr>
          <w:p>
            <w:pPr>
              <w:spacing w:after="20" w:before="20" w:line="240" w:lineRule="auto"/>
              <w:jc w:val="left"/>
            </w:pPr>
            <w:r/>
            <w:r>
              <w:rPr>
                <w:sz w:val="20"/>
              </w:rPr>
              <w:t>PR-AUC comme métrique principale</w:t>
            </w:r>
          </w:p>
        </w:tc>
        <w:tc>
          <w:tcPr>
            <w:tcW w:type="dxa" w:w="4546"/>
          </w:tcPr>
          <w:p>
            <w:pPr>
              <w:spacing w:after="20" w:before="20" w:line="240" w:lineRule="auto"/>
              <w:jc w:val="left"/>
            </w:pPr>
            <w:r/>
            <w:r>
              <w:rPr>
                <w:sz w:val="20"/>
              </w:rPr>
              <w:t>Sur classes très déséquilibrées, la courbe précision-rappel est plus informative que la courbe ROC</w:t>
            </w:r>
          </w:p>
        </w:tc>
        <w:tc>
          <w:tcPr>
            <w:tcW w:type="dxa" w:w="2544"/>
          </w:tcPr>
          <w:p>
            <w:pPr>
              <w:spacing w:after="20" w:before="20" w:line="240" w:lineRule="auto"/>
              <w:jc w:val="left"/>
            </w:pPr>
            <w:r/>
            <w:r>
              <w:rPr>
                <w:sz w:val="20"/>
              </w:rPr>
              <w:t>Davis et Goadrich (2006) ; Saito et Rehmsmeier (2015)</w:t>
            </w:r>
          </w:p>
        </w:tc>
      </w:tr>
      <w:tr>
        <w:trPr>
          <w:cantSplit w:val="true"/>
        </w:trPr>
        <w:tc>
          <w:tcPr>
            <w:tcW w:type="dxa" w:w="2298"/>
          </w:tcPr>
          <w:p>
            <w:pPr>
              <w:spacing w:after="20" w:before="20" w:line="240" w:lineRule="auto"/>
              <w:jc w:val="left"/>
            </w:pPr>
            <w:r/>
            <w:r>
              <w:rPr>
                <w:sz w:val="20"/>
              </w:rPr>
              <w:t>Analyse de réseau</w:t>
            </w:r>
          </w:p>
        </w:tc>
        <w:tc>
          <w:tcPr>
            <w:tcW w:type="dxa" w:w="4546"/>
          </w:tcPr>
          <w:p>
            <w:pPr>
              <w:spacing w:after="20" w:before="20" w:line="240" w:lineRule="auto"/>
              <w:jc w:val="left"/>
            </w:pPr>
            <w:r/>
            <w:r>
              <w:rPr>
                <w:sz w:val="20"/>
              </w:rPr>
              <w:t>Les mules et les appareils réutilisés ne se voient qu'en reliant les comptes</w:t>
            </w:r>
          </w:p>
        </w:tc>
        <w:tc>
          <w:tcPr>
            <w:tcW w:type="dxa" w:w="2544"/>
          </w:tcPr>
          <w:p>
            <w:pPr>
              <w:spacing w:after="20" w:before="20" w:line="240" w:lineRule="auto"/>
              <w:jc w:val="left"/>
            </w:pPr>
            <w:r/>
            <w:r>
              <w:rPr>
                <w:sz w:val="20"/>
              </w:rPr>
              <w:t>Akoglu et al. (2015)</w:t>
            </w:r>
          </w:p>
        </w:tc>
      </w:tr>
      <w:tr>
        <w:trPr>
          <w:cantSplit w:val="true"/>
        </w:trPr>
        <w:tc>
          <w:tcPr>
            <w:tcW w:type="dxa" w:w="2298"/>
          </w:tcPr>
          <w:p>
            <w:pPr>
              <w:spacing w:after="20" w:before="20" w:line="240" w:lineRule="auto"/>
              <w:jc w:val="left"/>
            </w:pPr>
            <w:r/>
            <w:r>
              <w:rPr>
                <w:sz w:val="20"/>
              </w:rPr>
              <w:t>Explication sans modèle de langage externe</w:t>
            </w:r>
          </w:p>
        </w:tc>
        <w:tc>
          <w:tcPr>
            <w:tcW w:type="dxa" w:w="4546"/>
          </w:tcPr>
          <w:p>
            <w:pPr>
              <w:spacing w:after="20" w:before="20" w:line="240" w:lineRule="auto"/>
              <w:jc w:val="left"/>
            </w:pPr>
            <w:r/>
            <w:r>
              <w:rPr>
                <w:sz w:val="20"/>
              </w:rPr>
              <w:t>Confidentialité, absence de dépendance en ligne, aucune invention de texte</w:t>
            </w:r>
          </w:p>
        </w:tc>
        <w:tc>
          <w:tcPr>
            <w:tcW w:type="dxa" w:w="2544"/>
          </w:tcPr>
          <w:p>
            <w:pPr>
              <w:spacing w:after="20" w:before="20" w:line="240" w:lineRule="auto"/>
              <w:jc w:val="left"/>
            </w:pPr>
            <w:r/>
            <w:r>
              <w:rPr>
                <w:sz w:val="20"/>
              </w:rPr>
              <w:t>Contraintes BT-23</w:t>
            </w:r>
          </w:p>
        </w:tc>
      </w:tr>
    </w:tbl>
    <w:p>
      <w:pPr>
        <w:spacing w:after="120"/>
      </w:pPr>
    </w:p>
    <w:p>
      <w:pPr>
        <w:spacing w:before="0" w:after="120" w:line="360" w:lineRule="auto"/>
        <w:jc w:val="both"/>
      </w:pPr>
      <w:r>
        <w:rPr>
          <w:sz w:val="24"/>
        </w:rPr>
        <w:t>Deux points méritent d'être précisés. Pour compenser le déséquilibre, une partie des opérations légitimes est sous-échantillonnée à l'apprentissage du LSTM. Or le sous-échantillonnage modifie les probabilités a priori et fausse les probabilités prédites, sans changer le classement des opérations (Dal Pozzolo et al., 2015). Le travail en tient compte : la décision repose sur un seuil, et la calibration est mesurée au chapitre III. Par ailleurs, l'avantage des arbres sur les réseaux de neurones est établi surtout sur des jeux de taille moyenne ; il n'est pas garanti sur des jeux plus grands ou plus structurés par une séquence. C'est précisément la raison d'évaluer un modèle séquentiel et un modèle hybride plutôt que de les écarter par principe.</w:t>
      </w:r>
    </w:p>
    <w:p>
      <w:pPr>
        <w:pStyle w:val="Titre3"/>
        <w:keepNext/>
        <w:numPr>
          <w:numId w:val="0"/>
        </w:numPr>
        <w:spacing w:before="280" w:after="120"/>
        <w:ind w:left="0" w:firstLine="0"/>
        <w:jc w:val="left"/>
      </w:pPr>
      <w:r>
        <w:rPr>
          <w:b/>
          <w:color w:val="1F2A44"/>
          <w:sz w:val="28"/>
        </w:rPr>
        <w:t>3. Paramètres et configuration</w:t>
      </w:r>
    </w:p>
    <w:p>
      <w:pPr>
        <w:spacing w:before="0" w:after="120" w:line="360" w:lineRule="auto"/>
        <w:jc w:val="both"/>
      </w:pPr>
      <w:r>
        <w:rPr>
          <w:sz w:val="24"/>
        </w:rPr>
        <w:t>Tous les paramètres sont fixés par défaut dans le code et surchargeables sans modification, par variables d'environnement. Les graines aléatoires sont figées à 42 pour la reproductibilité.</w:t>
      </w:r>
    </w:p>
    <w:p>
      <w:pPr>
        <w:pStyle w:val="Légendetableau"/>
        <w:keepNext/>
        <w:spacing w:before="200" w:after="80"/>
        <w:jc w:val="center"/>
      </w:pPr>
      <w:r>
        <w:rPr>
          <w:b/>
          <w:sz w:val="20"/>
        </w:rPr>
        <w:t>Tableau II.28 — Hyperparamètres des modèles.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2539"/>
        <w:gridCol w:w="3085"/>
        <w:gridCol w:w="3764"/>
      </w:tblGrid>
      <w:tr>
        <w:trPr>
          <w:tblHeader w:val="true"/>
        </w:trPr>
        <w:tc>
          <w:tcPr>
            <w:tcW w:type="dxa" w:w="2539"/>
            <w:shd w:val="clear" w:color="auto" w:fill="D9E2F3"/>
          </w:tcPr>
          <w:p>
            <w:pPr>
              <w:spacing w:after="20" w:before="20" w:line="240" w:lineRule="auto"/>
              <w:jc w:val="left"/>
            </w:pPr>
            <w:r/>
            <w:r>
              <w:rPr>
                <w:b/>
                <w:sz w:val="20"/>
              </w:rPr>
              <w:t>Modèle</w:t>
            </w:r>
          </w:p>
        </w:tc>
        <w:tc>
          <w:tcPr>
            <w:tcW w:type="dxa" w:w="3085"/>
            <w:shd w:val="clear" w:color="auto" w:fill="D9E2F3"/>
          </w:tcPr>
          <w:p>
            <w:pPr>
              <w:spacing w:after="20" w:before="20" w:line="240" w:lineRule="auto"/>
              <w:jc w:val="left"/>
            </w:pPr>
            <w:r/>
            <w:r>
              <w:rPr>
                <w:b/>
                <w:sz w:val="20"/>
              </w:rPr>
              <w:t>Paramètre</w:t>
            </w:r>
          </w:p>
        </w:tc>
        <w:tc>
          <w:tcPr>
            <w:tcW w:type="dxa" w:w="3764"/>
            <w:shd w:val="clear" w:color="auto" w:fill="D9E2F3"/>
          </w:tcPr>
          <w:p>
            <w:pPr>
              <w:spacing w:after="20" w:before="20" w:line="240" w:lineRule="auto"/>
              <w:jc w:val="left"/>
            </w:pPr>
            <w:r/>
            <w:r>
              <w:rPr>
                <w:b/>
                <w:sz w:val="20"/>
              </w:rPr>
              <w:t>Valeur</w:t>
            </w:r>
          </w:p>
        </w:tc>
      </w:tr>
      <w:tr>
        <w:trPr>
          <w:cantSplit w:val="true"/>
        </w:trPr>
        <w:tc>
          <w:tcPr>
            <w:tcW w:type="dxa" w:w="2539"/>
          </w:tcPr>
          <w:p>
            <w:pPr>
              <w:spacing w:after="20" w:before="20" w:line="240" w:lineRule="auto"/>
              <w:jc w:val="left"/>
            </w:pPr>
            <w:r/>
            <w:r>
              <w:rPr>
                <w:sz w:val="20"/>
              </w:rPr>
              <w:t>XGBoost</w:t>
            </w:r>
          </w:p>
        </w:tc>
        <w:tc>
          <w:tcPr>
            <w:tcW w:type="dxa" w:w="3085"/>
          </w:tcPr>
          <w:p>
            <w:pPr>
              <w:spacing w:after="20" w:before="20" w:line="240" w:lineRule="auto"/>
              <w:jc w:val="left"/>
            </w:pPr>
            <w:r/>
            <w:r>
              <w:rPr>
                <w:sz w:val="20"/>
              </w:rPr>
              <w:t>nombre d'arbres (maximum)</w:t>
            </w:r>
          </w:p>
        </w:tc>
        <w:tc>
          <w:tcPr>
            <w:tcW w:type="dxa" w:w="3764"/>
          </w:tcPr>
          <w:p>
            <w:pPr>
              <w:spacing w:after="20" w:before="20" w:line="240" w:lineRule="auto"/>
              <w:jc w:val="left"/>
            </w:pPr>
            <w:r/>
            <w:r>
              <w:rPr>
                <w:sz w:val="20"/>
              </w:rPr>
              <w:t>600, avec arrêt précoce après 50 itérations sans gain de PR-AUC</w:t>
            </w:r>
          </w:p>
        </w:tc>
      </w:tr>
      <w:tr>
        <w:trPr>
          <w:cantSplit w:val="true"/>
        </w:trPr>
        <w:tc>
          <w:tcPr>
            <w:tcW w:type="dxa" w:w="2539"/>
          </w:tcPr>
          <w:p>
            <w:pPr>
              <w:spacing w:after="20" w:before="20" w:line="240" w:lineRule="auto"/>
              <w:jc w:val="left"/>
            </w:pPr>
            <w:r/>
          </w:p>
        </w:tc>
        <w:tc>
          <w:tcPr>
            <w:tcW w:type="dxa" w:w="3085"/>
          </w:tcPr>
          <w:p>
            <w:pPr>
              <w:spacing w:after="20" w:before="20" w:line="240" w:lineRule="auto"/>
              <w:jc w:val="left"/>
            </w:pPr>
            <w:r/>
            <w:r>
              <w:rPr>
                <w:sz w:val="20"/>
              </w:rPr>
              <w:t>profondeur maximale</w:t>
            </w:r>
          </w:p>
        </w:tc>
        <w:tc>
          <w:tcPr>
            <w:tcW w:type="dxa" w:w="3764"/>
          </w:tcPr>
          <w:p>
            <w:pPr>
              <w:spacing w:after="20" w:before="20" w:line="240" w:lineRule="auto"/>
              <w:jc w:val="left"/>
            </w:pPr>
            <w:r/>
            <w:r>
              <w:rPr>
                <w:sz w:val="20"/>
              </w:rPr>
              <w:t>6</w:t>
            </w:r>
          </w:p>
        </w:tc>
      </w:tr>
      <w:tr>
        <w:trPr>
          <w:cantSplit w:val="true"/>
        </w:trPr>
        <w:tc>
          <w:tcPr>
            <w:tcW w:type="dxa" w:w="2539"/>
          </w:tcPr>
          <w:p>
            <w:pPr>
              <w:spacing w:after="20" w:before="20" w:line="240" w:lineRule="auto"/>
              <w:jc w:val="left"/>
            </w:pPr>
            <w:r/>
          </w:p>
        </w:tc>
        <w:tc>
          <w:tcPr>
            <w:tcW w:type="dxa" w:w="3085"/>
          </w:tcPr>
          <w:p>
            <w:pPr>
              <w:spacing w:after="20" w:before="20" w:line="240" w:lineRule="auto"/>
              <w:jc w:val="left"/>
            </w:pPr>
            <w:r/>
            <w:r>
              <w:rPr>
                <w:sz w:val="20"/>
              </w:rPr>
              <w:t>taux d'apprentissage</w:t>
            </w:r>
          </w:p>
        </w:tc>
        <w:tc>
          <w:tcPr>
            <w:tcW w:type="dxa" w:w="3764"/>
          </w:tcPr>
          <w:p>
            <w:pPr>
              <w:spacing w:after="20" w:before="20" w:line="240" w:lineRule="auto"/>
              <w:jc w:val="left"/>
            </w:pPr>
            <w:r/>
            <w:r>
              <w:rPr>
                <w:sz w:val="20"/>
              </w:rPr>
              <w:t>0,05</w:t>
            </w:r>
          </w:p>
        </w:tc>
      </w:tr>
      <w:tr>
        <w:trPr>
          <w:cantSplit w:val="true"/>
        </w:trPr>
        <w:tc>
          <w:tcPr>
            <w:tcW w:type="dxa" w:w="2539"/>
          </w:tcPr>
          <w:p>
            <w:pPr>
              <w:spacing w:after="20" w:before="20" w:line="240" w:lineRule="auto"/>
              <w:jc w:val="left"/>
            </w:pPr>
            <w:r/>
          </w:p>
        </w:tc>
        <w:tc>
          <w:tcPr>
            <w:tcW w:type="dxa" w:w="3085"/>
          </w:tcPr>
          <w:p>
            <w:pPr>
              <w:spacing w:after="20" w:before="20" w:line="240" w:lineRule="auto"/>
              <w:jc w:val="left"/>
            </w:pPr>
            <w:r/>
            <w:r>
              <w:rPr>
                <w:sz w:val="20"/>
              </w:rPr>
              <w:t>échantillonnage des lignes et des colonnes</w:t>
            </w:r>
          </w:p>
        </w:tc>
        <w:tc>
          <w:tcPr>
            <w:tcW w:type="dxa" w:w="3764"/>
          </w:tcPr>
          <w:p>
            <w:pPr>
              <w:spacing w:after="20" w:before="20" w:line="240" w:lineRule="auto"/>
              <w:jc w:val="left"/>
            </w:pPr>
            <w:r/>
            <w:r>
              <w:rPr>
                <w:sz w:val="20"/>
              </w:rPr>
              <w:t>0,8 et 0,8</w:t>
            </w:r>
          </w:p>
        </w:tc>
      </w:tr>
      <w:tr>
        <w:trPr>
          <w:cantSplit w:val="true"/>
        </w:trPr>
        <w:tc>
          <w:tcPr>
            <w:tcW w:type="dxa" w:w="2539"/>
          </w:tcPr>
          <w:p>
            <w:pPr>
              <w:spacing w:after="20" w:before="20" w:line="240" w:lineRule="auto"/>
              <w:jc w:val="left"/>
            </w:pPr>
            <w:r/>
          </w:p>
        </w:tc>
        <w:tc>
          <w:tcPr>
            <w:tcW w:type="dxa" w:w="3085"/>
          </w:tcPr>
          <w:p>
            <w:pPr>
              <w:spacing w:after="20" w:before="20" w:line="240" w:lineRule="auto"/>
              <w:jc w:val="left"/>
            </w:pPr>
            <w:r/>
            <w:r>
              <w:rPr>
                <w:sz w:val="20"/>
              </w:rPr>
              <w:t>poids minimal d'une feuille</w:t>
            </w:r>
          </w:p>
        </w:tc>
        <w:tc>
          <w:tcPr>
            <w:tcW w:type="dxa" w:w="3764"/>
          </w:tcPr>
          <w:p>
            <w:pPr>
              <w:spacing w:after="20" w:before="20" w:line="240" w:lineRule="auto"/>
              <w:jc w:val="left"/>
            </w:pPr>
            <w:r/>
            <w:r>
              <w:rPr>
                <w:sz w:val="20"/>
              </w:rPr>
              <w:t>3</w:t>
            </w:r>
          </w:p>
        </w:tc>
      </w:tr>
      <w:tr>
        <w:trPr>
          <w:cantSplit w:val="true"/>
        </w:trPr>
        <w:tc>
          <w:tcPr>
            <w:tcW w:type="dxa" w:w="2539"/>
          </w:tcPr>
          <w:p>
            <w:pPr>
              <w:spacing w:after="20" w:before="20" w:line="240" w:lineRule="auto"/>
              <w:jc w:val="left"/>
            </w:pPr>
            <w:r/>
          </w:p>
        </w:tc>
        <w:tc>
          <w:tcPr>
            <w:tcW w:type="dxa" w:w="3085"/>
          </w:tcPr>
          <w:p>
            <w:pPr>
              <w:spacing w:after="20" w:before="20" w:line="240" w:lineRule="auto"/>
              <w:jc w:val="left"/>
            </w:pPr>
            <w:r/>
            <w:r>
              <w:rPr>
                <w:sz w:val="20"/>
              </w:rPr>
              <w:t>poids des fraudes</w:t>
            </w:r>
          </w:p>
        </w:tc>
        <w:tc>
          <w:tcPr>
            <w:tcW w:type="dxa" w:w="3764"/>
          </w:tcPr>
          <w:p>
            <w:pPr>
              <w:spacing w:after="20" w:before="20" w:line="240" w:lineRule="auto"/>
              <w:jc w:val="left"/>
            </w:pPr>
            <w:r/>
            <m:oMath>
              <m:f>
                <m:fPr>
                  <m:type m:val="lin"/>
                </m:fPr>
                <m:num>
                  <m:sSup>
                    <m:e>
                      <m:r>
                        <m:t>N</m:t>
                      </m:r>
                    </m:e>
                    <m:sup>
                      <m:r>
                        <m:t>−</m:t>
                      </m:r>
                    </m:sup>
                  </m:sSup>
                </m:num>
                <m:den>
                  <m:sSup>
                    <m:e>
                      <m:r>
                        <m:t>N</m:t>
                      </m:r>
                    </m:e>
                    <m:sup>
                      <m:r>
                        <m:t>+</m:t>
                      </m:r>
                    </m:sup>
                  </m:sSup>
                </m:den>
              </m:f>
            </m:oMath>
            <w:r>
              <w:rPr>
                <w:sz w:val="20"/>
              </w:rPr>
              <w:t xml:space="preserve"> (≈ 74)</w:t>
            </w:r>
          </w:p>
        </w:tc>
      </w:tr>
      <w:tr>
        <w:trPr>
          <w:cantSplit w:val="true"/>
        </w:trPr>
        <w:tc>
          <w:tcPr>
            <w:tcW w:type="dxa" w:w="2539"/>
          </w:tcPr>
          <w:p>
            <w:pPr>
              <w:spacing w:after="20" w:before="20" w:line="240" w:lineRule="auto"/>
              <w:jc w:val="left"/>
            </w:pPr>
            <w:r/>
            <w:r>
              <w:rPr>
                <w:sz w:val="20"/>
              </w:rPr>
              <w:t>LSTM avec attention</w:t>
            </w:r>
          </w:p>
        </w:tc>
        <w:tc>
          <w:tcPr>
            <w:tcW w:type="dxa" w:w="3085"/>
          </w:tcPr>
          <w:p>
            <w:pPr>
              <w:spacing w:after="20" w:before="20" w:line="240" w:lineRule="auto"/>
              <w:jc w:val="left"/>
            </w:pPr>
            <w:r/>
            <w:r>
              <w:rPr>
                <w:sz w:val="20"/>
              </w:rPr>
              <w:t>entrée, couches cachées</w:t>
            </w:r>
          </w:p>
        </w:tc>
        <w:tc>
          <w:tcPr>
            <w:tcW w:type="dxa" w:w="3764"/>
          </w:tcPr>
          <w:p>
            <w:pPr>
              <w:spacing w:after="20" w:before="20" w:line="240" w:lineRule="auto"/>
              <w:jc w:val="left"/>
            </w:pPr>
            <w:r/>
            <w:r>
              <w:rPr>
                <w:sz w:val="20"/>
              </w:rPr>
              <w:t>58 variables, 2 couches de 64 neurones</w:t>
            </w:r>
          </w:p>
        </w:tc>
      </w:tr>
      <w:tr>
        <w:trPr>
          <w:cantSplit w:val="true"/>
        </w:trPr>
        <w:tc>
          <w:tcPr>
            <w:tcW w:type="dxa" w:w="2539"/>
          </w:tcPr>
          <w:p>
            <w:pPr>
              <w:spacing w:after="20" w:before="20" w:line="240" w:lineRule="auto"/>
              <w:jc w:val="left"/>
            </w:pPr>
            <w:r/>
          </w:p>
        </w:tc>
        <w:tc>
          <w:tcPr>
            <w:tcW w:type="dxa" w:w="3085"/>
          </w:tcPr>
          <w:p>
            <w:pPr>
              <w:spacing w:after="20" w:before="20" w:line="240" w:lineRule="auto"/>
              <w:jc w:val="left"/>
            </w:pPr>
            <w:r/>
            <w:r>
              <w:rPr>
                <w:sz w:val="20"/>
              </w:rPr>
              <w:t>séquence</w:t>
            </w:r>
          </w:p>
        </w:tc>
        <w:tc>
          <w:tcPr>
            <w:tcW w:type="dxa" w:w="3764"/>
          </w:tcPr>
          <w:p>
            <w:pPr>
              <w:spacing w:after="20" w:before="20" w:line="240" w:lineRule="auto"/>
              <w:jc w:val="left"/>
            </w:pPr>
            <w:r/>
            <w:r>
              <w:rPr>
                <w:sz w:val="20"/>
              </w:rPr>
              <w:t>10 dernières opérations du client</w:t>
            </w:r>
          </w:p>
        </w:tc>
      </w:tr>
      <w:tr>
        <w:trPr>
          <w:cantSplit w:val="true"/>
        </w:trPr>
        <w:tc>
          <w:tcPr>
            <w:tcW w:type="dxa" w:w="2539"/>
          </w:tcPr>
          <w:p>
            <w:pPr>
              <w:spacing w:after="20" w:before="20" w:line="240" w:lineRule="auto"/>
              <w:jc w:val="left"/>
            </w:pPr>
            <w:r/>
          </w:p>
        </w:tc>
        <w:tc>
          <w:tcPr>
            <w:tcW w:type="dxa" w:w="3085"/>
          </w:tcPr>
          <w:p>
            <w:pPr>
              <w:spacing w:after="20" w:before="20" w:line="240" w:lineRule="auto"/>
              <w:jc w:val="left"/>
            </w:pPr>
            <w:r/>
            <w:r>
              <w:rPr>
                <w:i/>
                <w:sz w:val="20"/>
              </w:rPr>
              <w:t>dropout</w:t>
            </w:r>
          </w:p>
        </w:tc>
        <w:tc>
          <w:tcPr>
            <w:tcW w:type="dxa" w:w="3764"/>
          </w:tcPr>
          <w:p>
            <w:pPr>
              <w:spacing w:after="20" w:before="20" w:line="240" w:lineRule="auto"/>
              <w:jc w:val="left"/>
            </w:pPr>
            <w:r/>
            <w:r>
              <w:rPr>
                <w:sz w:val="20"/>
              </w:rPr>
              <w:t>0,2</w:t>
            </w:r>
          </w:p>
        </w:tc>
      </w:tr>
      <w:tr>
        <w:trPr>
          <w:cantSplit w:val="true"/>
        </w:trPr>
        <w:tc>
          <w:tcPr>
            <w:tcW w:type="dxa" w:w="2539"/>
          </w:tcPr>
          <w:p>
            <w:pPr>
              <w:spacing w:after="20" w:before="20" w:line="240" w:lineRule="auto"/>
              <w:jc w:val="left"/>
            </w:pPr>
            <w:r/>
          </w:p>
        </w:tc>
        <w:tc>
          <w:tcPr>
            <w:tcW w:type="dxa" w:w="3085"/>
          </w:tcPr>
          <w:p>
            <w:pPr>
              <w:spacing w:after="20" w:before="20" w:line="240" w:lineRule="auto"/>
              <w:jc w:val="left"/>
            </w:pPr>
            <w:r/>
            <w:r>
              <w:rPr>
                <w:sz w:val="20"/>
              </w:rPr>
              <w:t>optimiseur</w:t>
            </w:r>
          </w:p>
        </w:tc>
        <w:tc>
          <w:tcPr>
            <w:tcW w:type="dxa" w:w="3764"/>
          </w:tcPr>
          <w:p>
            <w:pPr>
              <w:spacing w:after="20" w:before="20" w:line="240" w:lineRule="auto"/>
              <w:jc w:val="left"/>
            </w:pPr>
            <w:r/>
            <w:r>
              <w:rPr>
                <w:sz w:val="20"/>
              </w:rPr>
              <w:t>AdamW, taux 0,001, régularisation L2 de 0,01</w:t>
            </w:r>
          </w:p>
        </w:tc>
      </w:tr>
      <w:tr>
        <w:trPr>
          <w:cantSplit w:val="true"/>
        </w:trPr>
        <w:tc>
          <w:tcPr>
            <w:tcW w:type="dxa" w:w="2539"/>
          </w:tcPr>
          <w:p>
            <w:pPr>
              <w:spacing w:after="20" w:before="20" w:line="240" w:lineRule="auto"/>
              <w:jc w:val="left"/>
            </w:pPr>
            <w:r/>
          </w:p>
        </w:tc>
        <w:tc>
          <w:tcPr>
            <w:tcW w:type="dxa" w:w="3085"/>
          </w:tcPr>
          <w:p>
            <w:pPr>
              <w:spacing w:after="20" w:before="20" w:line="240" w:lineRule="auto"/>
              <w:jc w:val="left"/>
            </w:pPr>
            <w:r/>
            <w:r>
              <w:rPr>
                <w:sz w:val="20"/>
              </w:rPr>
              <w:t>lot, époques, patience</w:t>
            </w:r>
          </w:p>
        </w:tc>
        <w:tc>
          <w:tcPr>
            <w:tcW w:type="dxa" w:w="3764"/>
          </w:tcPr>
          <w:p>
            <w:pPr>
              <w:spacing w:after="20" w:before="20" w:line="240" w:lineRule="auto"/>
              <w:jc w:val="left"/>
            </w:pPr>
            <w:r/>
            <w:r>
              <w:rPr>
                <w:sz w:val="20"/>
              </w:rPr>
              <w:t>512, 8 au maximum, 2</w:t>
            </w:r>
          </w:p>
        </w:tc>
      </w:tr>
      <w:tr>
        <w:trPr>
          <w:cantSplit w:val="true"/>
        </w:trPr>
        <w:tc>
          <w:tcPr>
            <w:tcW w:type="dxa" w:w="2539"/>
          </w:tcPr>
          <w:p>
            <w:pPr>
              <w:spacing w:after="20" w:before="20" w:line="240" w:lineRule="auto"/>
              <w:jc w:val="left"/>
            </w:pPr>
            <w:r/>
          </w:p>
        </w:tc>
        <w:tc>
          <w:tcPr>
            <w:tcW w:type="dxa" w:w="3085"/>
          </w:tcPr>
          <w:p>
            <w:pPr>
              <w:spacing w:after="20" w:before="20" w:line="240" w:lineRule="auto"/>
              <w:jc w:val="left"/>
            </w:pPr>
            <w:r/>
            <w:r>
              <w:rPr>
                <w:sz w:val="20"/>
              </w:rPr>
              <w:t>opérations légitimes conservées par époque</w:t>
            </w:r>
          </w:p>
        </w:tc>
        <w:tc>
          <w:tcPr>
            <w:tcW w:type="dxa" w:w="3764"/>
          </w:tcPr>
          <w:p>
            <w:pPr>
              <w:spacing w:after="20" w:before="20" w:line="240" w:lineRule="auto"/>
              <w:jc w:val="left"/>
            </w:pPr>
            <w:r/>
            <w:r>
              <w:rPr>
                <w:sz w:val="20"/>
              </w:rPr>
              <w:t>30 %</w:t>
            </w:r>
          </w:p>
        </w:tc>
      </w:tr>
      <w:tr>
        <w:trPr>
          <w:cantSplit w:val="true"/>
        </w:trPr>
        <w:tc>
          <w:tcPr>
            <w:tcW w:type="dxa" w:w="2539"/>
          </w:tcPr>
          <w:p>
            <w:pPr>
              <w:spacing w:after="20" w:before="20" w:line="240" w:lineRule="auto"/>
              <w:jc w:val="left"/>
            </w:pPr>
            <w:r/>
            <w:r>
              <w:rPr>
                <w:sz w:val="20"/>
              </w:rPr>
              <w:t>Autoencodeur</w:t>
            </w:r>
          </w:p>
        </w:tc>
        <w:tc>
          <w:tcPr>
            <w:tcW w:type="dxa" w:w="3085"/>
          </w:tcPr>
          <w:p>
            <w:pPr>
              <w:spacing w:after="20" w:before="20" w:line="240" w:lineRule="auto"/>
              <w:jc w:val="left"/>
            </w:pPr>
            <w:r/>
            <w:r>
              <w:rPr>
                <w:sz w:val="20"/>
              </w:rPr>
              <w:t>architecture</w:t>
            </w:r>
          </w:p>
        </w:tc>
        <w:tc>
          <w:tcPr>
            <w:tcW w:type="dxa" w:w="3764"/>
          </w:tcPr>
          <w:p>
            <w:pPr>
              <w:spacing w:after="20" w:before="20" w:line="240" w:lineRule="auto"/>
              <w:jc w:val="left"/>
            </w:pPr>
            <w:r/>
            <w:r>
              <w:rPr>
                <w:sz w:val="20"/>
              </w:rPr>
              <w:t>58, 32, 16, 8, 16, 32, 58 (activation ReLU)</w:t>
            </w:r>
          </w:p>
        </w:tc>
      </w:tr>
      <w:tr>
        <w:trPr>
          <w:cantSplit w:val="true"/>
        </w:trPr>
        <w:tc>
          <w:tcPr>
            <w:tcW w:type="dxa" w:w="2539"/>
          </w:tcPr>
          <w:p>
            <w:pPr>
              <w:spacing w:after="20" w:before="20" w:line="240" w:lineRule="auto"/>
              <w:jc w:val="left"/>
            </w:pPr>
            <w:r/>
          </w:p>
        </w:tc>
        <w:tc>
          <w:tcPr>
            <w:tcW w:type="dxa" w:w="3085"/>
          </w:tcPr>
          <w:p>
            <w:pPr>
              <w:spacing w:after="20" w:before="20" w:line="240" w:lineRule="auto"/>
              <w:jc w:val="left"/>
            </w:pPr>
            <w:r/>
            <w:r>
              <w:rPr>
                <w:sz w:val="20"/>
              </w:rPr>
              <w:t>lot, taux d'apprentissage, patience</w:t>
            </w:r>
          </w:p>
        </w:tc>
        <w:tc>
          <w:tcPr>
            <w:tcW w:type="dxa" w:w="3764"/>
          </w:tcPr>
          <w:p>
            <w:pPr>
              <w:spacing w:after="20" w:before="20" w:line="240" w:lineRule="auto"/>
              <w:jc w:val="left"/>
            </w:pPr>
            <w:r/>
            <w:r>
              <w:rPr>
                <w:sz w:val="20"/>
              </w:rPr>
              <w:t>1 024, 0,001, 3 ; 30 époques au maximum</w:t>
            </w:r>
          </w:p>
        </w:tc>
      </w:tr>
      <w:tr>
        <w:trPr>
          <w:cantSplit w:val="true"/>
        </w:trPr>
        <w:tc>
          <w:tcPr>
            <w:tcW w:type="dxa" w:w="2539"/>
          </w:tcPr>
          <w:p>
            <w:pPr>
              <w:spacing w:after="20" w:before="20" w:line="240" w:lineRule="auto"/>
              <w:jc w:val="left"/>
            </w:pPr>
            <w:r/>
          </w:p>
        </w:tc>
        <w:tc>
          <w:tcPr>
            <w:tcW w:type="dxa" w:w="3085"/>
          </w:tcPr>
          <w:p>
            <w:pPr>
              <w:spacing w:after="20" w:before="20" w:line="240" w:lineRule="auto"/>
              <w:jc w:val="left"/>
            </w:pPr>
            <w:r/>
            <w:r>
              <w:rPr>
                <w:sz w:val="20"/>
              </w:rPr>
              <w:t>données d'entraînement</w:t>
            </w:r>
          </w:p>
        </w:tc>
        <w:tc>
          <w:tcPr>
            <w:tcW w:type="dxa" w:w="3764"/>
          </w:tcPr>
          <w:p>
            <w:pPr>
              <w:spacing w:after="20" w:before="20" w:line="240" w:lineRule="auto"/>
              <w:jc w:val="left"/>
            </w:pPr>
            <w:r/>
            <w:r>
              <w:rPr>
                <w:sz w:val="20"/>
              </w:rPr>
              <w:t>opérations légitimes seulement</w:t>
            </w:r>
          </w:p>
        </w:tc>
      </w:tr>
      <w:tr>
        <w:trPr>
          <w:cantSplit w:val="true"/>
        </w:trPr>
        <w:tc>
          <w:tcPr>
            <w:tcW w:type="dxa" w:w="2539"/>
          </w:tcPr>
          <w:p>
            <w:pPr>
              <w:spacing w:after="20" w:before="20" w:line="240" w:lineRule="auto"/>
              <w:jc w:val="left"/>
            </w:pPr>
            <w:r/>
            <w:r>
              <w:rPr>
                <w:sz w:val="20"/>
              </w:rPr>
              <w:t>Méta-apprenant</w:t>
            </w:r>
          </w:p>
        </w:tc>
        <w:tc>
          <w:tcPr>
            <w:tcW w:type="dxa" w:w="3085"/>
          </w:tcPr>
          <w:p>
            <w:pPr>
              <w:spacing w:after="20" w:before="20" w:line="240" w:lineRule="auto"/>
              <w:jc w:val="left"/>
            </w:pPr>
            <w:r/>
            <w:r>
              <w:rPr>
                <w:sz w:val="20"/>
              </w:rPr>
              <w:t>modèle</w:t>
            </w:r>
          </w:p>
        </w:tc>
        <w:tc>
          <w:tcPr>
            <w:tcW w:type="dxa" w:w="3764"/>
          </w:tcPr>
          <w:p>
            <w:pPr>
              <w:spacing w:after="20" w:before="20" w:line="240" w:lineRule="auto"/>
              <w:jc w:val="left"/>
            </w:pPr>
            <w:r/>
            <w:r>
              <w:rPr>
                <w:sz w:val="20"/>
              </w:rPr>
              <w:t>régression logistique (</w:t>
            </w:r>
            <m:oMath>
              <m:r>
                <m:t>C=1</m:t>
              </m:r>
            </m:oMath>
            <w:r>
              <w:rPr>
                <w:sz w:val="20"/>
              </w:rPr>
              <w:t>) sur scores standardisés</w:t>
            </w:r>
          </w:p>
        </w:tc>
      </w:tr>
      <w:tr>
        <w:trPr>
          <w:cantSplit w:val="true"/>
        </w:trPr>
        <w:tc>
          <w:tcPr>
            <w:tcW w:type="dxa" w:w="2539"/>
          </w:tcPr>
          <w:p>
            <w:pPr>
              <w:spacing w:after="20" w:before="20" w:line="240" w:lineRule="auto"/>
              <w:jc w:val="left"/>
            </w:pPr>
            <w:r/>
          </w:p>
        </w:tc>
        <w:tc>
          <w:tcPr>
            <w:tcW w:type="dxa" w:w="3085"/>
          </w:tcPr>
          <w:p>
            <w:pPr>
              <w:spacing w:after="20" w:before="20" w:line="240" w:lineRule="auto"/>
              <w:jc w:val="left"/>
            </w:pPr>
            <w:r/>
            <w:r>
              <w:rPr>
                <w:sz w:val="20"/>
              </w:rPr>
              <w:t>données d'apprentissage</w:t>
            </w:r>
          </w:p>
        </w:tc>
        <w:tc>
          <w:tcPr>
            <w:tcW w:type="dxa" w:w="3764"/>
          </w:tcPr>
          <w:p>
            <w:pPr>
              <w:spacing w:after="20" w:before="20" w:line="240" w:lineRule="auto"/>
              <w:jc w:val="left"/>
            </w:pPr>
            <w:r/>
            <w:r>
              <w:rPr>
                <w:sz w:val="20"/>
              </w:rPr>
              <w:t>validation</w:t>
            </w:r>
          </w:p>
        </w:tc>
      </w:tr>
      <w:tr>
        <w:trPr>
          <w:cantSplit w:val="true"/>
        </w:trPr>
        <w:tc>
          <w:tcPr>
            <w:tcW w:type="dxa" w:w="2539"/>
          </w:tcPr>
          <w:p>
            <w:pPr>
              <w:spacing w:after="20" w:before="20" w:line="240" w:lineRule="auto"/>
              <w:jc w:val="left"/>
            </w:pPr>
            <w:r/>
            <w:r>
              <w:rPr>
                <w:sz w:val="20"/>
              </w:rPr>
              <w:t>Seuil</w:t>
            </w:r>
          </w:p>
        </w:tc>
        <w:tc>
          <w:tcPr>
            <w:tcW w:type="dxa" w:w="3085"/>
          </w:tcPr>
          <w:p>
            <w:pPr>
              <w:spacing w:after="20" w:before="20" w:line="240" w:lineRule="auto"/>
              <w:jc w:val="left"/>
            </w:pPr>
            <w:r/>
            <m:oMath>
              <m:sSup>
                <m:e>
                  <m:r>
                    <m:t>τ</m:t>
                  </m:r>
                </m:e>
                <m:sup>
                  <m:r>
                    <m:t>*</m:t>
                  </m:r>
                </m:sup>
              </m:sSup>
            </m:oMath>
          </w:p>
        </w:tc>
        <w:tc>
          <w:tcPr>
            <w:tcW w:type="dxa" w:w="3764"/>
          </w:tcPr>
          <w:p>
            <w:pPr>
              <w:spacing w:after="20" w:before="20" w:line="240" w:lineRule="auto"/>
              <w:jc w:val="left"/>
            </w:pPr>
            <w:r/>
            <w:r>
              <w:rPr>
                <w:sz w:val="20"/>
              </w:rPr>
              <w:t>0,538 (F1 maximal sur la validation)</w:t>
            </w:r>
          </w:p>
        </w:tc>
      </w:tr>
      <w:tr>
        <w:trPr>
          <w:cantSplit w:val="true"/>
        </w:trPr>
        <w:tc>
          <w:tcPr>
            <w:tcW w:type="dxa" w:w="2539"/>
          </w:tcPr>
          <w:p>
            <w:pPr>
              <w:spacing w:after="20" w:before="20" w:line="240" w:lineRule="auto"/>
              <w:jc w:val="left"/>
            </w:pPr>
            <w:r/>
            <w:r>
              <w:rPr>
                <w:sz w:val="20"/>
              </w:rPr>
              <w:t>Régression logistique</w:t>
            </w:r>
          </w:p>
        </w:tc>
        <w:tc>
          <w:tcPr>
            <w:tcW w:type="dxa" w:w="3085"/>
          </w:tcPr>
          <w:p>
            <w:pPr>
              <w:spacing w:after="20" w:before="20" w:line="240" w:lineRule="auto"/>
              <w:jc w:val="left"/>
            </w:pPr>
            <w:r/>
            <m:oMath>
              <m:r>
                <m:t>C</m:t>
              </m:r>
            </m:oMath>
            <w:r>
              <w:rPr>
                <w:sz w:val="20"/>
              </w:rPr>
              <w:t>, classes</w:t>
            </w:r>
          </w:p>
        </w:tc>
        <w:tc>
          <w:tcPr>
            <w:tcW w:type="dxa" w:w="3764"/>
          </w:tcPr>
          <w:p>
            <w:pPr>
              <w:spacing w:after="20" w:before="20" w:line="240" w:lineRule="auto"/>
              <w:jc w:val="left"/>
            </w:pPr>
            <w:r/>
            <w:r>
              <w:rPr>
                <w:sz w:val="20"/>
              </w:rPr>
              <w:t>0,5 ; pondération équilibrée</w:t>
            </w:r>
          </w:p>
        </w:tc>
      </w:tr>
      <w:tr>
        <w:trPr>
          <w:cantSplit w:val="true"/>
        </w:trPr>
        <w:tc>
          <w:tcPr>
            <w:tcW w:type="dxa" w:w="2539"/>
          </w:tcPr>
          <w:p>
            <w:pPr>
              <w:spacing w:after="20" w:before="20" w:line="240" w:lineRule="auto"/>
              <w:jc w:val="left"/>
            </w:pPr>
            <w:r/>
            <w:r>
              <w:rPr>
                <w:sz w:val="20"/>
              </w:rPr>
              <w:t>Random Forest</w:t>
            </w:r>
          </w:p>
        </w:tc>
        <w:tc>
          <w:tcPr>
            <w:tcW w:type="dxa" w:w="3085"/>
          </w:tcPr>
          <w:p>
            <w:pPr>
              <w:spacing w:after="20" w:before="20" w:line="240" w:lineRule="auto"/>
              <w:jc w:val="left"/>
            </w:pPr>
            <w:r/>
            <w:r>
              <w:rPr>
                <w:sz w:val="20"/>
              </w:rPr>
              <w:t>arbres, feuille minimale</w:t>
            </w:r>
          </w:p>
        </w:tc>
        <w:tc>
          <w:tcPr>
            <w:tcW w:type="dxa" w:w="3764"/>
          </w:tcPr>
          <w:p>
            <w:pPr>
              <w:spacing w:after="20" w:before="20" w:line="240" w:lineRule="auto"/>
              <w:jc w:val="left"/>
            </w:pPr>
            <w:r/>
            <w:r>
              <w:rPr>
                <w:sz w:val="20"/>
              </w:rPr>
              <w:t>200 ; 5 (pondération équilibrée par échantillon)</w:t>
            </w:r>
          </w:p>
        </w:tc>
      </w:tr>
      <w:tr>
        <w:trPr>
          <w:cantSplit w:val="true"/>
        </w:trPr>
        <w:tc>
          <w:tcPr>
            <w:tcW w:type="dxa" w:w="2539"/>
          </w:tcPr>
          <w:p>
            <w:pPr>
              <w:spacing w:after="20" w:before="20" w:line="240" w:lineRule="auto"/>
              <w:jc w:val="left"/>
            </w:pPr>
            <w:r/>
            <w:r>
              <w:rPr>
                <w:sz w:val="20"/>
              </w:rPr>
              <w:t>Isolation Forest</w:t>
            </w:r>
          </w:p>
        </w:tc>
        <w:tc>
          <w:tcPr>
            <w:tcW w:type="dxa" w:w="3085"/>
          </w:tcPr>
          <w:p>
            <w:pPr>
              <w:spacing w:after="20" w:before="20" w:line="240" w:lineRule="auto"/>
              <w:jc w:val="left"/>
            </w:pPr>
            <w:r/>
            <w:r>
              <w:rPr>
                <w:sz w:val="20"/>
              </w:rPr>
              <w:t>arbres, échantillon</w:t>
            </w:r>
          </w:p>
        </w:tc>
        <w:tc>
          <w:tcPr>
            <w:tcW w:type="dxa" w:w="3764"/>
          </w:tcPr>
          <w:p>
            <w:pPr>
              <w:spacing w:after="20" w:before="20" w:line="240" w:lineRule="auto"/>
              <w:jc w:val="left"/>
            </w:pPr>
            <w:r/>
            <w:r>
              <w:rPr>
                <w:sz w:val="20"/>
              </w:rPr>
              <w:t>200 ; 4 096</w:t>
            </w:r>
          </w:p>
        </w:tc>
      </w:tr>
      <w:tr>
        <w:trPr>
          <w:cantSplit w:val="true"/>
        </w:trPr>
        <w:tc>
          <w:tcPr>
            <w:tcW w:type="dxa" w:w="2539"/>
          </w:tcPr>
          <w:p>
            <w:pPr>
              <w:spacing w:after="20" w:before="20" w:line="240" w:lineRule="auto"/>
              <w:jc w:val="left"/>
            </w:pPr>
            <w:r/>
            <w:r>
              <w:rPr>
                <w:sz w:val="20"/>
              </w:rPr>
              <w:t>Typologie (XGBoost multiclasse)</w:t>
            </w:r>
          </w:p>
        </w:tc>
        <w:tc>
          <w:tcPr>
            <w:tcW w:type="dxa" w:w="3085"/>
          </w:tcPr>
          <w:p>
            <w:pPr>
              <w:spacing w:after="20" w:before="20" w:line="240" w:lineRule="auto"/>
              <w:jc w:val="left"/>
            </w:pPr>
            <w:r/>
            <w:r>
              <w:rPr>
                <w:sz w:val="20"/>
              </w:rPr>
              <w:t>arbres, profondeur, taux</w:t>
            </w:r>
          </w:p>
        </w:tc>
        <w:tc>
          <w:tcPr>
            <w:tcW w:type="dxa" w:w="3764"/>
          </w:tcPr>
          <w:p>
            <w:pPr>
              <w:spacing w:after="20" w:before="20" w:line="240" w:lineRule="auto"/>
              <w:jc w:val="left"/>
            </w:pPr>
            <w:r/>
            <w:r>
              <w:rPr>
                <w:sz w:val="20"/>
              </w:rPr>
              <w:t>400 ; 5 ; 0,05</w:t>
            </w:r>
          </w:p>
        </w:tc>
      </w:tr>
    </w:tbl>
    <w:p>
      <w:pPr>
        <w:spacing w:after="120"/>
      </w:pPr>
    </w:p>
    <w:p>
      <w:pPr>
        <w:pStyle w:val="Légendetableau"/>
        <w:keepNext/>
        <w:spacing w:before="200" w:after="80"/>
        <w:jc w:val="center"/>
      </w:pPr>
      <w:r>
        <w:rPr>
          <w:b/>
          <w:sz w:val="20"/>
        </w:rPr>
        <w:t>Tableau II.29 — Paramètres de décision, de détection et d'apprentissage continu.</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2084"/>
        <w:gridCol w:w="4327"/>
        <w:gridCol w:w="2978"/>
      </w:tblGrid>
      <w:tr>
        <w:trPr>
          <w:tblHeader w:val="true"/>
        </w:trPr>
        <w:tc>
          <w:tcPr>
            <w:tcW w:type="dxa" w:w="2084"/>
            <w:shd w:val="clear" w:color="auto" w:fill="D9E2F3"/>
          </w:tcPr>
          <w:p>
            <w:pPr>
              <w:spacing w:after="20" w:before="20" w:line="240" w:lineRule="auto"/>
              <w:jc w:val="left"/>
            </w:pPr>
            <w:r/>
            <w:r>
              <w:rPr>
                <w:b/>
                <w:sz w:val="20"/>
              </w:rPr>
              <w:t>Composant</w:t>
            </w:r>
          </w:p>
        </w:tc>
        <w:tc>
          <w:tcPr>
            <w:tcW w:type="dxa" w:w="4327"/>
            <w:shd w:val="clear" w:color="auto" w:fill="D9E2F3"/>
          </w:tcPr>
          <w:p>
            <w:pPr>
              <w:spacing w:after="20" w:before="20" w:line="240" w:lineRule="auto"/>
              <w:jc w:val="left"/>
            </w:pPr>
            <w:r/>
            <w:r>
              <w:rPr>
                <w:b/>
                <w:sz w:val="20"/>
              </w:rPr>
              <w:t>Paramètre</w:t>
            </w:r>
          </w:p>
        </w:tc>
        <w:tc>
          <w:tcPr>
            <w:tcW w:type="dxa" w:w="2978"/>
            <w:shd w:val="clear" w:color="auto" w:fill="D9E2F3"/>
          </w:tcPr>
          <w:p>
            <w:pPr>
              <w:spacing w:after="20" w:before="20" w:line="240" w:lineRule="auto"/>
              <w:jc w:val="left"/>
            </w:pPr>
            <w:r/>
            <w:r>
              <w:rPr>
                <w:b/>
                <w:sz w:val="20"/>
              </w:rPr>
              <w:t>Valeur</w:t>
            </w:r>
          </w:p>
        </w:tc>
      </w:tr>
      <w:tr>
        <w:trPr>
          <w:cantSplit w:val="true"/>
        </w:trPr>
        <w:tc>
          <w:tcPr>
            <w:tcW w:type="dxa" w:w="2084"/>
          </w:tcPr>
          <w:p>
            <w:pPr>
              <w:spacing w:after="20" w:before="20" w:line="240" w:lineRule="auto"/>
              <w:jc w:val="left"/>
            </w:pPr>
            <w:r/>
            <w:r>
              <w:rPr>
                <w:sz w:val="20"/>
              </w:rPr>
              <w:t>Décision (Mobile Money)</w:t>
            </w:r>
          </w:p>
        </w:tc>
        <w:tc>
          <w:tcPr>
            <w:tcW w:type="dxa" w:w="4327"/>
          </w:tcPr>
          <w:p>
            <w:pPr>
              <w:spacing w:after="20" w:before="20" w:line="240" w:lineRule="auto"/>
              <w:jc w:val="left"/>
            </w:pPr>
            <w:r/>
            <m:oMath>
              <m:sSub>
                <m:e>
                  <m:r>
                    <m:t>c</m:t>
                  </m:r>
                </m:e>
                <m:sub>
                  <m:r>
                    <m:t>f</m:t>
                  </m:r>
                </m:sub>
              </m:sSub>
            </m:oMath>
            <w:r>
              <w:rPr>
                <w:sz w:val="20"/>
              </w:rPr>
              <w:t xml:space="preserve">, </w:t>
            </w:r>
            <m:oMath>
              <m:r>
                <m:t>κ</m:t>
              </m:r>
            </m:oMath>
            <w:r>
              <w:rPr>
                <w:sz w:val="20"/>
              </w:rPr>
              <w:t xml:space="preserve">, </w:t>
            </w:r>
            <m:oMath>
              <m:sSub>
                <m:e>
                  <m:r>
                    <m:t>c</m:t>
                  </m:r>
                </m:e>
                <m:sub>
                  <m:r>
                    <m:t>b</m:t>
                  </m:r>
                </m:sub>
              </m:sSub>
            </m:oMath>
            <w:r>
              <w:rPr>
                <w:sz w:val="20"/>
              </w:rPr>
              <w:t xml:space="preserve">, </w:t>
            </w:r>
            <m:oMath>
              <m:r>
                <m:t>λ</m:t>
              </m:r>
            </m:oMath>
          </w:p>
        </w:tc>
        <w:tc>
          <w:tcPr>
            <w:tcW w:type="dxa" w:w="2978"/>
          </w:tcPr>
          <w:p>
            <w:pPr>
              <w:spacing w:after="20" w:before="20" w:line="240" w:lineRule="auto"/>
              <w:jc w:val="left"/>
            </w:pPr>
            <w:r/>
            <w:r>
              <w:rPr>
                <w:sz w:val="20"/>
              </w:rPr>
              <w:t>0,30 USD ; 0,85 ; 4,00 USD ; 0,05</w:t>
            </w:r>
          </w:p>
        </w:tc>
      </w:tr>
      <w:tr>
        <w:trPr>
          <w:cantSplit w:val="true"/>
        </w:trPr>
        <w:tc>
          <w:tcPr>
            <w:tcW w:type="dxa" w:w="2084"/>
          </w:tcPr>
          <w:p>
            <w:pPr>
              <w:spacing w:after="20" w:before="20" w:line="240" w:lineRule="auto"/>
              <w:jc w:val="left"/>
            </w:pPr>
            <w:r/>
            <w:r>
              <w:rPr>
                <w:sz w:val="20"/>
              </w:rPr>
              <w:t>Décision (Visa virtuelle)</w:t>
            </w:r>
          </w:p>
        </w:tc>
        <w:tc>
          <w:tcPr>
            <w:tcW w:type="dxa" w:w="4327"/>
          </w:tcPr>
          <w:p>
            <w:pPr>
              <w:spacing w:after="20" w:before="20" w:line="240" w:lineRule="auto"/>
              <w:jc w:val="left"/>
            </w:pPr>
            <w:r/>
            <m:oMath>
              <m:sSub>
                <m:e>
                  <m:r>
                    <m:t>c</m:t>
                  </m:r>
                </m:e>
                <m:sub>
                  <m:r>
                    <m:t>f</m:t>
                  </m:r>
                </m:sub>
              </m:sSub>
            </m:oMath>
            <w:r>
              <w:rPr>
                <w:sz w:val="20"/>
              </w:rPr>
              <w:t xml:space="preserve">, </w:t>
            </w:r>
            <m:oMath>
              <m:r>
                <m:t>κ</m:t>
              </m:r>
            </m:oMath>
            <w:r>
              <w:rPr>
                <w:sz w:val="20"/>
              </w:rPr>
              <w:t xml:space="preserve">, </w:t>
            </w:r>
            <m:oMath>
              <m:sSub>
                <m:e>
                  <m:r>
                    <m:t>c</m:t>
                  </m:r>
                </m:e>
                <m:sub>
                  <m:r>
                    <m:t>b</m:t>
                  </m:r>
                </m:sub>
              </m:sSub>
            </m:oMath>
            <w:r>
              <w:rPr>
                <w:sz w:val="20"/>
              </w:rPr>
              <w:t xml:space="preserve">, </w:t>
            </w:r>
            <m:oMath>
              <m:r>
                <m:t>λ</m:t>
              </m:r>
            </m:oMath>
          </w:p>
        </w:tc>
        <w:tc>
          <w:tcPr>
            <w:tcW w:type="dxa" w:w="2978"/>
          </w:tcPr>
          <w:p>
            <w:pPr>
              <w:spacing w:after="20" w:before="20" w:line="240" w:lineRule="auto"/>
              <w:jc w:val="left"/>
            </w:pPr>
            <w:r/>
            <w:r>
              <w:rPr>
                <w:sz w:val="20"/>
              </w:rPr>
              <w:t>0,15 USD ; 0,90 ; 6,00 USD ; 0,05</w:t>
            </w:r>
          </w:p>
        </w:tc>
      </w:tr>
      <w:tr>
        <w:trPr>
          <w:cantSplit w:val="true"/>
        </w:trPr>
        <w:tc>
          <w:tcPr>
            <w:tcW w:type="dxa" w:w="2084"/>
          </w:tcPr>
          <w:p>
            <w:pPr>
              <w:spacing w:after="20" w:before="20" w:line="240" w:lineRule="auto"/>
              <w:jc w:val="left"/>
            </w:pPr>
            <w:r/>
            <w:r>
              <w:rPr>
                <w:sz w:val="20"/>
              </w:rPr>
              <w:t>Décision</w:t>
            </w:r>
          </w:p>
        </w:tc>
        <w:tc>
          <w:tcPr>
            <w:tcW w:type="dxa" w:w="4327"/>
          </w:tcPr>
          <w:p>
            <w:pPr>
              <w:spacing w:after="20" w:before="20" w:line="240" w:lineRule="auto"/>
              <w:jc w:val="left"/>
            </w:pPr>
            <w:r/>
            <w:r>
              <w:rPr>
                <w:sz w:val="20"/>
              </w:rPr>
              <w:t>blocage direct, approbation directe</w:t>
            </w:r>
          </w:p>
        </w:tc>
        <w:tc>
          <w:tcPr>
            <w:tcW w:type="dxa" w:w="2978"/>
          </w:tcPr>
          <w:p>
            <w:pPr>
              <w:spacing w:after="20" w:before="20" w:line="240" w:lineRule="auto"/>
              <w:jc w:val="left"/>
            </w:pPr>
            <w:r/>
            <m:oMath>
              <m:r>
                <m:t>p≥0,97</m:t>
              </m:r>
            </m:oMath>
            <w:r>
              <w:rPr>
                <w:sz w:val="20"/>
              </w:rPr>
              <w:t xml:space="preserve"> ; </w:t>
            </w:r>
            <m:oMath>
              <m:r>
                <m:t>p&lt;0,01</m:t>
              </m:r>
            </m:oMath>
          </w:p>
        </w:tc>
      </w:tr>
      <w:tr>
        <w:trPr>
          <w:cantSplit w:val="true"/>
        </w:trPr>
        <w:tc>
          <w:tcPr>
            <w:tcW w:type="dxa" w:w="2084"/>
          </w:tcPr>
          <w:p>
            <w:pPr>
              <w:spacing w:after="20" w:before="20" w:line="240" w:lineRule="auto"/>
              <w:jc w:val="left"/>
            </w:pPr>
            <w:r/>
            <w:r>
              <w:rPr>
                <w:sz w:val="20"/>
              </w:rPr>
              <w:t>Niveaux de risque</w:t>
            </w:r>
          </w:p>
        </w:tc>
        <w:tc>
          <w:tcPr>
            <w:tcW w:type="dxa" w:w="4327"/>
          </w:tcPr>
          <w:p>
            <w:pPr>
              <w:spacing w:after="20" w:before="20" w:line="240" w:lineRule="auto"/>
              <w:jc w:val="left"/>
            </w:pPr>
            <w:r/>
            <w:r>
              <w:rPr>
                <w:sz w:val="20"/>
              </w:rPr>
              <w:t>CRITIQUE, ÉLEVÉ, MOYEN</w:t>
            </w:r>
          </w:p>
        </w:tc>
        <w:tc>
          <w:tcPr>
            <w:tcW w:type="dxa" w:w="2978"/>
          </w:tcPr>
          <w:p>
            <w:pPr>
              <w:spacing w:after="20" w:before="20" w:line="240" w:lineRule="auto"/>
              <w:jc w:val="left"/>
            </w:pPr>
            <w:r/>
            <m:oMath>
              <m:r>
                <m:t>p≥max(0,9;</m:t>
              </m:r>
              <m:sSup>
                <m:e>
                  <m:r>
                    <m:t>τ</m:t>
                  </m:r>
                </m:e>
                <m:sup>
                  <m:r>
                    <m:t>*</m:t>
                  </m:r>
                </m:sup>
              </m:sSup>
              <m:r>
                <m:t>)</m:t>
              </m:r>
            </m:oMath>
            <w:r>
              <w:rPr>
                <w:sz w:val="20"/>
              </w:rPr>
              <w:t xml:space="preserve"> ; </w:t>
            </w:r>
            <m:oMath>
              <m:r>
                <m:t>p≥</m:t>
              </m:r>
              <m:sSup>
                <m:e>
                  <m:r>
                    <m:t>τ</m:t>
                  </m:r>
                </m:e>
                <m:sup>
                  <m:r>
                    <m:t>*</m:t>
                  </m:r>
                </m:sup>
              </m:sSup>
            </m:oMath>
            <w:r>
              <w:rPr>
                <w:sz w:val="20"/>
              </w:rPr>
              <w:t xml:space="preserve"> ; </w:t>
            </w:r>
            <m:oMath>
              <m:r>
                <m:t>p≥</m:t>
              </m:r>
              <m:sSup>
                <m:e>
                  <m:r>
                    <m:t>τ</m:t>
                  </m:r>
                </m:e>
                <m:sup>
                  <m:r>
                    <m:t>*</m:t>
                  </m:r>
                </m:sup>
              </m:sSup>
              <m:r>
                <m:t>/5</m:t>
              </m:r>
            </m:oMath>
          </w:p>
        </w:tc>
      </w:tr>
      <w:tr>
        <w:trPr>
          <w:cantSplit w:val="true"/>
        </w:trPr>
        <w:tc>
          <w:tcPr>
            <w:tcW w:type="dxa" w:w="2084"/>
          </w:tcPr>
          <w:p>
            <w:pPr>
              <w:spacing w:after="20" w:before="20" w:line="240" w:lineRule="auto"/>
              <w:jc w:val="left"/>
            </w:pPr>
            <w:r/>
            <w:r>
              <w:rPr>
                <w:sz w:val="20"/>
              </w:rPr>
              <w:t>Lois physiques</w:t>
            </w:r>
          </w:p>
        </w:tc>
        <w:tc>
          <w:tcPr>
            <w:tcW w:type="dxa" w:w="4327"/>
          </w:tcPr>
          <w:p>
            <w:pPr>
              <w:spacing w:after="20" w:before="20" w:line="240" w:lineRule="auto"/>
              <w:jc w:val="left"/>
            </w:pPr>
            <w:r/>
            <w:r>
              <w:rPr>
                <w:sz w:val="20"/>
              </w:rPr>
              <w:t>vitesses route, avion, formalités</w:t>
            </w:r>
          </w:p>
        </w:tc>
        <w:tc>
          <w:tcPr>
            <w:tcW w:type="dxa" w:w="2978"/>
          </w:tcPr>
          <w:p>
            <w:pPr>
              <w:spacing w:after="20" w:before="20" w:line="240" w:lineRule="auto"/>
              <w:jc w:val="left"/>
            </w:pPr>
            <w:r/>
            <w:r>
              <w:rPr>
                <w:sz w:val="20"/>
              </w:rPr>
              <w:t>80 km/h ; 800 km/h ; 2 h</w:t>
            </w:r>
          </w:p>
        </w:tc>
      </w:tr>
      <w:tr>
        <w:trPr>
          <w:cantSplit w:val="true"/>
        </w:trPr>
        <w:tc>
          <w:tcPr>
            <w:tcW w:type="dxa" w:w="2084"/>
          </w:tcPr>
          <w:p>
            <w:pPr>
              <w:spacing w:after="20" w:before="20" w:line="240" w:lineRule="auto"/>
              <w:jc w:val="left"/>
            </w:pPr>
            <w:r/>
          </w:p>
        </w:tc>
        <w:tc>
          <w:tcPr>
            <w:tcW w:type="dxa" w:w="4327"/>
          </w:tcPr>
          <w:p>
            <w:pPr>
              <w:spacing w:after="20" w:before="20" w:line="240" w:lineRule="auto"/>
              <w:jc w:val="left"/>
            </w:pPr>
            <w:r/>
            <w:r>
              <w:rPr>
                <w:sz w:val="20"/>
              </w:rPr>
              <w:t>violation nette</w:t>
            </w:r>
          </w:p>
        </w:tc>
        <w:tc>
          <w:tcPr>
            <w:tcW w:type="dxa" w:w="2978"/>
          </w:tcPr>
          <w:p>
            <w:pPr>
              <w:spacing w:after="20" w:before="20" w:line="240" w:lineRule="auto"/>
              <w:jc w:val="left"/>
            </w:pPr>
            <w:r/>
            <m:oMath>
              <m:r>
                <m:t>I≥1</m:t>
              </m:r>
            </m:oMath>
            <w:r>
              <w:rPr>
                <w:sz w:val="20"/>
              </w:rPr>
              <w:t xml:space="preserve"> (mode « enforce » : vérification imposée)</w:t>
            </w:r>
          </w:p>
        </w:tc>
      </w:tr>
      <w:tr>
        <w:trPr>
          <w:cantSplit w:val="true"/>
        </w:trPr>
        <w:tc>
          <w:tcPr>
            <w:tcW w:type="dxa" w:w="2084"/>
          </w:tcPr>
          <w:p>
            <w:pPr>
              <w:spacing w:after="20" w:before="20" w:line="240" w:lineRule="auto"/>
              <w:jc w:val="left"/>
            </w:pPr>
            <w:r/>
            <w:r>
              <w:rPr>
                <w:sz w:val="20"/>
              </w:rPr>
              <w:t>Cas similaires</w:t>
            </w:r>
          </w:p>
        </w:tc>
        <w:tc>
          <w:tcPr>
            <w:tcW w:type="dxa" w:w="4327"/>
          </w:tcPr>
          <w:p>
            <w:pPr>
              <w:spacing w:after="20" w:before="20" w:line="240" w:lineRule="auto"/>
              <w:jc w:val="left"/>
            </w:pPr>
            <w:r/>
            <w:r>
              <w:rPr>
                <w:sz w:val="20"/>
              </w:rPr>
              <w:t>voisins, similarité minimale</w:t>
            </w:r>
          </w:p>
        </w:tc>
        <w:tc>
          <w:tcPr>
            <w:tcW w:type="dxa" w:w="2978"/>
          </w:tcPr>
          <w:p>
            <w:pPr>
              <w:spacing w:after="20" w:before="20" w:line="240" w:lineRule="auto"/>
              <w:jc w:val="left"/>
            </w:pPr>
            <w:r/>
            <m:oMath>
              <m:r>
                <m:t>k=7</m:t>
              </m:r>
            </m:oMath>
            <w:r>
              <w:rPr>
                <w:sz w:val="20"/>
              </w:rPr>
              <w:t xml:space="preserve"> ; 0,2 (choisis sur la validation)</w:t>
            </w:r>
          </w:p>
        </w:tc>
      </w:tr>
      <w:tr>
        <w:trPr>
          <w:cantSplit w:val="true"/>
        </w:trPr>
        <w:tc>
          <w:tcPr>
            <w:tcW w:type="dxa" w:w="2084"/>
          </w:tcPr>
          <w:p>
            <w:pPr>
              <w:spacing w:after="20" w:before="20" w:line="240" w:lineRule="auto"/>
              <w:jc w:val="left"/>
            </w:pPr>
            <w:r/>
            <w:r>
              <w:rPr>
                <w:sz w:val="20"/>
              </w:rPr>
              <w:t>Réseau</w:t>
            </w:r>
          </w:p>
        </w:tc>
        <w:tc>
          <w:tcPr>
            <w:tcW w:type="dxa" w:w="4327"/>
          </w:tcPr>
          <w:p>
            <w:pPr>
              <w:spacing w:after="20" w:before="20" w:line="240" w:lineRule="auto"/>
              <w:jc w:val="left"/>
            </w:pPr>
            <w:r/>
            <w:r>
              <w:rPr>
                <w:sz w:val="20"/>
              </w:rPr>
              <w:t>a priori, poids du risque propagé, seuil de réseau</w:t>
            </w:r>
          </w:p>
        </w:tc>
        <w:tc>
          <w:tcPr>
            <w:tcW w:type="dxa" w:w="2978"/>
          </w:tcPr>
          <w:p>
            <w:pPr>
              <w:spacing w:after="20" w:before="20" w:line="240" w:lineRule="auto"/>
              <w:jc w:val="left"/>
            </w:pPr>
            <w:r/>
            <m:oMath>
              <m:r>
                <m:t>m=4</m:t>
              </m:r>
            </m:oMath>
            <w:r>
              <w:rPr>
                <w:sz w:val="20"/>
              </w:rPr>
              <w:t xml:space="preserve"> ; </w:t>
            </w:r>
            <m:oMath>
              <m:r>
                <m:t>α=0,5</m:t>
              </m:r>
            </m:oMath>
            <w:r>
              <w:rPr>
                <w:sz w:val="20"/>
              </w:rPr>
              <w:t xml:space="preserve"> ; 0,30</w:t>
            </w:r>
          </w:p>
        </w:tc>
      </w:tr>
      <w:tr>
        <w:trPr>
          <w:cantSplit w:val="true"/>
        </w:trPr>
        <w:tc>
          <w:tcPr>
            <w:tcW w:type="dxa" w:w="2084"/>
          </w:tcPr>
          <w:p>
            <w:pPr>
              <w:spacing w:after="20" w:before="20" w:line="240" w:lineRule="auto"/>
              <w:jc w:val="left"/>
            </w:pPr>
            <w:r/>
            <w:r>
              <w:rPr>
                <w:sz w:val="20"/>
              </w:rPr>
              <w:t>Dérive</w:t>
            </w:r>
          </w:p>
        </w:tc>
        <w:tc>
          <w:tcPr>
            <w:tcW w:type="dxa" w:w="4327"/>
          </w:tcPr>
          <w:p>
            <w:pPr>
              <w:spacing w:after="20" w:before="20" w:line="240" w:lineRule="auto"/>
              <w:jc w:val="left"/>
            </w:pPr>
            <w:r/>
            <w:r>
              <w:rPr>
                <w:sz w:val="20"/>
              </w:rPr>
              <w:t>écart KS, p-valeur, PSI</w:t>
            </w:r>
          </w:p>
        </w:tc>
        <w:tc>
          <w:tcPr>
            <w:tcW w:type="dxa" w:w="2978"/>
          </w:tcPr>
          <w:p>
            <w:pPr>
              <w:spacing w:after="20" w:before="20" w:line="240" w:lineRule="auto"/>
              <w:jc w:val="left"/>
            </w:pPr>
            <w:r/>
            <m:oMath>
              <m:r>
                <m:t>D&gt;0,1</m:t>
              </m:r>
            </m:oMath>
            <w:r>
              <w:rPr>
                <w:sz w:val="20"/>
              </w:rPr>
              <w:t xml:space="preserve"> et </w:t>
            </w:r>
            <m:oMath>
              <m:r>
                <m:t>p&lt;0,01</m:t>
              </m:r>
            </m:oMath>
            <w:r>
              <w:rPr>
                <w:sz w:val="20"/>
              </w:rPr>
              <w:t xml:space="preserve"> ; PSI </w:t>
            </w:r>
            <m:oMath>
              <m:r>
                <m:t>&gt;0,2</m:t>
              </m:r>
            </m:oMath>
          </w:p>
        </w:tc>
      </w:tr>
      <w:tr>
        <w:trPr>
          <w:cantSplit w:val="true"/>
        </w:trPr>
        <w:tc>
          <w:tcPr>
            <w:tcW w:type="dxa" w:w="2084"/>
          </w:tcPr>
          <w:p>
            <w:pPr>
              <w:spacing w:after="20" w:before="20" w:line="240" w:lineRule="auto"/>
              <w:jc w:val="left"/>
            </w:pPr>
            <w:r/>
            <w:r>
              <w:rPr>
                <w:sz w:val="20"/>
              </w:rPr>
              <w:t>Nouveauté</w:t>
            </w:r>
          </w:p>
        </w:tc>
        <w:tc>
          <w:tcPr>
            <w:tcW w:type="dxa" w:w="4327"/>
          </w:tcPr>
          <w:p>
            <w:pPr>
              <w:spacing w:after="20" w:before="20" w:line="240" w:lineRule="auto"/>
              <w:jc w:val="left"/>
            </w:pPr>
            <w:r/>
            <w:r>
              <w:rPr>
                <w:sz w:val="20"/>
              </w:rPr>
              <w:t>centile de référence, taux d'alarme</w:t>
            </w:r>
          </w:p>
        </w:tc>
        <w:tc>
          <w:tcPr>
            <w:tcW w:type="dxa" w:w="2978"/>
          </w:tcPr>
          <w:p>
            <w:pPr>
              <w:spacing w:after="20" w:before="20" w:line="240" w:lineRule="auto"/>
              <w:jc w:val="left"/>
            </w:pPr>
            <w:r/>
            <w:r>
              <w:rPr>
                <w:sz w:val="20"/>
              </w:rPr>
              <w:t>99ᵉ ; 4 % (1 % attendu)</w:t>
            </w:r>
          </w:p>
        </w:tc>
      </w:tr>
      <w:tr>
        <w:trPr>
          <w:cantSplit w:val="true"/>
        </w:trPr>
        <w:tc>
          <w:tcPr>
            <w:tcW w:type="dxa" w:w="2084"/>
          </w:tcPr>
          <w:p>
            <w:pPr>
              <w:spacing w:after="20" w:before="20" w:line="240" w:lineRule="auto"/>
              <w:jc w:val="left"/>
            </w:pPr>
            <w:r/>
            <w:r>
              <w:rPr>
                <w:sz w:val="20"/>
              </w:rPr>
              <w:t>Réentraînement</w:t>
            </w:r>
          </w:p>
        </w:tc>
        <w:tc>
          <w:tcPr>
            <w:tcW w:type="dxa" w:w="4327"/>
          </w:tcPr>
          <w:p>
            <w:pPr>
              <w:spacing w:after="20" w:before="20" w:line="240" w:lineRule="auto"/>
              <w:jc w:val="left"/>
            </w:pPr>
            <w:r/>
            <w:r>
              <w:rPr>
                <w:sz w:val="20"/>
              </w:rPr>
              <w:t>étiquettes minimales, fraudes minimales</w:t>
            </w:r>
          </w:p>
        </w:tc>
        <w:tc>
          <w:tcPr>
            <w:tcW w:type="dxa" w:w="2978"/>
          </w:tcPr>
          <w:p>
            <w:pPr>
              <w:spacing w:after="20" w:before="20" w:line="240" w:lineRule="auto"/>
              <w:jc w:val="left"/>
            </w:pPr>
            <w:r/>
            <w:r>
              <w:rPr>
                <w:sz w:val="20"/>
              </w:rPr>
              <w:t>2 000 ; 30</w:t>
            </w:r>
          </w:p>
        </w:tc>
      </w:tr>
      <w:tr>
        <w:trPr>
          <w:cantSplit w:val="true"/>
        </w:trPr>
        <w:tc>
          <w:tcPr>
            <w:tcW w:type="dxa" w:w="2084"/>
          </w:tcPr>
          <w:p>
            <w:pPr>
              <w:spacing w:after="20" w:before="20" w:line="240" w:lineRule="auto"/>
              <w:jc w:val="left"/>
            </w:pPr>
            <w:r/>
          </w:p>
        </w:tc>
        <w:tc>
          <w:tcPr>
            <w:tcW w:type="dxa" w:w="4327"/>
          </w:tcPr>
          <w:p>
            <w:pPr>
              <w:spacing w:after="20" w:before="20" w:line="240" w:lineRule="auto"/>
              <w:jc w:val="left"/>
            </w:pPr>
            <w:r/>
            <w:r>
              <w:rPr>
                <w:sz w:val="20"/>
              </w:rPr>
              <w:t>nouvelles étiquettes, nouvelles transactions</w:t>
            </w:r>
          </w:p>
        </w:tc>
        <w:tc>
          <w:tcPr>
            <w:tcW w:type="dxa" w:w="2978"/>
          </w:tcPr>
          <w:p>
            <w:pPr>
              <w:spacing w:after="20" w:before="20" w:line="240" w:lineRule="auto"/>
              <w:jc w:val="left"/>
            </w:pPr>
            <w:r/>
            <w:r>
              <w:rPr>
                <w:sz w:val="20"/>
              </w:rPr>
              <w:t>500 ; 20 000</w:t>
            </w:r>
          </w:p>
        </w:tc>
      </w:tr>
      <w:tr>
        <w:trPr>
          <w:cantSplit w:val="true"/>
        </w:trPr>
        <w:tc>
          <w:tcPr>
            <w:tcW w:type="dxa" w:w="2084"/>
          </w:tcPr>
          <w:p>
            <w:pPr>
              <w:spacing w:after="20" w:before="20" w:line="240" w:lineRule="auto"/>
              <w:jc w:val="left"/>
            </w:pPr>
            <w:r/>
          </w:p>
        </w:tc>
        <w:tc>
          <w:tcPr>
            <w:tcW w:type="dxa" w:w="4327"/>
          </w:tcPr>
          <w:p>
            <w:pPr>
              <w:spacing w:after="20" w:before="20" w:line="240" w:lineRule="auto"/>
              <w:jc w:val="left"/>
            </w:pPr>
            <w:r/>
            <w:r>
              <w:rPr>
                <w:sz w:val="20"/>
              </w:rPr>
              <w:t>délai de carence, âge maximal, vérification</w:t>
            </w:r>
          </w:p>
        </w:tc>
        <w:tc>
          <w:tcPr>
            <w:tcW w:type="dxa" w:w="2978"/>
          </w:tcPr>
          <w:p>
            <w:pPr>
              <w:spacing w:after="20" w:before="20" w:line="240" w:lineRule="auto"/>
              <w:jc w:val="left"/>
            </w:pPr>
            <w:r/>
            <w:r>
              <w:rPr>
                <w:sz w:val="20"/>
              </w:rPr>
              <w:t>6 h ; 168 h ; toutes les 10 min</w:t>
            </w:r>
          </w:p>
        </w:tc>
      </w:tr>
      <w:tr>
        <w:trPr>
          <w:cantSplit w:val="true"/>
        </w:trPr>
        <w:tc>
          <w:tcPr>
            <w:tcW w:type="dxa" w:w="2084"/>
          </w:tcPr>
          <w:p>
            <w:pPr>
              <w:spacing w:after="20" w:before="20" w:line="240" w:lineRule="auto"/>
              <w:jc w:val="left"/>
            </w:pPr>
            <w:r/>
          </w:p>
        </w:tc>
        <w:tc>
          <w:tcPr>
            <w:tcW w:type="dxa" w:w="4327"/>
          </w:tcPr>
          <w:p>
            <w:pPr>
              <w:spacing w:after="20" w:before="20" w:line="240" w:lineRule="auto"/>
              <w:jc w:val="left"/>
            </w:pPr>
            <w:r/>
            <w:r>
              <w:rPr>
                <w:sz w:val="20"/>
              </w:rPr>
              <w:t>maturité d'une étiquette supposée</w:t>
            </w:r>
          </w:p>
        </w:tc>
        <w:tc>
          <w:tcPr>
            <w:tcW w:type="dxa" w:w="2978"/>
          </w:tcPr>
          <w:p>
            <w:pPr>
              <w:spacing w:after="20" w:before="20" w:line="240" w:lineRule="auto"/>
              <w:jc w:val="left"/>
            </w:pPr>
            <w:r/>
            <w:r>
              <w:rPr>
                <w:sz w:val="20"/>
              </w:rPr>
              <w:t>7 jours</w:t>
            </w:r>
          </w:p>
        </w:tc>
      </w:tr>
      <w:tr>
        <w:trPr>
          <w:cantSplit w:val="true"/>
        </w:trPr>
        <w:tc>
          <w:tcPr>
            <w:tcW w:type="dxa" w:w="2084"/>
          </w:tcPr>
          <w:p>
            <w:pPr>
              <w:spacing w:after="20" w:before="20" w:line="240" w:lineRule="auto"/>
              <w:jc w:val="left"/>
            </w:pPr>
            <w:r/>
          </w:p>
        </w:tc>
        <w:tc>
          <w:tcPr>
            <w:tcW w:type="dxa" w:w="4327"/>
          </w:tcPr>
          <w:p>
            <w:pPr>
              <w:spacing w:after="20" w:before="20" w:line="240" w:lineRule="auto"/>
              <w:jc w:val="left"/>
            </w:pPr>
            <w:r/>
            <w:r>
              <w:rPr>
                <w:sz w:val="20"/>
              </w:rPr>
              <w:t>poids d'un verdict vérifié</w:t>
            </w:r>
          </w:p>
        </w:tc>
        <w:tc>
          <w:tcPr>
            <w:tcW w:type="dxa" w:w="2978"/>
          </w:tcPr>
          <w:p>
            <w:pPr>
              <w:spacing w:after="20" w:before="20" w:line="240" w:lineRule="auto"/>
              <w:jc w:val="left"/>
            </w:pPr>
            <w:r/>
            <w:r>
              <w:rPr>
                <w:sz w:val="20"/>
              </w:rPr>
              <w:t>3</w:t>
            </w:r>
          </w:p>
        </w:tc>
      </w:tr>
      <w:tr>
        <w:trPr>
          <w:cantSplit w:val="true"/>
        </w:trPr>
        <w:tc>
          <w:tcPr>
            <w:tcW w:type="dxa" w:w="2084"/>
          </w:tcPr>
          <w:p>
            <w:pPr>
              <w:spacing w:after="20" w:before="20" w:line="240" w:lineRule="auto"/>
              <w:jc w:val="left"/>
            </w:pPr>
            <w:r/>
          </w:p>
        </w:tc>
        <w:tc>
          <w:tcPr>
            <w:tcW w:type="dxa" w:w="4327"/>
          </w:tcPr>
          <w:p>
            <w:pPr>
              <w:spacing w:after="20" w:before="20" w:line="240" w:lineRule="auto"/>
              <w:jc w:val="left"/>
            </w:pPr>
            <w:r/>
            <w:r>
              <w:rPr>
                <w:sz w:val="20"/>
              </w:rPr>
              <w:t>écart de PR-AUC bloquant (surapprentissage)</w:t>
            </w:r>
          </w:p>
        </w:tc>
        <w:tc>
          <w:tcPr>
            <w:tcW w:type="dxa" w:w="2978"/>
          </w:tcPr>
          <w:p>
            <w:pPr>
              <w:spacing w:after="20" w:before="20" w:line="240" w:lineRule="auto"/>
              <w:jc w:val="left"/>
            </w:pPr>
            <w:r/>
            <w:r>
              <w:rPr>
                <w:sz w:val="20"/>
              </w:rPr>
              <w:t>0,05</w:t>
            </w:r>
          </w:p>
        </w:tc>
      </w:tr>
      <w:tr>
        <w:trPr>
          <w:cantSplit w:val="true"/>
        </w:trPr>
        <w:tc>
          <w:tcPr>
            <w:tcW w:type="dxa" w:w="2084"/>
          </w:tcPr>
          <w:p>
            <w:pPr>
              <w:spacing w:after="20" w:before="20" w:line="240" w:lineRule="auto"/>
              <w:jc w:val="left"/>
            </w:pPr>
            <w:r/>
            <w:r>
              <w:rPr>
                <w:sz w:val="20"/>
              </w:rPr>
              <w:t>Garde-fou de détection</w:t>
            </w:r>
          </w:p>
        </w:tc>
        <w:tc>
          <w:tcPr>
            <w:tcW w:type="dxa" w:w="4327"/>
          </w:tcPr>
          <w:p>
            <w:pPr>
              <w:spacing w:after="20" w:before="20" w:line="240" w:lineRule="auto"/>
              <w:jc w:val="left"/>
            </w:pPr>
            <w:r/>
            <w:r>
              <w:rPr>
                <w:sz w:val="20"/>
              </w:rPr>
              <w:t>PR-AUC, rappel à 1 % de faux positifs, faux positifs</w:t>
            </w:r>
          </w:p>
        </w:tc>
        <w:tc>
          <w:tcPr>
            <w:tcW w:type="dxa" w:w="2978"/>
          </w:tcPr>
          <w:p>
            <w:pPr>
              <w:spacing w:after="20" w:before="20" w:line="240" w:lineRule="auto"/>
              <w:jc w:val="left"/>
            </w:pPr>
            <w:r/>
            <m:oMath>
              <m:r>
                <m:t>≥0,975</m:t>
              </m:r>
            </m:oMath>
            <w:r>
              <w:rPr>
                <w:sz w:val="20"/>
              </w:rPr>
              <w:t xml:space="preserve"> ; </w:t>
            </w:r>
            <m:oMath>
              <m:r>
                <m:t>≥0,98</m:t>
              </m:r>
            </m:oMath>
            <w:r>
              <w:rPr>
                <w:sz w:val="20"/>
              </w:rPr>
              <w:t xml:space="preserve"> ; </w:t>
            </w:r>
            <m:oMath>
              <m:r>
                <m:t>≤0,2</m:t>
              </m:r>
            </m:oMath>
            <w:r>
              <w:rPr>
                <w:sz w:val="20"/>
              </w:rPr>
              <w:t xml:space="preserve"> %</w:t>
            </w:r>
          </w:p>
        </w:tc>
      </w:tr>
      <w:tr>
        <w:trPr>
          <w:cantSplit w:val="true"/>
        </w:trPr>
        <w:tc>
          <w:tcPr>
            <w:tcW w:type="dxa" w:w="2084"/>
          </w:tcPr>
          <w:p>
            <w:pPr>
              <w:spacing w:after="20" w:before="20" w:line="240" w:lineRule="auto"/>
              <w:jc w:val="left"/>
            </w:pPr>
            <w:r/>
            <w:r>
              <w:rPr>
                <w:sz w:val="20"/>
              </w:rPr>
              <w:t>Sécurité</w:t>
            </w:r>
          </w:p>
        </w:tc>
        <w:tc>
          <w:tcPr>
            <w:tcW w:type="dxa" w:w="4327"/>
          </w:tcPr>
          <w:p>
            <w:pPr>
              <w:spacing w:after="20" w:before="20" w:line="240" w:lineRule="auto"/>
              <w:jc w:val="left"/>
            </w:pPr>
            <w:r/>
            <w:r>
              <w:rPr>
                <w:sz w:val="20"/>
              </w:rPr>
              <w:t>échecs avant verrouillage, durée, seuil des quatre yeux</w:t>
            </w:r>
          </w:p>
        </w:tc>
        <w:tc>
          <w:tcPr>
            <w:tcW w:type="dxa" w:w="2978"/>
          </w:tcPr>
          <w:p>
            <w:pPr>
              <w:spacing w:after="20" w:before="20" w:line="240" w:lineRule="auto"/>
              <w:jc w:val="left"/>
            </w:pPr>
            <w:r/>
            <w:r>
              <w:rPr>
                <w:sz w:val="20"/>
              </w:rPr>
              <w:t>5 ; 15 min ; 500 USD</w:t>
            </w:r>
          </w:p>
        </w:tc>
      </w:tr>
    </w:tbl>
    <w:p>
      <w:pPr>
        <w:spacing w:after="120"/>
      </w:pPr>
    </w:p>
    <w:p>
      <w:pPr>
        <w:pStyle w:val="Titre3"/>
        <w:keepNext/>
        <w:numPr>
          <w:numId w:val="0"/>
        </w:numPr>
        <w:spacing w:before="280" w:after="120"/>
        <w:ind w:left="0" w:firstLine="0"/>
        <w:jc w:val="left"/>
      </w:pPr>
      <w:r>
        <w:rPr>
          <w:b/>
          <w:color w:val="1F2A44"/>
          <w:sz w:val="28"/>
        </w:rPr>
        <w:t>4. Évaluation des performances</w:t>
      </w:r>
    </w:p>
    <w:p>
      <w:pPr>
        <w:spacing w:before="0" w:after="120" w:line="360" w:lineRule="auto"/>
        <w:jc w:val="both"/>
      </w:pPr>
      <w:r>
        <w:rPr>
          <w:sz w:val="24"/>
        </w:rPr>
        <w:t>Évaluer la performance d'un système de détection de fraude ne se réduit pas à un score de classification. Le système doit détecter, mais aussi décider à un coût acceptable, rester rapide, expliquer, évoluer et traiter équitablement les clients. Douze dimensions sont donc évaluées (tableau II.30).</w:t>
      </w:r>
    </w:p>
    <w:p>
      <w:pPr>
        <w:pStyle w:val="Légendetableau"/>
        <w:keepNext/>
        <w:spacing w:before="200" w:after="80"/>
        <w:jc w:val="center"/>
      </w:pPr>
      <w:r>
        <w:rPr>
          <w:b/>
          <w:sz w:val="20"/>
        </w:rPr>
        <w:t>Tableau II.30 — Dimensions de l'évaluation.</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1289"/>
        <w:gridCol w:w="3479"/>
        <w:gridCol w:w="3847"/>
        <w:gridCol w:w="773"/>
      </w:tblGrid>
      <w:tr>
        <w:trPr>
          <w:tblHeader w:val="true"/>
        </w:trPr>
        <w:tc>
          <w:tcPr>
            <w:tcW w:type="dxa" w:w="1289"/>
            <w:shd w:val="clear" w:color="auto" w:fill="D9E2F3"/>
          </w:tcPr>
          <w:p>
            <w:pPr>
              <w:spacing w:after="20" w:before="20" w:line="240" w:lineRule="auto"/>
              <w:jc w:val="left"/>
            </w:pPr>
            <w:r/>
            <w:r>
              <w:rPr>
                <w:b/>
                <w:sz w:val="18"/>
              </w:rPr>
              <w:t>Dimension</w:t>
            </w:r>
          </w:p>
        </w:tc>
        <w:tc>
          <w:tcPr>
            <w:tcW w:type="dxa" w:w="3479"/>
            <w:shd w:val="clear" w:color="auto" w:fill="D9E2F3"/>
          </w:tcPr>
          <w:p>
            <w:pPr>
              <w:spacing w:after="20" w:before="20" w:line="240" w:lineRule="auto"/>
              <w:jc w:val="left"/>
            </w:pPr>
            <w:r/>
            <w:r>
              <w:rPr>
                <w:b/>
                <w:sz w:val="18"/>
              </w:rPr>
              <w:t>Question posée</w:t>
            </w:r>
          </w:p>
        </w:tc>
        <w:tc>
          <w:tcPr>
            <w:tcW w:type="dxa" w:w="3847"/>
            <w:shd w:val="clear" w:color="auto" w:fill="D9E2F3"/>
          </w:tcPr>
          <w:p>
            <w:pPr>
              <w:spacing w:after="20" w:before="20" w:line="240" w:lineRule="auto"/>
              <w:jc w:val="left"/>
            </w:pPr>
            <w:r/>
            <w:r>
              <w:rPr>
                <w:b/>
                <w:sz w:val="18"/>
              </w:rPr>
              <w:t>Mesure principale</w:t>
            </w:r>
          </w:p>
        </w:tc>
        <w:tc>
          <w:tcPr>
            <w:tcW w:type="dxa" w:w="773"/>
            <w:shd w:val="clear" w:color="auto" w:fill="D9E2F3"/>
          </w:tcPr>
          <w:p>
            <w:pPr>
              <w:spacing w:after="20" w:before="20" w:line="240" w:lineRule="auto"/>
              <w:jc w:val="left"/>
            </w:pPr>
            <w:r/>
            <w:r>
              <w:rPr>
                <w:b/>
                <w:sz w:val="18"/>
              </w:rPr>
              <w:t>Hypothèse ou besoin</w:t>
            </w:r>
          </w:p>
        </w:tc>
      </w:tr>
      <w:tr>
        <w:trPr>
          <w:cantSplit w:val="true"/>
        </w:trPr>
        <w:tc>
          <w:tcPr>
            <w:tcW w:type="dxa" w:w="1289"/>
          </w:tcPr>
          <w:p>
            <w:pPr>
              <w:spacing w:after="20" w:before="20" w:line="240" w:lineRule="auto"/>
              <w:jc w:val="left"/>
            </w:pPr>
            <w:r/>
            <w:r>
              <w:rPr>
                <w:sz w:val="18"/>
              </w:rPr>
              <w:t>Détection globale</w:t>
            </w:r>
          </w:p>
        </w:tc>
        <w:tc>
          <w:tcPr>
            <w:tcW w:type="dxa" w:w="3479"/>
          </w:tcPr>
          <w:p>
            <w:pPr>
              <w:spacing w:after="20" w:before="20" w:line="240" w:lineRule="auto"/>
              <w:jc w:val="left"/>
            </w:pPr>
            <w:r/>
            <w:r>
              <w:rPr>
                <w:sz w:val="18"/>
              </w:rPr>
              <w:t>Le modèle sépare-t-il fraudes et opérations légitimes ?</w:t>
            </w:r>
          </w:p>
        </w:tc>
        <w:tc>
          <w:tcPr>
            <w:tcW w:type="dxa" w:w="3847"/>
          </w:tcPr>
          <w:p>
            <w:pPr>
              <w:spacing w:after="20" w:before="20" w:line="240" w:lineRule="auto"/>
              <w:jc w:val="left"/>
            </w:pPr>
            <w:r/>
            <w:r>
              <w:rPr>
                <w:sz w:val="18"/>
              </w:rPr>
              <w:t>PR-AUC, ROC-AUC, intervalles de confiance</w:t>
            </w:r>
          </w:p>
        </w:tc>
        <w:tc>
          <w:tcPr>
            <w:tcW w:type="dxa" w:w="773"/>
          </w:tcPr>
          <w:p>
            <w:pPr>
              <w:spacing w:after="20" w:before="20" w:line="240" w:lineRule="auto"/>
              <w:jc w:val="left"/>
            </w:pPr>
            <w:r/>
            <w:r>
              <w:rPr>
                <w:sz w:val="18"/>
              </w:rPr>
              <w:t>H1, H3</w:t>
            </w:r>
          </w:p>
        </w:tc>
      </w:tr>
      <w:tr>
        <w:trPr>
          <w:cantSplit w:val="true"/>
        </w:trPr>
        <w:tc>
          <w:tcPr>
            <w:tcW w:type="dxa" w:w="1289"/>
          </w:tcPr>
          <w:p>
            <w:pPr>
              <w:spacing w:after="20" w:before="20" w:line="240" w:lineRule="auto"/>
              <w:jc w:val="left"/>
            </w:pPr>
            <w:r/>
            <w:r>
              <w:rPr>
                <w:sz w:val="18"/>
              </w:rPr>
              <w:t>Qualité opérationnelle</w:t>
            </w:r>
          </w:p>
        </w:tc>
        <w:tc>
          <w:tcPr>
            <w:tcW w:type="dxa" w:w="3479"/>
          </w:tcPr>
          <w:p>
            <w:pPr>
              <w:spacing w:after="20" w:before="20" w:line="240" w:lineRule="auto"/>
              <w:jc w:val="left"/>
            </w:pPr>
            <w:r/>
            <w:r>
              <w:rPr>
                <w:sz w:val="18"/>
              </w:rPr>
              <w:t>Que donne le modèle au seuil retenu ?</w:t>
            </w:r>
          </w:p>
        </w:tc>
        <w:tc>
          <w:tcPr>
            <w:tcW w:type="dxa" w:w="3847"/>
          </w:tcPr>
          <w:p>
            <w:pPr>
              <w:spacing w:after="20" w:before="20" w:line="240" w:lineRule="auto"/>
              <w:jc w:val="left"/>
            </w:pPr>
            <w:r/>
            <w:r>
              <w:rPr>
                <w:sz w:val="18"/>
              </w:rPr>
              <w:t>précision, rappel, F1, F2, MCC, fausses alertes, fraudes manquées</w:t>
            </w:r>
          </w:p>
        </w:tc>
        <w:tc>
          <w:tcPr>
            <w:tcW w:type="dxa" w:w="773"/>
          </w:tcPr>
          <w:p>
            <w:pPr>
              <w:spacing w:after="20" w:before="20" w:line="240" w:lineRule="auto"/>
              <w:jc w:val="left"/>
            </w:pPr>
            <w:r/>
            <w:r>
              <w:rPr>
                <w:sz w:val="18"/>
              </w:rPr>
              <w:t>BM-04</w:t>
            </w:r>
          </w:p>
        </w:tc>
      </w:tr>
      <w:tr>
        <w:trPr>
          <w:cantSplit w:val="true"/>
        </w:trPr>
        <w:tc>
          <w:tcPr>
            <w:tcW w:type="dxa" w:w="1289"/>
          </w:tcPr>
          <w:p>
            <w:pPr>
              <w:spacing w:after="20" w:before="20" w:line="240" w:lineRule="auto"/>
              <w:jc w:val="left"/>
            </w:pPr>
            <w:r/>
            <w:r>
              <w:rPr>
                <w:sz w:val="18"/>
              </w:rPr>
              <w:t>Budget d'alertes</w:t>
            </w:r>
          </w:p>
        </w:tc>
        <w:tc>
          <w:tcPr>
            <w:tcW w:type="dxa" w:w="3479"/>
          </w:tcPr>
          <w:p>
            <w:pPr>
              <w:spacing w:after="20" w:before="20" w:line="240" w:lineRule="auto"/>
              <w:jc w:val="left"/>
            </w:pPr>
            <w:r/>
            <w:r>
              <w:rPr>
                <w:sz w:val="18"/>
              </w:rPr>
              <w:t>Combien de fraudes arrête-t-on avec un nombre d'alertes limité ?</w:t>
            </w:r>
          </w:p>
        </w:tc>
        <w:tc>
          <w:tcPr>
            <w:tcW w:type="dxa" w:w="3847"/>
          </w:tcPr>
          <w:p>
            <w:pPr>
              <w:spacing w:after="20" w:before="20" w:line="240" w:lineRule="auto"/>
              <w:jc w:val="left"/>
            </w:pPr>
            <w:r/>
            <w:r>
              <w:rPr>
                <w:sz w:val="18"/>
              </w:rPr>
              <w:t>rappel à 0,05 %, 0,1 %, 0,5 % et 1 % de faux positifs</w:t>
            </w:r>
          </w:p>
        </w:tc>
        <w:tc>
          <w:tcPr>
            <w:tcW w:type="dxa" w:w="773"/>
          </w:tcPr>
          <w:p>
            <w:pPr>
              <w:spacing w:after="20" w:before="20" w:line="240" w:lineRule="auto"/>
              <w:jc w:val="left"/>
            </w:pPr>
            <w:r/>
            <w:r>
              <w:rPr>
                <w:sz w:val="18"/>
              </w:rPr>
              <w:t>BM-04</w:t>
            </w:r>
          </w:p>
        </w:tc>
      </w:tr>
      <w:tr>
        <w:trPr>
          <w:cantSplit w:val="true"/>
        </w:trPr>
        <w:tc>
          <w:tcPr>
            <w:tcW w:type="dxa" w:w="1289"/>
          </w:tcPr>
          <w:p>
            <w:pPr>
              <w:spacing w:after="20" w:before="20" w:line="240" w:lineRule="auto"/>
              <w:jc w:val="left"/>
            </w:pPr>
            <w:r/>
            <w:r>
              <w:rPr>
                <w:sz w:val="18"/>
              </w:rPr>
              <w:t>Typologies</w:t>
            </w:r>
          </w:p>
        </w:tc>
        <w:tc>
          <w:tcPr>
            <w:tcW w:type="dxa" w:w="3479"/>
          </w:tcPr>
          <w:p>
            <w:pPr>
              <w:spacing w:after="20" w:before="20" w:line="240" w:lineRule="auto"/>
              <w:jc w:val="left"/>
            </w:pPr>
            <w:r/>
            <w:r>
              <w:rPr>
                <w:sz w:val="18"/>
              </w:rPr>
              <w:t>Quelles fraudes sont difficiles ?</w:t>
            </w:r>
          </w:p>
        </w:tc>
        <w:tc>
          <w:tcPr>
            <w:tcW w:type="dxa" w:w="3847"/>
          </w:tcPr>
          <w:p>
            <w:pPr>
              <w:spacing w:after="20" w:before="20" w:line="240" w:lineRule="auto"/>
              <w:jc w:val="left"/>
            </w:pPr>
            <w:r/>
            <w:r>
              <w:rPr>
                <w:sz w:val="18"/>
              </w:rPr>
              <w:t>rappel par typologie, matrices de confusion</w:t>
            </w:r>
          </w:p>
        </w:tc>
        <w:tc>
          <w:tcPr>
            <w:tcW w:type="dxa" w:w="773"/>
          </w:tcPr>
          <w:p>
            <w:pPr>
              <w:spacing w:after="20" w:before="20" w:line="240" w:lineRule="auto"/>
              <w:jc w:val="left"/>
            </w:pPr>
            <w:r/>
            <w:r>
              <w:rPr>
                <w:sz w:val="18"/>
              </w:rPr>
              <w:t>BM-05</w:t>
            </w:r>
          </w:p>
        </w:tc>
      </w:tr>
      <w:tr>
        <w:trPr>
          <w:cantSplit w:val="true"/>
        </w:trPr>
        <w:tc>
          <w:tcPr>
            <w:tcW w:type="dxa" w:w="1289"/>
          </w:tcPr>
          <w:p>
            <w:pPr>
              <w:spacing w:after="20" w:before="20" w:line="240" w:lineRule="auto"/>
              <w:jc w:val="left"/>
            </w:pPr>
            <w:r/>
            <w:r>
              <w:rPr>
                <w:sz w:val="18"/>
              </w:rPr>
              <w:t>Apport des variables et des composantes</w:t>
            </w:r>
          </w:p>
        </w:tc>
        <w:tc>
          <w:tcPr>
            <w:tcW w:type="dxa" w:w="3479"/>
          </w:tcPr>
          <w:p>
            <w:pPr>
              <w:spacing w:after="20" w:before="20" w:line="240" w:lineRule="auto"/>
              <w:jc w:val="left"/>
            </w:pPr>
            <w:r/>
            <w:r>
              <w:rPr>
                <w:sz w:val="18"/>
              </w:rPr>
              <w:t>Chaque famille de variables et chaque composante est-elle utile ?</w:t>
            </w:r>
          </w:p>
        </w:tc>
        <w:tc>
          <w:tcPr>
            <w:tcW w:type="dxa" w:w="3847"/>
          </w:tcPr>
          <w:p>
            <w:pPr>
              <w:spacing w:after="20" w:before="20" w:line="240" w:lineRule="auto"/>
              <w:jc w:val="left"/>
            </w:pPr>
            <w:r/>
            <w:r>
              <w:rPr>
                <w:sz w:val="18"/>
              </w:rPr>
              <w:t>ablation, ajout, AUC univariée</w:t>
            </w:r>
          </w:p>
        </w:tc>
        <w:tc>
          <w:tcPr>
            <w:tcW w:type="dxa" w:w="773"/>
          </w:tcPr>
          <w:p>
            <w:pPr>
              <w:spacing w:after="20" w:before="20" w:line="240" w:lineRule="auto"/>
              <w:jc w:val="left"/>
            </w:pPr>
            <w:r/>
            <w:r>
              <w:rPr>
                <w:sz w:val="18"/>
              </w:rPr>
              <w:t>H2</w:t>
            </w:r>
          </w:p>
        </w:tc>
      </w:tr>
      <w:tr>
        <w:trPr>
          <w:cantSplit w:val="true"/>
        </w:trPr>
        <w:tc>
          <w:tcPr>
            <w:tcW w:type="dxa" w:w="1289"/>
          </w:tcPr>
          <w:p>
            <w:pPr>
              <w:spacing w:after="20" w:before="20" w:line="240" w:lineRule="auto"/>
              <w:jc w:val="left"/>
            </w:pPr>
            <w:r/>
            <w:r>
              <w:rPr>
                <w:sz w:val="18"/>
              </w:rPr>
              <w:t>Transposabilité</w:t>
            </w:r>
          </w:p>
        </w:tc>
        <w:tc>
          <w:tcPr>
            <w:tcW w:type="dxa" w:w="3479"/>
          </w:tcPr>
          <w:p>
            <w:pPr>
              <w:spacing w:after="20" w:before="20" w:line="240" w:lineRule="auto"/>
              <w:jc w:val="left"/>
            </w:pPr>
            <w:r/>
            <w:r>
              <w:rPr>
                <w:sz w:val="18"/>
              </w:rPr>
              <w:t>La logique se transpose-t-elle à la carte Visa ?</w:t>
            </w:r>
          </w:p>
        </w:tc>
        <w:tc>
          <w:tcPr>
            <w:tcW w:type="dxa" w:w="3847"/>
          </w:tcPr>
          <w:p>
            <w:pPr>
              <w:spacing w:after="20" w:before="20" w:line="240" w:lineRule="auto"/>
              <w:jc w:val="left"/>
            </w:pPr>
            <w:r/>
            <w:r>
              <w:rPr>
                <w:sz w:val="18"/>
              </w:rPr>
              <w:t>PR-AUC Visa sans donnée Visa, rapport de transfert</w:t>
            </w:r>
          </w:p>
        </w:tc>
        <w:tc>
          <w:tcPr>
            <w:tcW w:type="dxa" w:w="773"/>
          </w:tcPr>
          <w:p>
            <w:pPr>
              <w:spacing w:after="20" w:before="20" w:line="240" w:lineRule="auto"/>
              <w:jc w:val="left"/>
            </w:pPr>
            <w:r/>
            <w:r>
              <w:rPr>
                <w:sz w:val="18"/>
              </w:rPr>
              <w:t>H4</w:t>
            </w:r>
          </w:p>
        </w:tc>
      </w:tr>
      <w:tr>
        <w:trPr>
          <w:cantSplit w:val="true"/>
        </w:trPr>
        <w:tc>
          <w:tcPr>
            <w:tcW w:type="dxa" w:w="1289"/>
          </w:tcPr>
          <w:p>
            <w:pPr>
              <w:spacing w:after="20" w:before="20" w:line="240" w:lineRule="auto"/>
              <w:jc w:val="left"/>
            </w:pPr>
            <w:r/>
            <w:r>
              <w:rPr>
                <w:sz w:val="18"/>
              </w:rPr>
              <w:t>Évolution</w:t>
            </w:r>
          </w:p>
        </w:tc>
        <w:tc>
          <w:tcPr>
            <w:tcW w:type="dxa" w:w="3479"/>
          </w:tcPr>
          <w:p>
            <w:pPr>
              <w:spacing w:after="20" w:before="20" w:line="240" w:lineRule="auto"/>
              <w:jc w:val="left"/>
            </w:pPr>
            <w:r/>
            <w:r>
              <w:rPr>
                <w:sz w:val="18"/>
              </w:rPr>
              <w:t>Faut-il réentraîner ?</w:t>
            </w:r>
          </w:p>
        </w:tc>
        <w:tc>
          <w:tcPr>
            <w:tcW w:type="dxa" w:w="3847"/>
          </w:tcPr>
          <w:p>
            <w:pPr>
              <w:spacing w:after="20" w:before="20" w:line="240" w:lineRule="auto"/>
              <w:jc w:val="left"/>
            </w:pPr>
            <w:r/>
            <w:r>
              <w:rPr>
                <w:sz w:val="18"/>
              </w:rPr>
              <w:t>PR-AUC par année, modèle figé contre modèle mis à jour</w:t>
            </w:r>
          </w:p>
        </w:tc>
        <w:tc>
          <w:tcPr>
            <w:tcW w:type="dxa" w:w="773"/>
          </w:tcPr>
          <w:p>
            <w:pPr>
              <w:spacing w:after="20" w:before="20" w:line="240" w:lineRule="auto"/>
              <w:jc w:val="left"/>
            </w:pPr>
            <w:r/>
            <w:r>
              <w:rPr>
                <w:sz w:val="18"/>
              </w:rPr>
              <w:t>H5</w:t>
            </w:r>
          </w:p>
        </w:tc>
      </w:tr>
      <w:tr>
        <w:trPr>
          <w:cantSplit w:val="true"/>
        </w:trPr>
        <w:tc>
          <w:tcPr>
            <w:tcW w:type="dxa" w:w="1289"/>
          </w:tcPr>
          <w:p>
            <w:pPr>
              <w:spacing w:after="20" w:before="20" w:line="240" w:lineRule="auto"/>
              <w:jc w:val="left"/>
            </w:pPr>
            <w:r/>
            <w:r>
              <w:rPr>
                <w:sz w:val="18"/>
              </w:rPr>
              <w:t>Robustesse</w:t>
            </w:r>
          </w:p>
        </w:tc>
        <w:tc>
          <w:tcPr>
            <w:tcW w:type="dxa" w:w="3479"/>
          </w:tcPr>
          <w:p>
            <w:pPr>
              <w:spacing w:after="20" w:before="20" w:line="240" w:lineRule="auto"/>
              <w:jc w:val="left"/>
            </w:pPr>
            <w:r/>
            <w:r>
              <w:rPr>
                <w:sz w:val="18"/>
              </w:rPr>
              <w:t>Le modèle résiste-t-il à une attaque inédite ?</w:t>
            </w:r>
          </w:p>
        </w:tc>
        <w:tc>
          <w:tcPr>
            <w:tcW w:type="dxa" w:w="3847"/>
          </w:tcPr>
          <w:p>
            <w:pPr>
              <w:spacing w:after="20" w:before="20" w:line="240" w:lineRule="auto"/>
              <w:jc w:val="left"/>
            </w:pPr>
            <w:r/>
            <w:r>
              <w:rPr>
                <w:sz w:val="18"/>
              </w:rPr>
              <w:t>rappel sur une attaque injectée, lois physiques</w:t>
            </w:r>
          </w:p>
        </w:tc>
        <w:tc>
          <w:tcPr>
            <w:tcW w:type="dxa" w:w="773"/>
          </w:tcPr>
          <w:p>
            <w:pPr>
              <w:spacing w:after="20" w:before="20" w:line="240" w:lineRule="auto"/>
              <w:jc w:val="left"/>
            </w:pPr>
            <w:r/>
            <w:r>
              <w:rPr>
                <w:sz w:val="18"/>
              </w:rPr>
              <w:t>BT-19</w:t>
            </w:r>
          </w:p>
        </w:tc>
      </w:tr>
      <w:tr>
        <w:trPr>
          <w:cantSplit w:val="true"/>
        </w:trPr>
        <w:tc>
          <w:tcPr>
            <w:tcW w:type="dxa" w:w="1289"/>
          </w:tcPr>
          <w:p>
            <w:pPr>
              <w:spacing w:after="20" w:before="20" w:line="240" w:lineRule="auto"/>
              <w:jc w:val="left"/>
            </w:pPr>
            <w:r/>
            <w:r>
              <w:rPr>
                <w:sz w:val="18"/>
              </w:rPr>
              <w:t>Coût</w:t>
            </w:r>
          </w:p>
        </w:tc>
        <w:tc>
          <w:tcPr>
            <w:tcW w:type="dxa" w:w="3479"/>
          </w:tcPr>
          <w:p>
            <w:pPr>
              <w:spacing w:after="20" w:before="20" w:line="240" w:lineRule="auto"/>
              <w:jc w:val="left"/>
            </w:pPr>
            <w:r/>
            <w:r>
              <w:rPr>
                <w:sz w:val="18"/>
              </w:rPr>
              <w:t>La décision graduée réduit-elle la perte ?</w:t>
            </w:r>
          </w:p>
        </w:tc>
        <w:tc>
          <w:tcPr>
            <w:tcW w:type="dxa" w:w="3847"/>
          </w:tcPr>
          <w:p>
            <w:pPr>
              <w:spacing w:after="20" w:before="20" w:line="240" w:lineRule="auto"/>
              <w:jc w:val="left"/>
            </w:pPr>
            <w:r/>
            <w:r>
              <w:rPr>
                <w:sz w:val="18"/>
              </w:rPr>
              <w:t>perte attendue et réalisée, comparaison à un seuil unique</w:t>
            </w:r>
          </w:p>
        </w:tc>
        <w:tc>
          <w:tcPr>
            <w:tcW w:type="dxa" w:w="773"/>
          </w:tcPr>
          <w:p>
            <w:pPr>
              <w:spacing w:after="20" w:before="20" w:line="240" w:lineRule="auto"/>
              <w:jc w:val="left"/>
            </w:pPr>
            <w:r/>
            <w:r>
              <w:rPr>
                <w:sz w:val="18"/>
              </w:rPr>
              <w:t>BM-03</w:t>
            </w:r>
          </w:p>
        </w:tc>
      </w:tr>
      <w:tr>
        <w:trPr>
          <w:cantSplit w:val="true"/>
        </w:trPr>
        <w:tc>
          <w:tcPr>
            <w:tcW w:type="dxa" w:w="1289"/>
          </w:tcPr>
          <w:p>
            <w:pPr>
              <w:spacing w:after="20" w:before="20" w:line="240" w:lineRule="auto"/>
              <w:jc w:val="left"/>
            </w:pPr>
            <w:r/>
            <w:r>
              <w:rPr>
                <w:sz w:val="18"/>
              </w:rPr>
              <w:t>Explication et preuves</w:t>
            </w:r>
          </w:p>
        </w:tc>
        <w:tc>
          <w:tcPr>
            <w:tcW w:type="dxa" w:w="3479"/>
          </w:tcPr>
          <w:p>
            <w:pPr>
              <w:spacing w:after="20" w:before="20" w:line="240" w:lineRule="auto"/>
              <w:jc w:val="left"/>
            </w:pPr>
            <w:r/>
            <w:r>
              <w:rPr>
                <w:sz w:val="18"/>
              </w:rPr>
              <w:t>Les explications aident-elles ?</w:t>
            </w:r>
          </w:p>
        </w:tc>
        <w:tc>
          <w:tcPr>
            <w:tcW w:type="dxa" w:w="3847"/>
          </w:tcPr>
          <w:p>
            <w:pPr>
              <w:spacing w:after="20" w:before="20" w:line="240" w:lineRule="auto"/>
              <w:jc w:val="left"/>
            </w:pPr>
            <w:r/>
            <w:r>
              <w:rPr>
                <w:sz w:val="18"/>
              </w:rPr>
              <w:t>précision des alertes selon l'avis des cas proches, exactitude de l'analyse de texte</w:t>
            </w:r>
          </w:p>
        </w:tc>
        <w:tc>
          <w:tcPr>
            <w:tcW w:type="dxa" w:w="773"/>
          </w:tcPr>
          <w:p>
            <w:pPr>
              <w:spacing w:after="20" w:before="20" w:line="240" w:lineRule="auto"/>
              <w:jc w:val="left"/>
            </w:pPr>
            <w:r/>
            <w:r>
              <w:rPr>
                <w:sz w:val="18"/>
              </w:rPr>
              <w:t>BM-06, BM-10</w:t>
            </w:r>
          </w:p>
        </w:tc>
      </w:tr>
      <w:tr>
        <w:trPr>
          <w:cantSplit w:val="true"/>
        </w:trPr>
        <w:tc>
          <w:tcPr>
            <w:tcW w:type="dxa" w:w="1289"/>
          </w:tcPr>
          <w:p>
            <w:pPr>
              <w:spacing w:after="20" w:before="20" w:line="240" w:lineRule="auto"/>
              <w:jc w:val="left"/>
            </w:pPr>
            <w:r/>
            <w:r>
              <w:rPr>
                <w:sz w:val="18"/>
              </w:rPr>
              <w:t>Boucle de retour et réseaux</w:t>
            </w:r>
          </w:p>
        </w:tc>
        <w:tc>
          <w:tcPr>
            <w:tcW w:type="dxa" w:w="3479"/>
          </w:tcPr>
          <w:p>
            <w:pPr>
              <w:spacing w:after="20" w:before="20" w:line="240" w:lineRule="auto"/>
              <w:jc w:val="left"/>
            </w:pPr>
            <w:r/>
            <w:r>
              <w:rPr>
                <w:sz w:val="18"/>
              </w:rPr>
              <w:t>Revoir les bons cas et relier les comptes améliore-t-il la détection ?</w:t>
            </w:r>
          </w:p>
        </w:tc>
        <w:tc>
          <w:tcPr>
            <w:tcW w:type="dxa" w:w="3847"/>
          </w:tcPr>
          <w:p>
            <w:pPr>
              <w:spacing w:after="20" w:before="20" w:line="240" w:lineRule="auto"/>
              <w:jc w:val="left"/>
            </w:pPr>
            <w:r/>
            <w:r>
              <w:rPr>
                <w:sz w:val="18"/>
              </w:rPr>
              <w:t>fraudes manquées, rappel et précision des entités à risque</w:t>
            </w:r>
          </w:p>
        </w:tc>
        <w:tc>
          <w:tcPr>
            <w:tcW w:type="dxa" w:w="773"/>
          </w:tcPr>
          <w:p>
            <w:pPr>
              <w:spacing w:after="20" w:before="20" w:line="240" w:lineRule="auto"/>
              <w:jc w:val="left"/>
            </w:pPr>
            <w:r/>
            <w:r>
              <w:rPr>
                <w:sz w:val="18"/>
              </w:rPr>
              <w:t>BM-22, BM-23</w:t>
            </w:r>
          </w:p>
        </w:tc>
      </w:tr>
      <w:tr>
        <w:trPr>
          <w:cantSplit w:val="true"/>
        </w:trPr>
        <w:tc>
          <w:tcPr>
            <w:tcW w:type="dxa" w:w="1289"/>
          </w:tcPr>
          <w:p>
            <w:pPr>
              <w:spacing w:after="20" w:before="20" w:line="240" w:lineRule="auto"/>
              <w:jc w:val="left"/>
            </w:pPr>
            <w:r/>
            <w:r>
              <w:rPr>
                <w:sz w:val="18"/>
              </w:rPr>
              <w:t>Temps réel et équité</w:t>
            </w:r>
          </w:p>
        </w:tc>
        <w:tc>
          <w:tcPr>
            <w:tcW w:type="dxa" w:w="3479"/>
          </w:tcPr>
          <w:p>
            <w:pPr>
              <w:spacing w:after="20" w:before="20" w:line="240" w:lineRule="auto"/>
              <w:jc w:val="left"/>
            </w:pPr>
            <w:r/>
            <w:r>
              <w:rPr>
                <w:sz w:val="18"/>
              </w:rPr>
              <w:t>Le système tient-il le délai ? Les erreurs sont-elles réparties équitablement ?</w:t>
            </w:r>
          </w:p>
        </w:tc>
        <w:tc>
          <w:tcPr>
            <w:tcW w:type="dxa" w:w="3847"/>
          </w:tcPr>
          <w:p>
            <w:pPr>
              <w:spacing w:after="20" w:before="20" w:line="240" w:lineRule="auto"/>
              <w:jc w:val="left"/>
            </w:pPr>
            <w:r/>
            <w:r>
              <w:rPr>
                <w:sz w:val="18"/>
              </w:rPr>
              <w:t>latence médiane et au 95ᵉ centile ; taux de fausses alertes par groupe</w:t>
            </w:r>
          </w:p>
        </w:tc>
        <w:tc>
          <w:tcPr>
            <w:tcW w:type="dxa" w:w="773"/>
          </w:tcPr>
          <w:p>
            <w:pPr>
              <w:spacing w:after="20" w:before="20" w:line="240" w:lineRule="auto"/>
              <w:jc w:val="left"/>
            </w:pPr>
            <w:r/>
            <w:r>
              <w:rPr>
                <w:sz w:val="18"/>
              </w:rPr>
              <w:t>BT-01, BM-25</w:t>
            </w:r>
          </w:p>
        </w:tc>
      </w:tr>
    </w:tbl>
    <w:p>
      <w:pPr>
        <w:spacing w:after="120"/>
      </w:pPr>
    </w:p>
    <w:p>
      <w:pPr>
        <w:pStyle w:val="Titre3"/>
        <w:keepNext/>
        <w:numPr>
          <w:numId w:val="0"/>
        </w:numPr>
        <w:spacing w:before="280" w:after="120"/>
        <w:ind w:left="0" w:firstLine="0"/>
        <w:jc w:val="left"/>
      </w:pPr>
      <w:r>
        <w:rPr>
          <w:b/>
          <w:color w:val="1F2A44"/>
          <w:sz w:val="28"/>
        </w:rPr>
        <w:t>5. Métriques utilisées</w:t>
      </w:r>
    </w:p>
    <w:p>
      <w:pPr>
        <w:pStyle w:val="Titre4"/>
        <w:keepNext/>
        <w:numPr>
          <w:numId w:val="0"/>
        </w:numPr>
        <w:spacing w:before="200" w:after="120"/>
        <w:ind w:left="0" w:firstLine="0"/>
        <w:jc w:val="left"/>
      </w:pPr>
      <w:r>
        <w:rPr>
          <w:b/>
          <w:i/>
          <w:color w:val="000000"/>
          <w:sz w:val="25"/>
        </w:rPr>
        <w:t>5.1 Matrice de confusion et métriques de classification</w:t>
      </w:r>
    </w:p>
    <w:p>
      <w:pPr>
        <w:spacing w:before="0" w:after="120" w:line="360" w:lineRule="auto"/>
        <w:jc w:val="both"/>
      </w:pPr>
      <w:r>
        <w:rPr>
          <w:sz w:val="24"/>
        </w:rPr>
        <w:t xml:space="preserve">On note </w:t>
      </w:r>
      <m:oMath>
        <m:r>
          <m:t>VP</m:t>
        </m:r>
      </m:oMath>
      <w:r>
        <w:rPr>
          <w:sz w:val="24"/>
        </w:rPr>
        <w:t xml:space="preserve"> les vrais positifs (fraudes détectées), </w:t>
      </w:r>
      <m:oMath>
        <m:r>
          <m:t>FP</m:t>
        </m:r>
      </m:oMath>
      <w:r>
        <w:rPr>
          <w:sz w:val="24"/>
        </w:rPr>
        <w:t xml:space="preserve"> les faux positifs (fausses alertes), </w:t>
      </w:r>
      <m:oMath>
        <m:r>
          <m:t>FN</m:t>
        </m:r>
      </m:oMath>
      <w:r>
        <w:rPr>
          <w:sz w:val="24"/>
        </w:rPr>
        <w:t xml:space="preserve"> les faux négatifs (fraudes manquées) et </w:t>
      </w:r>
      <m:oMath>
        <m:r>
          <m:t>VN</m:t>
        </m:r>
      </m:oMath>
      <w:r>
        <w:rPr>
          <w:sz w:val="24"/>
        </w:rPr>
        <w:t xml:space="preserve"> les vrais négatifs. Le tableau II.31 définit les métriques employées.</w:t>
      </w:r>
    </w:p>
    <w:p>
      <w:pPr>
        <w:pStyle w:val="Légendetableau"/>
        <w:keepNext/>
        <w:spacing w:before="200" w:after="80"/>
        <w:jc w:val="center"/>
      </w:pPr>
      <w:r>
        <w:rPr>
          <w:b/>
          <w:sz w:val="20"/>
        </w:rPr>
        <w:t>Tableau II.31 — Métriques d'évaluation.</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1719"/>
        <w:gridCol w:w="2380"/>
        <w:gridCol w:w="5290"/>
      </w:tblGrid>
      <w:tr>
        <w:trPr>
          <w:tblHeader w:val="true"/>
        </w:trPr>
        <w:tc>
          <w:tcPr>
            <w:tcW w:type="dxa" w:w="1719"/>
            <w:shd w:val="clear" w:color="auto" w:fill="D9E2F3"/>
          </w:tcPr>
          <w:p>
            <w:pPr>
              <w:spacing w:after="20" w:before="20" w:line="240" w:lineRule="auto"/>
              <w:jc w:val="left"/>
            </w:pPr>
            <w:r/>
            <w:r>
              <w:rPr>
                <w:b/>
                <w:sz w:val="20"/>
              </w:rPr>
              <w:t>Métrique</w:t>
            </w:r>
          </w:p>
        </w:tc>
        <w:tc>
          <w:tcPr>
            <w:tcW w:type="dxa" w:w="2380"/>
            <w:shd w:val="clear" w:color="auto" w:fill="D9E2F3"/>
          </w:tcPr>
          <w:p>
            <w:pPr>
              <w:spacing w:after="20" w:before="20" w:line="240" w:lineRule="auto"/>
              <w:jc w:val="left"/>
            </w:pPr>
            <w:r/>
            <w:r>
              <w:rPr>
                <w:b/>
                <w:sz w:val="20"/>
              </w:rPr>
              <w:t>Définition</w:t>
            </w:r>
          </w:p>
        </w:tc>
        <w:tc>
          <w:tcPr>
            <w:tcW w:type="dxa" w:w="5290"/>
            <w:shd w:val="clear" w:color="auto" w:fill="D9E2F3"/>
          </w:tcPr>
          <w:p>
            <w:pPr>
              <w:spacing w:after="20" w:before="20" w:line="240" w:lineRule="auto"/>
              <w:jc w:val="left"/>
            </w:pPr>
            <w:r/>
            <w:r>
              <w:rPr>
                <w:b/>
                <w:sz w:val="20"/>
              </w:rPr>
              <w:t>Lecture métier</w:t>
            </w:r>
          </w:p>
        </w:tc>
      </w:tr>
      <w:tr>
        <w:trPr>
          <w:cantSplit w:val="true"/>
        </w:trPr>
        <w:tc>
          <w:tcPr>
            <w:tcW w:type="dxa" w:w="1719"/>
          </w:tcPr>
          <w:p>
            <w:pPr>
              <w:spacing w:after="20" w:before="20" w:line="240" w:lineRule="auto"/>
              <w:jc w:val="left"/>
            </w:pPr>
            <w:r/>
            <w:r>
              <w:rPr>
                <w:sz w:val="20"/>
              </w:rPr>
              <w:t>Précision</w:t>
            </w:r>
          </w:p>
        </w:tc>
        <w:tc>
          <w:tcPr>
            <w:tcW w:type="dxa" w:w="2380"/>
          </w:tcPr>
          <w:p>
            <w:pPr>
              <w:spacing w:after="20" w:before="20" w:line="240" w:lineRule="auto"/>
              <w:jc w:val="left"/>
            </w:pPr>
            <w:r/>
            <m:oMath>
              <m:r>
                <m:t>VP/(VP+FP)</m:t>
              </m:r>
            </m:oMath>
          </w:p>
        </w:tc>
        <w:tc>
          <w:tcPr>
            <w:tcW w:type="dxa" w:w="5290"/>
          </w:tcPr>
          <w:p>
            <w:pPr>
              <w:spacing w:after="20" w:before="20" w:line="240" w:lineRule="auto"/>
              <w:jc w:val="left"/>
            </w:pPr>
            <w:r/>
            <w:r>
              <w:rPr>
                <w:sz w:val="20"/>
              </w:rPr>
              <w:t>part des alertes justifiées</w:t>
            </w:r>
          </w:p>
        </w:tc>
      </w:tr>
      <w:tr>
        <w:trPr>
          <w:cantSplit w:val="true"/>
        </w:trPr>
        <w:tc>
          <w:tcPr>
            <w:tcW w:type="dxa" w:w="1719"/>
          </w:tcPr>
          <w:p>
            <w:pPr>
              <w:spacing w:after="20" w:before="20" w:line="240" w:lineRule="auto"/>
              <w:jc w:val="left"/>
            </w:pPr>
            <w:r/>
            <w:r>
              <w:rPr>
                <w:sz w:val="20"/>
              </w:rPr>
              <w:t>Rappel (sensibilité)</w:t>
            </w:r>
          </w:p>
        </w:tc>
        <w:tc>
          <w:tcPr>
            <w:tcW w:type="dxa" w:w="2380"/>
          </w:tcPr>
          <w:p>
            <w:pPr>
              <w:spacing w:after="20" w:before="20" w:line="240" w:lineRule="auto"/>
              <w:jc w:val="left"/>
            </w:pPr>
            <w:r/>
            <m:oMath>
              <m:r>
                <m:t>VP/(VP+FN)</m:t>
              </m:r>
            </m:oMath>
          </w:p>
        </w:tc>
        <w:tc>
          <w:tcPr>
            <w:tcW w:type="dxa" w:w="5290"/>
          </w:tcPr>
          <w:p>
            <w:pPr>
              <w:spacing w:after="20" w:before="20" w:line="240" w:lineRule="auto"/>
              <w:jc w:val="left"/>
            </w:pPr>
            <w:r/>
            <w:r>
              <w:rPr>
                <w:sz w:val="20"/>
              </w:rPr>
              <w:t>part des fraudes interceptées</w:t>
            </w:r>
          </w:p>
        </w:tc>
      </w:tr>
      <w:tr>
        <w:trPr>
          <w:cantSplit w:val="true"/>
        </w:trPr>
        <w:tc>
          <w:tcPr>
            <w:tcW w:type="dxa" w:w="1719"/>
          </w:tcPr>
          <w:p>
            <w:pPr>
              <w:spacing w:after="20" w:before="20" w:line="240" w:lineRule="auto"/>
              <w:jc w:val="left"/>
            </w:pPr>
            <w:r/>
            <w:r>
              <w:rPr>
                <w:sz w:val="20"/>
              </w:rPr>
              <w:t>Spécificité</w:t>
            </w:r>
          </w:p>
        </w:tc>
        <w:tc>
          <w:tcPr>
            <w:tcW w:type="dxa" w:w="2380"/>
          </w:tcPr>
          <w:p>
            <w:pPr>
              <w:spacing w:after="20" w:before="20" w:line="240" w:lineRule="auto"/>
              <w:jc w:val="left"/>
            </w:pPr>
            <w:r/>
            <m:oMath>
              <m:r>
                <m:t>VN/(VN+FP)</m:t>
              </m:r>
            </m:oMath>
          </w:p>
        </w:tc>
        <w:tc>
          <w:tcPr>
            <w:tcW w:type="dxa" w:w="5290"/>
          </w:tcPr>
          <w:p>
            <w:pPr>
              <w:spacing w:after="20" w:before="20" w:line="240" w:lineRule="auto"/>
              <w:jc w:val="left"/>
            </w:pPr>
            <w:r/>
            <w:r>
              <w:rPr>
                <w:sz w:val="20"/>
              </w:rPr>
              <w:t>part des opérations légitimes laissées passer</w:t>
            </w:r>
          </w:p>
        </w:tc>
      </w:tr>
      <w:tr>
        <w:trPr>
          <w:cantSplit w:val="true"/>
        </w:trPr>
        <w:tc>
          <w:tcPr>
            <w:tcW w:type="dxa" w:w="1719"/>
          </w:tcPr>
          <w:p>
            <w:pPr>
              <w:spacing w:after="20" w:before="20" w:line="240" w:lineRule="auto"/>
              <w:jc w:val="left"/>
            </w:pPr>
            <w:r/>
            <w:r>
              <w:rPr>
                <w:sz w:val="20"/>
              </w:rPr>
              <w:t>Taux de faux positifs</w:t>
            </w:r>
          </w:p>
        </w:tc>
        <w:tc>
          <w:tcPr>
            <w:tcW w:type="dxa" w:w="2380"/>
          </w:tcPr>
          <w:p>
            <w:pPr>
              <w:spacing w:after="20" w:before="20" w:line="240" w:lineRule="auto"/>
              <w:jc w:val="left"/>
            </w:pPr>
            <w:r/>
            <m:oMath>
              <m:r>
                <m:t>FP/(FP+VN)</m:t>
              </m:r>
            </m:oMath>
          </w:p>
        </w:tc>
        <w:tc>
          <w:tcPr>
            <w:tcW w:type="dxa" w:w="5290"/>
          </w:tcPr>
          <w:p>
            <w:pPr>
              <w:spacing w:after="20" w:before="20" w:line="240" w:lineRule="auto"/>
              <w:jc w:val="left"/>
            </w:pPr>
            <w:r/>
            <w:r>
              <w:rPr>
                <w:sz w:val="20"/>
              </w:rPr>
              <w:t>clients honnêtes dérangés</w:t>
            </w:r>
          </w:p>
        </w:tc>
      </w:tr>
      <w:tr>
        <w:trPr>
          <w:cantSplit w:val="true"/>
        </w:trPr>
        <w:tc>
          <w:tcPr>
            <w:tcW w:type="dxa" w:w="1719"/>
          </w:tcPr>
          <w:p>
            <w:pPr>
              <w:spacing w:after="20" w:before="20" w:line="240" w:lineRule="auto"/>
              <w:jc w:val="left"/>
            </w:pPr>
            <w:r/>
            <w:r>
              <w:rPr>
                <w:sz w:val="20"/>
              </w:rPr>
              <w:t>F1</w:t>
            </w:r>
          </w:p>
        </w:tc>
        <w:tc>
          <w:tcPr>
            <w:tcW w:type="dxa" w:w="2380"/>
          </w:tcPr>
          <w:p>
            <w:pPr>
              <w:spacing w:after="20" w:before="20" w:line="240" w:lineRule="auto"/>
              <w:jc w:val="left"/>
            </w:pPr>
            <w:r/>
            <m:oMath>
              <m:r>
                <m:t>2PR/(P+R)</m:t>
              </m:r>
            </m:oMath>
          </w:p>
        </w:tc>
        <w:tc>
          <w:tcPr>
            <w:tcW w:type="dxa" w:w="5290"/>
          </w:tcPr>
          <w:p>
            <w:pPr>
              <w:spacing w:after="20" w:before="20" w:line="240" w:lineRule="auto"/>
              <w:jc w:val="left"/>
            </w:pPr>
            <w:r/>
            <w:r>
              <w:rPr>
                <w:sz w:val="20"/>
              </w:rPr>
              <w:t>compromis précision / rappel (moyenne harmonique : elle s'effondre si l'une des deux est faible)</w:t>
            </w:r>
          </w:p>
        </w:tc>
      </w:tr>
      <w:tr>
        <w:trPr>
          <w:cantSplit w:val="true"/>
        </w:trPr>
        <w:tc>
          <w:tcPr>
            <w:tcW w:type="dxa" w:w="1719"/>
          </w:tcPr>
          <w:p>
            <w:pPr>
              <w:spacing w:after="20" w:before="20" w:line="240" w:lineRule="auto"/>
              <w:jc w:val="left"/>
            </w:pPr>
            <w:r/>
            <w:r>
              <w:rPr>
                <w:sz w:val="20"/>
              </w:rPr>
              <w:t>F2</w:t>
            </w:r>
          </w:p>
        </w:tc>
        <w:tc>
          <w:tcPr>
            <w:tcW w:type="dxa" w:w="2380"/>
          </w:tcPr>
          <w:p>
            <w:pPr>
              <w:spacing w:after="20" w:before="20" w:line="240" w:lineRule="auto"/>
              <w:jc w:val="left"/>
            </w:pPr>
            <w:r/>
            <m:oMath>
              <m:r>
                <m:t>5PR/(4P+R)</m:t>
              </m:r>
            </m:oMath>
          </w:p>
        </w:tc>
        <w:tc>
          <w:tcPr>
            <w:tcW w:type="dxa" w:w="5290"/>
          </w:tcPr>
          <w:p>
            <w:pPr>
              <w:spacing w:after="20" w:before="20" w:line="240" w:lineRule="auto"/>
              <w:jc w:val="left"/>
            </w:pPr>
            <w:r/>
            <w:r>
              <w:rPr>
                <w:sz w:val="20"/>
              </w:rPr>
              <w:t>compromis qui donne deux fois plus de poids au rappel, car manquer une fraude coûte plus cher</w:t>
            </w:r>
          </w:p>
        </w:tc>
      </w:tr>
      <w:tr>
        <w:trPr>
          <w:cantSplit w:val="true"/>
        </w:trPr>
        <w:tc>
          <w:tcPr>
            <w:tcW w:type="dxa" w:w="1719"/>
          </w:tcPr>
          <w:p>
            <w:pPr>
              <w:spacing w:after="20" w:before="20" w:line="240" w:lineRule="auto"/>
              <w:jc w:val="left"/>
            </w:pPr>
            <w:r/>
            <w:r>
              <w:rPr>
                <w:sz w:val="20"/>
              </w:rPr>
              <w:t>MCC</w:t>
            </w:r>
          </w:p>
        </w:tc>
        <w:tc>
          <w:tcPr>
            <w:tcW w:type="dxa" w:w="2380"/>
          </w:tcPr>
          <w:p>
            <w:pPr>
              <w:spacing w:after="20" w:before="20" w:line="240" w:lineRule="auto"/>
              <w:jc w:val="left"/>
            </w:pPr>
            <w:r/>
            <w:r>
              <w:rPr>
                <w:sz w:val="20"/>
              </w:rPr>
              <w:t>voir ci-dessous</w:t>
            </w:r>
          </w:p>
        </w:tc>
        <w:tc>
          <w:tcPr>
            <w:tcW w:type="dxa" w:w="5290"/>
          </w:tcPr>
          <w:p>
            <w:pPr>
              <w:spacing w:after="20" w:before="20" w:line="240" w:lineRule="auto"/>
              <w:jc w:val="left"/>
            </w:pPr>
            <w:r/>
            <w:r>
              <w:rPr>
                <w:sz w:val="20"/>
              </w:rPr>
              <w:t xml:space="preserve">corrélation entre prédiction et réalité, de </w:t>
            </w:r>
            <m:oMath>
              <m:r>
                <m:t>−1</m:t>
              </m:r>
            </m:oMath>
            <w:r>
              <w:rPr>
                <w:sz w:val="20"/>
              </w:rPr>
              <w:t xml:space="preserve"> à </w:t>
            </w:r>
            <m:oMath>
              <m:r>
                <m:t>+1</m:t>
              </m:r>
            </m:oMath>
          </w:p>
        </w:tc>
      </w:tr>
      <w:tr>
        <w:trPr>
          <w:cantSplit w:val="true"/>
        </w:trPr>
        <w:tc>
          <w:tcPr>
            <w:tcW w:type="dxa" w:w="1719"/>
          </w:tcPr>
          <w:p>
            <w:pPr>
              <w:spacing w:after="20" w:before="20" w:line="240" w:lineRule="auto"/>
              <w:jc w:val="left"/>
            </w:pPr>
            <w:r/>
            <w:r>
              <w:rPr>
                <w:sz w:val="20"/>
              </w:rPr>
              <w:t>Exactitude équilibrée</w:t>
            </w:r>
          </w:p>
        </w:tc>
        <w:tc>
          <w:tcPr>
            <w:tcW w:type="dxa" w:w="2380"/>
          </w:tcPr>
          <w:p>
            <w:pPr>
              <w:spacing w:after="20" w:before="20" w:line="240" w:lineRule="auto"/>
              <w:jc w:val="left"/>
            </w:pPr>
            <w:r/>
            <w:r>
              <w:rPr>
                <w:sz w:val="20"/>
              </w:rPr>
              <w:t>(rappel + spécificité) / 2</w:t>
            </w:r>
          </w:p>
        </w:tc>
        <w:tc>
          <w:tcPr>
            <w:tcW w:type="dxa" w:w="5290"/>
          </w:tcPr>
          <w:p>
            <w:pPr>
              <w:spacing w:after="20" w:before="20" w:line="240" w:lineRule="auto"/>
              <w:jc w:val="left"/>
            </w:pPr>
            <w:r/>
            <w:r>
              <w:rPr>
                <w:sz w:val="20"/>
              </w:rPr>
              <w:t>neutralise le poids écrasant des légitimes</w:t>
            </w:r>
          </w:p>
        </w:tc>
      </w:tr>
      <w:tr>
        <w:trPr>
          <w:cantSplit w:val="true"/>
        </w:trPr>
        <w:tc>
          <w:tcPr>
            <w:tcW w:type="dxa" w:w="1719"/>
          </w:tcPr>
          <w:p>
            <w:pPr>
              <w:spacing w:after="20" w:before="20" w:line="240" w:lineRule="auto"/>
              <w:jc w:val="left"/>
            </w:pPr>
            <w:r/>
            <w:r>
              <w:rPr>
                <w:sz w:val="20"/>
              </w:rPr>
              <w:t>Kappa de Cohen</w:t>
            </w:r>
          </w:p>
        </w:tc>
        <w:tc>
          <w:tcPr>
            <w:tcW w:type="dxa" w:w="2380"/>
          </w:tcPr>
          <w:p>
            <w:pPr>
              <w:spacing w:after="20" w:before="20" w:line="240" w:lineRule="auto"/>
              <w:jc w:val="left"/>
            </w:pPr>
            <w:r/>
            <w:r>
              <w:rPr>
                <w:sz w:val="20"/>
              </w:rPr>
              <w:t>accord corrigé de l'accord dû au hasard</w:t>
            </w:r>
          </w:p>
        </w:tc>
        <w:tc>
          <w:tcPr>
            <w:tcW w:type="dxa" w:w="5290"/>
          </w:tcPr>
          <w:p>
            <w:pPr>
              <w:spacing w:after="20" w:before="20" w:line="240" w:lineRule="auto"/>
              <w:jc w:val="left"/>
            </w:pPr>
            <w:r/>
            <w:r>
              <w:rPr>
                <w:sz w:val="20"/>
              </w:rPr>
              <w:t>0 : pas mieux que le hasard ; 1 : accord parfait</w:t>
            </w:r>
          </w:p>
        </w:tc>
      </w:tr>
      <w:tr>
        <w:trPr>
          <w:cantSplit w:val="true"/>
        </w:trPr>
        <w:tc>
          <w:tcPr>
            <w:tcW w:type="dxa" w:w="1719"/>
          </w:tcPr>
          <w:p>
            <w:pPr>
              <w:spacing w:after="20" w:before="20" w:line="240" w:lineRule="auto"/>
              <w:jc w:val="left"/>
            </w:pPr>
            <w:r/>
            <w:r>
              <w:rPr>
                <w:sz w:val="20"/>
              </w:rPr>
              <w:t>Score de Brier</w:t>
            </w:r>
          </w:p>
        </w:tc>
        <w:tc>
          <w:tcPr>
            <w:tcW w:type="dxa" w:w="2380"/>
          </w:tcPr>
          <w:p>
            <w:pPr>
              <w:spacing w:after="20" w:before="20" w:line="240" w:lineRule="auto"/>
              <w:jc w:val="left"/>
            </w:pPr>
            <w:r/>
            <m:oMath>
              <m:f>
                <m:fPr>
                  <m:type m:val="bar"/>
                </m:fPr>
                <m:num>
                  <m:r>
                    <m:t>1</m:t>
                  </m:r>
                </m:num>
                <m:den>
                  <m:r>
                    <m:t>n</m:t>
                  </m:r>
                </m:den>
              </m:f>
              <m:nary>
                <m:naryPr>
                  <m:chr m:val="∑"/>
                  <m:limLoc m:val="subSup"/>
                  <m:grow m:val="1"/>
                  <m:subHide m:val="off"/>
                  <m:supHide m:val="on"/>
                </m:naryPr>
                <m:sub>
                  <m:r>
                    <m:t>i</m:t>
                  </m:r>
                </m:sub>
                <m:sup/>
                <m:e>
                  <m:r>
                    <m:t>(</m:t>
                  </m:r>
                </m:e>
              </m:nary>
              <m:sSub>
                <m:e>
                  <m:acc>
                    <m:accPr>
                      <m:chr m:val="̂"/>
                    </m:accPr>
                    <m:e>
                      <m:r>
                        <m:t>p</m:t>
                      </m:r>
                    </m:e>
                  </m:acc>
                </m:e>
                <m:sub>
                  <m:r>
                    <m:t>i</m:t>
                  </m:r>
                </m:sub>
              </m:sSub>
              <m:r>
                <m:t>−</m:t>
              </m:r>
              <m:sSub>
                <m:e>
                  <m:r>
                    <m:t>y</m:t>
                  </m:r>
                </m:e>
                <m:sub>
                  <m:r>
                    <m:t>i</m:t>
                  </m:r>
                </m:sub>
              </m:sSub>
              <m:sSup>
                <m:e>
                  <m:r>
                    <m:t>)</m:t>
                  </m:r>
                </m:e>
                <m:sup>
                  <m:r>
                    <m:t>2</m:t>
                  </m:r>
                </m:sup>
              </m:sSup>
            </m:oMath>
          </w:p>
        </w:tc>
        <w:tc>
          <w:tcPr>
            <w:tcW w:type="dxa" w:w="5290"/>
          </w:tcPr>
          <w:p>
            <w:pPr>
              <w:spacing w:after="20" w:before="20" w:line="240" w:lineRule="auto"/>
              <w:jc w:val="left"/>
            </w:pPr>
            <w:r/>
            <w:r>
              <w:rPr>
                <w:sz w:val="20"/>
              </w:rPr>
              <w:t>qualité des probabilités prédites (Brier, 1950)</w:t>
            </w:r>
          </w:p>
        </w:tc>
      </w:tr>
      <w:tr>
        <w:trPr>
          <w:cantSplit w:val="true"/>
        </w:trPr>
        <w:tc>
          <w:tcPr>
            <w:tcW w:type="dxa" w:w="1719"/>
          </w:tcPr>
          <w:p>
            <w:pPr>
              <w:spacing w:after="20" w:before="20" w:line="240" w:lineRule="auto"/>
              <w:jc w:val="left"/>
            </w:pPr>
            <w:r/>
            <w:r>
              <w:rPr>
                <w:sz w:val="20"/>
              </w:rPr>
              <w:t xml:space="preserve">Rappel à </w:t>
            </w:r>
            <m:oMath>
              <m:r>
                <m:t>x</m:t>
              </m:r>
            </m:oMath>
            <w:r>
              <w:rPr>
                <w:sz w:val="20"/>
              </w:rPr>
              <w:t xml:space="preserve"> % de faux positifs</w:t>
            </w:r>
          </w:p>
        </w:tc>
        <w:tc>
          <w:tcPr>
            <w:tcW w:type="dxa" w:w="2380"/>
          </w:tcPr>
          <w:p>
            <w:pPr>
              <w:spacing w:after="20" w:before="20" w:line="240" w:lineRule="auto"/>
              <w:jc w:val="left"/>
            </w:pPr>
            <w:r/>
            <w:r>
              <w:rPr>
                <w:sz w:val="20"/>
              </w:rPr>
              <w:t xml:space="preserve">rappel maximal quand le taux de faux positifs est plafonné à </w:t>
            </w:r>
            <m:oMath>
              <m:r>
                <m:t>x</m:t>
              </m:r>
            </m:oMath>
            <w:r>
              <w:rPr>
                <w:sz w:val="20"/>
              </w:rPr>
              <w:t xml:space="preserve"> %</w:t>
            </w:r>
          </w:p>
        </w:tc>
        <w:tc>
          <w:tcPr>
            <w:tcW w:type="dxa" w:w="5290"/>
          </w:tcPr>
          <w:p>
            <w:pPr>
              <w:spacing w:after="20" w:before="20" w:line="240" w:lineRule="auto"/>
              <w:jc w:val="left"/>
            </w:pPr>
            <w:r/>
            <w:r>
              <w:rPr>
                <w:sz w:val="20"/>
              </w:rPr>
              <w:t>performance à budget d'alertes fixé</w:t>
            </w:r>
          </w:p>
        </w:tc>
      </w:tr>
    </w:tbl>
    <w:p>
      <w:pPr>
        <w:spacing w:after="120"/>
      </w:pPr>
    </w:p>
    <w:p>
      <w:pPr>
        <w:spacing w:before="0" w:after="120" w:line="360" w:lineRule="auto"/>
        <w:jc w:val="both"/>
      </w:pPr>
      <w:r>
        <w:rPr>
          <w:sz w:val="24"/>
        </w:rPr>
        <w:t xml:space="preserve">Le </w:t>
      </w:r>
      <w:r>
        <w:rPr>
          <w:b/>
          <w:sz w:val="24"/>
        </w:rPr>
        <w:t>coefficient de corrélation de Matthews</w:t>
      </w:r>
      <w:r>
        <w:rPr>
          <w:sz w:val="24"/>
        </w:rPr>
        <w:t xml:space="preserve"> utilise les quatre cases de la matrice de confusion et reste fiable quand les classes sont très déséquilibrées (Chicco et Jurman, 2020) :</w:t>
      </w:r>
    </w:p>
    <w:p>
      <w:pPr>
        <w:spacing w:before="120" w:after="160"/>
        <w:jc w:val="center"/>
      </w:pPr>
      <m:oMath>
        <m:r>
          <m:t>MCC=</m:t>
        </m:r>
        <m:f>
          <m:fPr>
            <m:type m:val="bar"/>
          </m:fPr>
          <m:num>
            <m:r>
              <m:t>VP·VN−FP·FN</m:t>
            </m:r>
          </m:num>
          <m:den>
            <m:rad>
              <m:radPr>
                <m:degHide m:val="on"/>
              </m:radPr>
              <m:deg/>
              <m:e>
                <m:d>
                  <m:dPr>
                    <m:sepChr m:val=""/>
                  </m:dPr>
                  <m:e>
                    <m:r>
                      <m:t>V</m:t>
                    </m:r>
                    <m:r>
                      <m:t>P</m:t>
                    </m:r>
                    <m:r>
                      <m:t>+</m:t>
                    </m:r>
                    <m:r>
                      <m:t>F</m:t>
                    </m:r>
                    <m:r>
                      <m:t>P</m:t>
                    </m:r>
                    <m:r>
                      <m:t>)</m:t>
                    </m:r>
                    <m:r>
                      <m:t>(</m:t>
                    </m:r>
                    <m:r>
                      <m:t>V</m:t>
                    </m:r>
                    <m:r>
                      <m:t>P</m:t>
                    </m:r>
                    <m:r>
                      <m:t>+</m:t>
                    </m:r>
                    <m:r>
                      <m:t>F</m:t>
                    </m:r>
                    <m:r>
                      <m:t>N</m:t>
                    </m:r>
                    <m:r>
                      <m:t>)</m:t>
                    </m:r>
                    <m:r>
                      <m:t>(</m:t>
                    </m:r>
                    <m:r>
                      <m:t>V</m:t>
                    </m:r>
                    <m:r>
                      <m:t>N</m:t>
                    </m:r>
                    <m:r>
                      <m:t>+</m:t>
                    </m:r>
                    <m:r>
                      <m:t>F</m:t>
                    </m:r>
                    <m:r>
                      <m:t>P</m:t>
                    </m:r>
                    <m:r>
                      <m:t>)</m:t>
                    </m:r>
                    <m:r>
                      <m:t>(</m:t>
                    </m:r>
                    <m:r>
                      <m:t>V</m:t>
                    </m:r>
                    <m:r>
                      <m:t>N</m:t>
                    </m:r>
                    <m:r>
                      <m:t>+</m:t>
                    </m:r>
                    <m:r>
                      <m:t>F</m:t>
                    </m:r>
                    <m:r>
                      <m:t>N</m:t>
                    </m:r>
                  </m:e>
                </m:d>
              </m:e>
            </m:rad>
          </m:den>
        </m:f>
      </m:oMath>
    </w:p>
    <w:p>
      <w:pPr>
        <w:pStyle w:val="Titre4"/>
        <w:keepNext/>
        <w:numPr>
          <w:numId w:val="0"/>
        </w:numPr>
        <w:spacing w:before="200" w:after="120"/>
        <w:ind w:left="0" w:firstLine="0"/>
        <w:jc w:val="left"/>
      </w:pPr>
      <w:r>
        <w:rPr>
          <w:b/>
          <w:i/>
          <w:color w:val="000000"/>
          <w:sz w:val="25"/>
        </w:rPr>
        <w:t>5.2 Courbes et métrique principale</w:t>
      </w:r>
    </w:p>
    <w:p>
      <w:pPr>
        <w:spacing w:before="0" w:after="120" w:line="360" w:lineRule="auto"/>
        <w:jc w:val="both"/>
      </w:pPr>
      <w:r>
        <w:rPr>
          <w:sz w:val="24"/>
        </w:rPr>
        <w:t xml:space="preserve">La </w:t>
      </w:r>
      <w:r>
        <w:rPr>
          <w:b/>
          <w:sz w:val="24"/>
        </w:rPr>
        <w:t>courbe ROC</w:t>
      </w:r>
      <w:r>
        <w:rPr>
          <w:sz w:val="24"/>
        </w:rPr>
        <w:t xml:space="preserve"> trace le taux de vrais positifs en fonction du taux de faux positifs pour tous les seuils ; la </w:t>
      </w:r>
      <w:r>
        <w:rPr>
          <w:b/>
          <w:sz w:val="24"/>
        </w:rPr>
        <w:t>ROC-AUC</w:t>
      </w:r>
      <w:r>
        <w:rPr>
          <w:sz w:val="24"/>
        </w:rPr>
        <w:t xml:space="preserve"> est l'aire sous cette courbe. La </w:t>
      </w:r>
      <w:r>
        <w:rPr>
          <w:b/>
          <w:sz w:val="24"/>
        </w:rPr>
        <w:t>courbe précision-rappel</w:t>
      </w:r>
      <w:r>
        <w:rPr>
          <w:sz w:val="24"/>
        </w:rPr>
        <w:t xml:space="preserve"> trace la précision en fonction du rappel ; la </w:t>
      </w:r>
      <w:r>
        <w:rPr>
          <w:b/>
          <w:sz w:val="24"/>
        </w:rPr>
        <w:t>PR-AUC</w:t>
      </w:r>
      <w:r>
        <w:rPr>
          <w:sz w:val="24"/>
        </w:rPr>
        <w:t xml:space="preserve"> (précision moyenne) en est l'aire :</w:t>
      </w:r>
    </w:p>
    <w:p>
      <w:pPr>
        <w:spacing w:before="120" w:after="160"/>
        <w:jc w:val="center"/>
      </w:pPr>
      <m:oMath>
        <m:r>
          <m:rPr>
            <m:nor/>
          </m:rPr>
          <m:t>PR-AUC</m:t>
        </m:r>
        <m:r>
          <m:t>=</m:t>
        </m:r>
        <m:nary>
          <m:naryPr>
            <m:chr m:val="∑"/>
            <m:limLoc m:val="subSup"/>
            <m:grow m:val="1"/>
            <m:subHide m:val="off"/>
            <m:supHide m:val="on"/>
          </m:naryPr>
          <m:sub>
            <m:r>
              <m:t>n</m:t>
            </m:r>
          </m:sub>
          <m:sup/>
          <m:e>
            <m:r>
              <m:t>(</m:t>
            </m:r>
          </m:e>
        </m:nary>
        <m:sSub>
          <m:e>
            <m:r>
              <m:t>R</m:t>
            </m:r>
          </m:e>
          <m:sub>
            <m:r>
              <m:t>n</m:t>
            </m:r>
          </m:sub>
        </m:sSub>
        <m:r>
          <m:t>−</m:t>
        </m:r>
        <m:sSub>
          <m:e>
            <m:r>
              <m:t>R</m:t>
            </m:r>
          </m:e>
          <m:sub>
            <m:r>
              <m:t>n−1</m:t>
            </m:r>
          </m:sub>
        </m:sSub>
        <m:r>
          <m:t>)</m:t>
        </m:r>
        <m:sSub>
          <m:e>
            <m:r>
              <m:t>P</m:t>
            </m:r>
          </m:e>
          <m:sub>
            <m:r>
              <m:t>n</m:t>
            </m:r>
          </m:sub>
        </m:sSub>
      </m:oMath>
    </w:p>
    <w:p>
      <w:pPr>
        <w:spacing w:before="0" w:after="120" w:line="360" w:lineRule="auto"/>
        <w:jc w:val="both"/>
      </w:pPr>
      <w:r>
        <w:rPr>
          <w:sz w:val="24"/>
        </w:rPr>
        <w:t xml:space="preserve">c'est-à-dire la précision moyenne, pondérée par chaque gain de rappel quand on abaisse le seuil. Avec 1,33 % de fraudes, la courbe ROC est trompeuse : les fausses alertes se divisent par des centaines de milliers d'opérations légitimes, et son aire reste élevée même quand le modèle produit beaucoup de fausses alertes. La précision compare au contraire les fausses alertes aux vraies fraudes et chute immédiatement. La </w:t>
      </w:r>
      <w:r>
        <w:rPr>
          <w:b/>
          <w:sz w:val="24"/>
        </w:rPr>
        <w:t>PR-AUC est donc la métrique principale</w:t>
      </w:r>
      <w:r>
        <w:rPr>
          <w:sz w:val="24"/>
        </w:rPr>
        <w:t xml:space="preserve"> (Davis et Goadrich, 2006 ; Saito et Rehmsmeier, 2015). Sa valeur de base, pour un modèle aléatoire, est la prévalence (environ 0,013), alors que celle de la ROC-AUC est 0,5. Le seuil de décision est choisi sur la validation, jamais sur le test.</w:t>
      </w:r>
    </w:p>
    <w:p>
      <w:pPr>
        <w:pStyle w:val="Titre4"/>
        <w:keepNext/>
        <w:numPr>
          <w:numId w:val="0"/>
        </w:numPr>
        <w:spacing w:before="200" w:after="120"/>
        <w:ind w:left="0" w:firstLine="0"/>
        <w:jc w:val="left"/>
      </w:pPr>
      <w:r>
        <w:rPr>
          <w:b/>
          <w:i/>
          <w:color w:val="000000"/>
          <w:sz w:val="25"/>
        </w:rPr>
        <w:t>5.3 Métriques de coût, d'équité et de surveillance</w:t>
      </w:r>
    </w:p>
    <w:p>
      <w:pPr>
        <w:spacing w:before="0" w:after="120" w:line="360" w:lineRule="auto"/>
        <w:jc w:val="both"/>
      </w:pPr>
      <w:r>
        <w:rPr>
          <w:b/>
          <w:sz w:val="24"/>
        </w:rPr>
        <w:t>Perte attendue et perte réalisée.</w:t>
      </w:r>
      <w:r>
        <w:rPr>
          <w:sz w:val="24"/>
        </w:rPr>
        <w:t xml:space="preserve"> Pour un ensemble d'opérations et une politique de décision, la </w:t>
      </w:r>
      <w:r>
        <w:rPr>
          <w:b/>
          <w:sz w:val="24"/>
        </w:rPr>
        <w:t>perte attendue</w:t>
      </w:r>
      <w:r>
        <w:rPr>
          <w:sz w:val="24"/>
        </w:rPr>
        <w:t xml:space="preserve"> somme les coûts attendus de l'action choisie (formules du § 1.4) d'après les probabilités du modèle, sur toutes les opérations. La </w:t>
      </w:r>
      <w:r>
        <w:rPr>
          <w:b/>
          <w:sz w:val="24"/>
        </w:rPr>
        <w:t>perte réalisée</w:t>
      </w:r>
      <w:r>
        <w:rPr>
          <w:sz w:val="24"/>
        </w:rPr>
        <w:t xml:space="preserve"> somme les coûts effectifs d'après les étiquettes, sur les seules opérations étiquetées : montant perdu pour une fraude approuvée, friction pour une vérification, coût d'un blocage pour un client honnête.</w:t>
      </w:r>
    </w:p>
    <w:p>
      <w:pPr>
        <w:spacing w:before="0" w:after="120" w:line="360" w:lineRule="auto"/>
        <w:jc w:val="both"/>
      </w:pPr>
      <w:r>
        <w:rPr>
          <w:b/>
          <w:sz w:val="24"/>
        </w:rPr>
        <w:t>Intervalle de confiance de Wilson.</w:t>
      </w:r>
      <w:r>
        <w:rPr>
          <w:sz w:val="24"/>
        </w:rPr>
        <w:t xml:space="preserve"> Pour une proportion observée </w:t>
      </w:r>
      <m:oMath>
        <m:acc>
          <m:accPr>
            <m:chr m:val="̂"/>
          </m:accPr>
          <m:e>
            <m:r>
              <m:t>p</m:t>
            </m:r>
          </m:e>
        </m:acc>
        <m:r>
          <m:t>=k/n</m:t>
        </m:r>
      </m:oMath>
      <w:r>
        <w:rPr>
          <w:sz w:val="24"/>
        </w:rPr>
        <w:t>, l'intervalle à 95 % est :</w:t>
      </w:r>
    </w:p>
    <w:p>
      <w:pPr>
        <w:spacing w:before="120" w:after="160"/>
        <w:jc w:val="center"/>
      </w:pPr>
      <m:oMath>
        <m:f>
          <m:fPr>
            <m:type m:val="bar"/>
          </m:fPr>
          <m:num>
            <m:acc>
              <m:accPr>
                <m:chr m:val="̂"/>
              </m:accPr>
              <m:e>
                <m:r>
                  <m:t>p</m:t>
                </m:r>
              </m:e>
            </m:acc>
            <m:r>
              <m:t>+</m:t>
            </m:r>
            <m:f>
              <m:fPr>
                <m:type m:val="bar"/>
              </m:fPr>
              <m:num>
                <m:sSup>
                  <m:e>
                    <m:r>
                      <m:t>z</m:t>
                    </m:r>
                  </m:e>
                  <m:sup>
                    <m:r>
                      <m:t>2</m:t>
                    </m:r>
                  </m:sup>
                </m:sSup>
              </m:num>
              <m:den>
                <m:r>
                  <m:t>2n</m:t>
                </m:r>
              </m:den>
            </m:f>
            <m:r>
              <m:t>±z</m:t>
            </m:r>
            <m:rad>
              <m:radPr>
                <m:degHide m:val="on"/>
              </m:radPr>
              <m:deg/>
              <m:e>
                <m:f>
                  <m:fPr>
                    <m:type m:val="bar"/>
                  </m:fPr>
                  <m:num>
                    <m:acc>
                      <m:accPr>
                        <m:chr m:val="̂"/>
                      </m:accPr>
                      <m:e>
                        <m:r>
                          <m:t>p</m:t>
                        </m:r>
                      </m:e>
                    </m:acc>
                    <m:r>
                      <m:t>(1−</m:t>
                    </m:r>
                    <m:acc>
                      <m:accPr>
                        <m:chr m:val="̂"/>
                      </m:accPr>
                      <m:e>
                        <m:r>
                          <m:t>p</m:t>
                        </m:r>
                      </m:e>
                    </m:acc>
                    <m:r>
                      <m:t>)</m:t>
                    </m:r>
                  </m:num>
                  <m:den>
                    <m:r>
                      <m:t>n</m:t>
                    </m:r>
                  </m:den>
                </m:f>
                <m:r>
                  <m:t>+</m:t>
                </m:r>
                <m:f>
                  <m:fPr>
                    <m:type m:val="bar"/>
                  </m:fPr>
                  <m:num>
                    <m:sSup>
                      <m:e>
                        <m:r>
                          <m:t>z</m:t>
                        </m:r>
                      </m:e>
                      <m:sup>
                        <m:r>
                          <m:t>2</m:t>
                        </m:r>
                      </m:sup>
                    </m:sSup>
                  </m:num>
                  <m:den>
                    <m:r>
                      <m:t>4</m:t>
                    </m:r>
                    <m:sSup>
                      <m:e>
                        <m:r>
                          <m:t>n</m:t>
                        </m:r>
                      </m:e>
                      <m:sup>
                        <m:r>
                          <m:t>2</m:t>
                        </m:r>
                      </m:sup>
                    </m:sSup>
                  </m:den>
                </m:f>
              </m:e>
            </m:rad>
          </m:num>
          <m:den>
            <m:r>
              <m:t>1+</m:t>
            </m:r>
            <m:f>
              <m:fPr>
                <m:type m:val="bar"/>
              </m:fPr>
              <m:num>
                <m:sSup>
                  <m:e>
                    <m:r>
                      <m:t>z</m:t>
                    </m:r>
                  </m:e>
                  <m:sup>
                    <m:r>
                      <m:t>2</m:t>
                    </m:r>
                  </m:sup>
                </m:sSup>
              </m:num>
              <m:den>
                <m:r>
                  <m:t>n</m:t>
                </m:r>
              </m:den>
            </m:f>
          </m:den>
        </m:f>
        <m:r>
          <m:t>,</m:t>
        </m:r>
        <m:r>
          <m:t>z=1,96</m:t>
        </m:r>
      </m:oMath>
    </w:p>
    <w:p>
      <w:pPr>
        <w:spacing w:before="0" w:after="120" w:line="360" w:lineRule="auto"/>
        <w:jc w:val="both"/>
      </w:pPr>
      <w:r>
        <w:rPr>
          <w:sz w:val="24"/>
        </w:rPr>
        <w:t>Il reste fiable pour de petits effectifs et des proportions proches de 0, ce qui est le cas des fausses alertes et des fraudes manquées (Wilson, 1927).</w:t>
      </w:r>
    </w:p>
    <w:p>
      <w:pPr>
        <w:spacing w:before="0" w:after="120" w:line="360" w:lineRule="auto"/>
        <w:jc w:val="both"/>
      </w:pPr>
      <w:r>
        <w:rPr>
          <w:b/>
          <w:sz w:val="24"/>
        </w:rPr>
        <w:t>Équité.</w:t>
      </w:r>
      <w:r>
        <w:rPr>
          <w:sz w:val="24"/>
        </w:rPr>
        <w:t xml:space="preserve"> Pour un groupe </w:t>
      </w:r>
      <m:oMath>
        <m:r>
          <m:t>g</m:t>
        </m:r>
      </m:oMath>
      <w:r>
        <w:rPr>
          <w:sz w:val="24"/>
        </w:rPr>
        <w:t xml:space="preserve"> de clients (province, opérateur, canal d'accès, niveau KYC, segment, tranche de revenu), on calcule son taux de fausses alertes </w:t>
      </w:r>
      <m:oMath>
        <m:sSub>
          <m:e>
            <m:r>
              <m:rPr>
                <m:sty m:val="p"/>
              </m:rPr>
              <m:t>FPR</m:t>
            </m:r>
          </m:e>
          <m:sub>
            <m:r>
              <m:t>g</m:t>
            </m:r>
          </m:sub>
        </m:sSub>
      </m:oMath>
      <w:r>
        <w:rPr>
          <w:sz w:val="24"/>
        </w:rPr>
        <w:t xml:space="preserve"> et son rappel, chacun avec son intervalle de Wilson. Le </w:t>
      </w:r>
      <w:r>
        <w:rPr>
          <w:b/>
          <w:sz w:val="24"/>
        </w:rPr>
        <w:t>rapport d'écart</w:t>
      </w:r>
      <w:r>
        <w:rPr>
          <w:sz w:val="24"/>
        </w:rPr>
        <w:t xml:space="preserve"> est </w:t>
      </w:r>
      <m:oMath>
        <m:sSub>
          <m:e>
            <m:r>
              <m:t>ρ</m:t>
            </m:r>
          </m:e>
          <m:sub>
            <m:r>
              <m:t>g</m:t>
            </m:r>
          </m:sub>
        </m:sSub>
        <m:r>
          <m:t>=</m:t>
        </m:r>
        <m:sSub>
          <m:e>
            <m:r>
              <m:rPr>
                <m:sty m:val="p"/>
              </m:rPr>
              <m:t>FPR</m:t>
            </m:r>
          </m:e>
          <m:sub>
            <m:r>
              <m:t>g</m:t>
            </m:r>
          </m:sub>
        </m:sSub>
        <m:r>
          <m:t>/</m:t>
        </m:r>
        <m:sSub>
          <m:e>
            <m:r>
              <m:rPr>
                <m:sty m:val="p"/>
              </m:rPr>
              <m:t>FPR</m:t>
            </m:r>
          </m:e>
          <m:sub>
            <m:r>
              <m:rPr>
                <m:nor/>
              </m:rPr>
              <m:t>global</m:t>
            </m:r>
          </m:sub>
        </m:sSub>
      </m:oMath>
      <w:r>
        <w:rPr>
          <w:sz w:val="24"/>
        </w:rPr>
        <w:t xml:space="preserve">. Un groupe est </w:t>
      </w:r>
      <w:r>
        <w:rPr>
          <w:b/>
          <w:sz w:val="24"/>
        </w:rPr>
        <w:t>signalé</w:t>
      </w:r>
      <w:r>
        <w:rPr>
          <w:sz w:val="24"/>
        </w:rPr>
        <w:t xml:space="preserve"> si </w:t>
      </w:r>
      <m:oMath>
        <m:sSub>
          <m:e>
            <m:r>
              <m:t>ρ</m:t>
            </m:r>
          </m:e>
          <m:sub>
            <m:r>
              <m:t>g</m:t>
            </m:r>
          </m:sub>
        </m:sSub>
        <m:r>
          <m:t>≥1,25</m:t>
        </m:r>
      </m:oMath>
      <w:r>
        <w:rPr>
          <w:sz w:val="24"/>
        </w:rPr>
        <w:t xml:space="preserve"> et si la borne basse de l'intervalle de </w:t>
      </w:r>
      <m:oMath>
        <m:sSub>
          <m:e>
            <m:r>
              <m:rPr>
                <m:sty m:val="p"/>
              </m:rPr>
              <m:t>FPR</m:t>
            </m:r>
          </m:e>
          <m:sub>
            <m:r>
              <m:t>g</m:t>
            </m:r>
          </m:sub>
        </m:sSub>
      </m:oMath>
      <w:r>
        <w:rPr>
          <w:sz w:val="24"/>
        </w:rPr>
        <w:t xml:space="preserve"> dépasse le taux global (écart non dû au hasard), ou si la borne haute de son rappel est sous le rappel global. Les groupes de moins de 200 opérations légitimes sont affichés sans être jugés. Cette mesure s'inspire de l'égalité des chances (Hardt et al., 2016), qui demande des taux d'erreur comparables entre groupes.</w:t>
      </w:r>
    </w:p>
    <w:p>
      <w:pPr>
        <w:spacing w:before="0" w:after="120" w:line="360" w:lineRule="auto"/>
        <w:jc w:val="both"/>
      </w:pPr>
      <w:r>
        <w:rPr>
          <w:b/>
          <w:sz w:val="24"/>
        </w:rPr>
        <w:t>Surveillance de la dérive.</w:t>
      </w:r>
      <w:r>
        <w:rPr>
          <w:sz w:val="24"/>
        </w:rPr>
        <w:t xml:space="preserve"> La statistique de </w:t>
      </w:r>
      <w:r>
        <w:rPr>
          <w:b/>
          <w:sz w:val="24"/>
        </w:rPr>
        <w:t>Kolmogorov-Smirnov</w:t>
      </w:r>
      <w:r>
        <w:rPr>
          <w:sz w:val="24"/>
        </w:rPr>
        <w:t xml:space="preserve"> </w:t>
      </w:r>
      <m:oMath>
        <m:r>
          <m:t>D=</m:t>
        </m:r>
        <m:sSub>
          <m:e>
            <m:r>
              <m:t>sup</m:t>
            </m:r>
          </m:e>
          <m:sub>
            <m:r>
              <m:t>x</m:t>
            </m:r>
          </m:sub>
        </m:sSub>
        <m:r>
          <m:t>|</m:t>
        </m:r>
        <m:sSub>
          <m:e>
            <m:r>
              <m:t>F</m:t>
            </m:r>
          </m:e>
          <m:sub>
            <m:r>
              <m:rPr>
                <m:nor/>
              </m:rPr>
              <m:t>réf</m:t>
            </m:r>
          </m:sub>
        </m:sSub>
        <m:r>
          <m:t>(x)−</m:t>
        </m:r>
        <m:sSub>
          <m:e>
            <m:r>
              <m:t>F</m:t>
            </m:r>
          </m:e>
          <m:sub>
            <m:r>
              <m:rPr>
                <m:nor/>
              </m:rPr>
              <m:t>prod</m:t>
            </m:r>
          </m:sub>
        </m:sSub>
        <m:r>
          <m:t>(x)|</m:t>
        </m:r>
      </m:oMath>
      <w:r>
        <w:rPr>
          <w:sz w:val="24"/>
        </w:rPr>
        <w:t xml:space="preserve"> mesure le plus grand écart entre les fonctions de répartition d'une variable en référence et en production. L'indice de stabilité de population (</w:t>
      </w:r>
      <w:r>
        <w:rPr>
          <w:b/>
          <w:sz w:val="24"/>
        </w:rPr>
        <w:t>PSI</w:t>
      </w:r>
      <w:r>
        <w:rPr>
          <w:sz w:val="24"/>
        </w:rPr>
        <w:t xml:space="preserve">) découpe la variable en classes, avec </w:t>
      </w:r>
      <m:oMath>
        <m:sSub>
          <m:e>
            <m:r>
              <m:t>r</m:t>
            </m:r>
          </m:e>
          <m:sub>
            <m:r>
              <m:t>k</m:t>
            </m:r>
          </m:sub>
        </m:sSub>
      </m:oMath>
      <w:r>
        <w:rPr>
          <w:sz w:val="24"/>
        </w:rPr>
        <w:t xml:space="preserve"> la part de la référence et </w:t>
      </w:r>
      <m:oMath>
        <m:sSub>
          <m:e>
            <m:r>
              <m:t>q</m:t>
            </m:r>
          </m:e>
          <m:sub>
            <m:r>
              <m:t>k</m:t>
            </m:r>
          </m:sub>
        </m:sSub>
      </m:oMath>
      <w:r>
        <w:rPr>
          <w:sz w:val="24"/>
        </w:rPr>
        <w:t xml:space="preserve"> la part de la production dans la classe </w:t>
      </w:r>
      <m:oMath>
        <m:r>
          <m:t>k</m:t>
        </m:r>
      </m:oMath>
      <w:r>
        <w:rPr>
          <w:sz w:val="24"/>
        </w:rPr>
        <w:t xml:space="preserve"> :</w:t>
      </w:r>
    </w:p>
    <w:p>
      <w:pPr>
        <w:spacing w:before="120" w:after="160"/>
        <w:jc w:val="center"/>
      </w:pPr>
      <m:oMath>
        <m:r>
          <m:rPr>
            <m:sty m:val="p"/>
          </m:rPr>
          <m:t>PSI</m:t>
        </m:r>
        <m:r>
          <m:t>=</m:t>
        </m:r>
        <m:nary>
          <m:naryPr>
            <m:chr m:val="∑"/>
            <m:limLoc m:val="subSup"/>
            <m:grow m:val="1"/>
            <m:subHide m:val="off"/>
            <m:supHide m:val="on"/>
          </m:naryPr>
          <m:sub>
            <m:r>
              <m:t>k</m:t>
            </m:r>
          </m:sub>
          <m:sup/>
          <m:e>
            <m:r>
              <m:t>(</m:t>
            </m:r>
          </m:e>
        </m:nary>
        <m:sSub>
          <m:e>
            <m:r>
              <m:t>q</m:t>
            </m:r>
          </m:e>
          <m:sub>
            <m:r>
              <m:t>k</m:t>
            </m:r>
          </m:sub>
        </m:sSub>
        <m:r>
          <m:t>−</m:t>
        </m:r>
        <m:sSub>
          <m:e>
            <m:r>
              <m:t>r</m:t>
            </m:r>
          </m:e>
          <m:sub>
            <m:r>
              <m:t>k</m:t>
            </m:r>
          </m:sub>
        </m:sSub>
        <m:r>
          <m:t>)</m:t>
        </m:r>
        <m:r>
          <m:rPr>
            <m:sty m:val="p"/>
          </m:rPr>
          <m:t>ln</m:t>
        </m:r>
        <m:f>
          <m:fPr>
            <m:type m:val="bar"/>
          </m:fPr>
          <m:num>
            <m:sSub>
              <m:e>
                <m:r>
                  <m:t>q</m:t>
                </m:r>
              </m:e>
              <m:sub>
                <m:r>
                  <m:t>k</m:t>
                </m:r>
              </m:sub>
            </m:sSub>
          </m:num>
          <m:den>
            <m:sSub>
              <m:e>
                <m:r>
                  <m:t>r</m:t>
                </m:r>
              </m:e>
              <m:sub>
                <m:r>
                  <m:t>k</m:t>
                </m:r>
              </m:sub>
            </m:sSub>
          </m:den>
        </m:f>
      </m:oMath>
    </w:p>
    <w:p>
      <w:pPr>
        <w:spacing w:before="0" w:after="120" w:line="360" w:lineRule="auto"/>
        <w:jc w:val="both"/>
      </w:pPr>
      <w:r>
        <w:rPr>
          <w:sz w:val="24"/>
        </w:rPr>
        <w:t xml:space="preserve">Les seuils usuels sont : PSI inférieur à 0,1, stable ; entre 0,1 et 0,2, à surveiller ; supérieur à 0,2, dérive (Gama et al., 2014, pour la notion de dérive). Exemple : une référence répartie à 25 % dans quatre classes et une production à 10, 20, 30 et 40 % donnent </w:t>
      </w:r>
      <m:oMath>
        <m:r>
          <m:rPr>
            <m:sty m:val="p"/>
          </m:rPr>
          <m:t>PSI</m:t>
        </m:r>
        <m:r>
          <m:t>=0,228</m:t>
        </m:r>
      </m:oMath>
      <w:r>
        <w:rPr>
          <w:sz w:val="24"/>
        </w:rPr>
        <w:t xml:space="preserve"> : dérive. Le </w:t>
      </w:r>
      <w:r>
        <w:rPr>
          <w:b/>
          <w:sz w:val="24"/>
        </w:rPr>
        <w:t>taux de nouveauté</w:t>
      </w:r>
      <w:r>
        <w:rPr>
          <w:sz w:val="24"/>
        </w:rPr>
        <w:t xml:space="preserve"> est la part des opérations dont l'erreur de reconstruction de l'autoencodeur dépasse le 99ᵉ centile de référence ; il vaut 1 % si rien ne change, et l'alarme se déclenche à 4 %.</w:t>
      </w:r>
    </w:p>
    <w:p>
      <w:pPr>
        <w:spacing w:before="0" w:after="120" w:line="360" w:lineRule="auto"/>
        <w:jc w:val="both"/>
      </w:pPr>
      <w:r>
        <w:rPr>
          <w:b/>
          <w:sz w:val="24"/>
        </w:rPr>
        <w:t>Temps réel.</w:t>
      </w:r>
      <w:r>
        <w:rPr>
          <w:sz w:val="24"/>
        </w:rPr>
        <w:t xml:space="preserve"> La latence est mesurée de bout en bout sur un rejeu de flux. On rapporte la </w:t>
      </w:r>
      <w:r>
        <w:rPr>
          <w:b/>
          <w:sz w:val="24"/>
        </w:rPr>
        <w:t>médiane</w:t>
      </w:r>
      <w:r>
        <w:rPr>
          <w:sz w:val="24"/>
        </w:rPr>
        <w:t xml:space="preserve"> et le </w:t>
      </w:r>
      <w:r>
        <w:rPr>
          <w:b/>
          <w:sz w:val="24"/>
        </w:rPr>
        <w:t>95ᵉ centile</w:t>
      </w:r>
      <w:r>
        <w:rPr>
          <w:sz w:val="24"/>
        </w:rPr>
        <w:t xml:space="preserve"> (95 % des requêtes sont plus rapides que cette valeur), qui est plus exigeant que la moyenne et ne cache pas les requêtes lentes.</w:t>
      </w:r>
    </w:p>
    <w:p>
      <w:pPr>
        <w:pStyle w:val="Titre3"/>
        <w:keepNext/>
        <w:numPr>
          <w:numId w:val="0"/>
        </w:numPr>
        <w:spacing w:before="280" w:after="120"/>
        <w:ind w:left="0" w:firstLine="0"/>
        <w:jc w:val="left"/>
      </w:pPr>
      <w:r>
        <w:rPr>
          <w:b/>
          <w:color w:val="1F2A44"/>
          <w:sz w:val="28"/>
        </w:rPr>
        <w:t>6. Protocole d'évaluation</w:t>
      </w:r>
    </w:p>
    <w:p>
      <w:pPr>
        <w:pStyle w:val="Titre4"/>
        <w:keepNext/>
        <w:numPr>
          <w:numId w:val="0"/>
        </w:numPr>
        <w:spacing w:before="200" w:after="120"/>
        <w:ind w:left="0" w:firstLine="0"/>
        <w:jc w:val="left"/>
      </w:pPr>
      <w:r>
        <w:rPr>
          <w:b/>
          <w:i/>
          <w:color w:val="000000"/>
          <w:sz w:val="25"/>
        </w:rPr>
        <w:t>6.1 Principes généraux</w:t>
      </w:r>
    </w:p>
    <w:p>
      <w:pPr>
        <w:spacing w:before="0" w:after="120" w:line="360" w:lineRule="auto"/>
        <w:jc w:val="both"/>
      </w:pPr>
      <w:r>
        <w:rPr>
          <w:sz w:val="24"/>
        </w:rPr>
        <w:t>Le protocole obéit à six règles, qui s'appliquent à toutes les évaluations.</w:t>
      </w:r>
    </w:p>
    <w:p>
      <w:pPr>
        <w:tabs>
          <w:tab w:pos="567" w:val="left"/>
        </w:tabs>
        <w:spacing w:after="60" w:line="324" w:lineRule="auto"/>
        <w:ind w:left="567" w:hanging="340"/>
        <w:jc w:val="both"/>
      </w:pPr>
      <w:r>
        <w:rPr>
          <w:sz w:val="24"/>
        </w:rPr>
        <w:t>1.</w:t>
        <w:tab/>
      </w:r>
      <w:r>
        <w:rPr>
          <w:b/>
          <w:sz w:val="24"/>
        </w:rPr>
        <w:t>Découpage chronologique</w:t>
      </w:r>
      <w:r>
        <w:rPr>
          <w:sz w:val="24"/>
        </w:rPr>
        <w:t xml:space="preserve"> (tableau II.23). Le test, du 13/12/2024 au 31/12/2025, est postérieur à tout ce qui a servi à apprendre.</w:t>
      </w:r>
    </w:p>
    <w:p>
      <w:pPr>
        <w:tabs>
          <w:tab w:pos="567" w:val="left"/>
        </w:tabs>
        <w:spacing w:after="60" w:line="324" w:lineRule="auto"/>
        <w:ind w:left="567" w:hanging="340"/>
        <w:jc w:val="both"/>
      </w:pPr>
      <w:r>
        <w:rPr>
          <w:sz w:val="24"/>
        </w:rPr>
        <w:t>2.</w:t>
        <w:tab/>
      </w:r>
      <w:r>
        <w:rPr>
          <w:b/>
          <w:sz w:val="24"/>
        </w:rPr>
        <w:t>Seuil choisi sur la validation</w:t>
      </w:r>
      <w:r>
        <w:rPr>
          <w:sz w:val="24"/>
        </w:rPr>
        <w:t>, jamais sur le test.</w:t>
      </w:r>
    </w:p>
    <w:p>
      <w:pPr>
        <w:tabs>
          <w:tab w:pos="567" w:val="left"/>
        </w:tabs>
        <w:spacing w:after="60" w:line="324" w:lineRule="auto"/>
        <w:ind w:left="567" w:hanging="340"/>
        <w:jc w:val="both"/>
      </w:pPr>
      <w:r>
        <w:rPr>
          <w:sz w:val="24"/>
        </w:rPr>
        <w:t>3.</w:t>
        <w:tab/>
      </w:r>
      <w:r>
        <w:rPr>
          <w:b/>
          <w:sz w:val="24"/>
        </w:rPr>
        <w:t>Mêmes données, mêmes variables, même test</w:t>
      </w:r>
      <w:r>
        <w:rPr>
          <w:sz w:val="24"/>
        </w:rPr>
        <w:t xml:space="preserve"> pour toutes les méthodes comparées.</w:t>
      </w:r>
    </w:p>
    <w:p>
      <w:pPr>
        <w:tabs>
          <w:tab w:pos="567" w:val="left"/>
        </w:tabs>
        <w:spacing w:after="60" w:line="324" w:lineRule="auto"/>
        <w:ind w:left="567" w:hanging="340"/>
        <w:jc w:val="both"/>
      </w:pPr>
      <w:r>
        <w:rPr>
          <w:sz w:val="24"/>
        </w:rPr>
        <w:t>4.</w:t>
        <w:tab/>
      </w:r>
      <w:r>
        <w:rPr>
          <w:b/>
          <w:sz w:val="24"/>
        </w:rPr>
        <w:t>Intervalles de confiance par bootstrap apparié par usager.</w:t>
      </w:r>
      <w:r>
        <w:rPr>
          <w:sz w:val="24"/>
        </w:rPr>
        <w:t xml:space="preserve"> On tire avec remise 1 000 fois les </w:t>
      </w:r>
      <w:r>
        <w:rPr>
          <w:b/>
          <w:sz w:val="24"/>
        </w:rPr>
        <w:t>clients</w:t>
      </w:r>
      <w:r>
        <w:rPr>
          <w:sz w:val="24"/>
        </w:rPr>
        <w:t xml:space="preserve">, et non les transactions, car les opérations d'un même client sont corrélées (Efron, 1979). Les deux modèles comparés sont évalués sur le même rééchantillon, ce qui donne directement la distribution de leur écart. L'intervalle de confiance à 95 % est borné par les 2,5ᵉ et 97,5ᵉ centiles. Une différence est </w:t>
      </w:r>
      <w:r>
        <w:rPr>
          <w:b/>
          <w:sz w:val="24"/>
        </w:rPr>
        <w:t>significative</w:t>
      </w:r>
      <w:r>
        <w:rPr>
          <w:sz w:val="24"/>
        </w:rPr>
        <w:t xml:space="preserve"> si l'intervalle de confiance de l'écart exclut 0.</w:t>
      </w:r>
    </w:p>
    <w:p>
      <w:pPr>
        <w:tabs>
          <w:tab w:pos="567" w:val="left"/>
        </w:tabs>
        <w:spacing w:after="60" w:line="324" w:lineRule="auto"/>
        <w:ind w:left="567" w:hanging="340"/>
        <w:jc w:val="both"/>
      </w:pPr>
      <w:r>
        <w:rPr>
          <w:sz w:val="24"/>
        </w:rPr>
        <w:t>5.</w:t>
        <w:tab/>
      </w:r>
      <w:r>
        <w:rPr>
          <w:b/>
          <w:sz w:val="24"/>
        </w:rPr>
        <w:t>Test de McNemar exact</w:t>
      </w:r>
      <w:r>
        <w:rPr>
          <w:sz w:val="24"/>
        </w:rPr>
        <w:t xml:space="preserve"> (McNemar, 1947 ; Dietterich, 1998). On ne considère que les opérations où deux modèles ne sont pas d'accord : </w:t>
      </w:r>
      <m:oMath>
        <m:r>
          <m:t>b</m:t>
        </m:r>
      </m:oMath>
      <w:r>
        <w:rPr>
          <w:sz w:val="24"/>
        </w:rPr>
        <w:t xml:space="preserve"> opérations où seul le premier a raison, </w:t>
      </w:r>
      <m:oMath>
        <m:r>
          <m:t>c</m:t>
        </m:r>
      </m:oMath>
      <w:r>
        <w:rPr>
          <w:sz w:val="24"/>
        </w:rPr>
        <w:t xml:space="preserve"> où seul le second a raison. Si les modèles se valaient, chacun aurait raison une fois sur deux, et :</w:t>
      </w:r>
    </w:p>
    <w:p>
      <w:pPr>
        <w:spacing w:before="120" w:after="160"/>
        <w:jc w:val="center"/>
      </w:pPr>
      <m:oMath>
        <m:r>
          <m:t>X~ℬ(b+c,</m:t>
        </m:r>
        <m:r>
          <m:rPr>
            <m:sty m:val="p"/>
          </m:rPr>
          <m:t> </m:t>
        </m:r>
        <m:f>
          <m:fPr>
            <m:type m:val="bar"/>
          </m:fPr>
          <m:num>
            <m:r>
              <m:t>1</m:t>
            </m:r>
          </m:num>
          <m:den>
            <m:r>
              <m:t>2</m:t>
            </m:r>
          </m:den>
        </m:f>
        <m:r>
          <m:t>),</m:t>
        </m:r>
        <m:r>
          <m:t>p=min(1,</m:t>
        </m:r>
        <m:r>
          <m:rPr>
            <m:sty m:val="p"/>
          </m:rPr>
          <m:t> </m:t>
        </m:r>
        <m:r>
          <m:t>2P(X≤min(b,c)))</m:t>
        </m:r>
      </m:oMath>
    </w:p>
    <w:p>
      <w:pPr>
        <w:spacing w:before="0" w:after="120" w:line="360" w:lineRule="auto"/>
        <w:jc w:val="both"/>
      </w:pPr>
      <w:r>
        <w:rPr>
          <w:sz w:val="24"/>
        </w:rPr>
        <w:t xml:space="preserve">où </w:t>
      </w:r>
      <m:oMath>
        <m:r>
          <m:t>ℬ(n,</m:t>
        </m:r>
        <m:f>
          <m:fPr>
            <m:type m:val="bar"/>
          </m:fPr>
          <m:num>
            <m:r>
              <m:t>1</m:t>
            </m:r>
          </m:num>
          <m:den>
            <m:r>
              <m:t>2</m:t>
            </m:r>
          </m:den>
        </m:f>
        <m:r>
          <m:t>)</m:t>
        </m:r>
      </m:oMath>
      <w:r>
        <w:rPr>
          <w:sz w:val="24"/>
        </w:rPr>
        <w:t xml:space="preserve"> est la loi binomiale (nombre de « pile » en </w:t>
      </w:r>
      <m:oMath>
        <m:r>
          <m:t>n</m:t>
        </m:r>
      </m:oMath>
      <w:r>
        <w:rPr>
          <w:sz w:val="24"/>
        </w:rPr>
        <w:t xml:space="preserve"> lancers d'une pièce équilibrée). La </w:t>
      </w:r>
      <w:r>
        <w:rPr>
          <w:b/>
          <w:sz w:val="24"/>
        </w:rPr>
        <w:t>p-valeur</w:t>
      </w:r>
      <w:r>
        <w:rPr>
          <w:sz w:val="24"/>
        </w:rPr>
        <w:t xml:space="preserve"> est la probabilité d'observer un écart au moins aussi grand si les modèles étaient équivalents ; on rejette l'équivalence si </w:t>
      </w:r>
      <m:oMath>
        <m:r>
          <m:t>p&lt;0,05</m:t>
        </m:r>
      </m:oMath>
      <w:r>
        <w:rPr>
          <w:sz w:val="24"/>
        </w:rPr>
        <w:t>.</w:t>
      </w:r>
    </w:p>
    <w:p>
      <w:pPr>
        <w:tabs>
          <w:tab w:pos="567" w:val="left"/>
        </w:tabs>
        <w:spacing w:after="60" w:line="324" w:lineRule="auto"/>
        <w:ind w:left="567" w:hanging="340"/>
        <w:jc w:val="both"/>
      </w:pPr>
      <w:r>
        <w:rPr>
          <w:sz w:val="24"/>
        </w:rPr>
        <w:t>6.</w:t>
        <w:tab/>
      </w:r>
      <w:r>
        <w:rPr>
          <w:b/>
          <w:sz w:val="24"/>
        </w:rPr>
        <w:t>Variance selon la graine.</w:t>
      </w:r>
      <w:r>
        <w:rPr>
          <w:sz w:val="24"/>
        </w:rPr>
        <w:t xml:space="preserve"> Les entraînements sont répétés avec plusieurs graines ; un écart du même ordre que l'écart-type d'une graine à l'autre est du bruit d'entraînement.</w:t>
      </w:r>
    </w:p>
    <w:p>
      <w:pPr>
        <w:pStyle w:val="Titre4"/>
        <w:keepNext/>
        <w:numPr>
          <w:numId w:val="0"/>
        </w:numPr>
        <w:spacing w:before="200" w:after="120"/>
        <w:ind w:left="0" w:firstLine="0"/>
        <w:jc w:val="left"/>
      </w:pPr>
      <w:r>
        <w:rPr>
          <w:b/>
          <w:i/>
          <w:color w:val="000000"/>
          <w:sz w:val="25"/>
        </w:rPr>
        <w:t>6.2 Protocole par hypothèse</w:t>
      </w:r>
    </w:p>
    <w:p>
      <w:pPr>
        <w:pStyle w:val="Légendetableau"/>
        <w:keepNext/>
        <w:spacing w:before="200" w:after="80"/>
        <w:jc w:val="center"/>
      </w:pPr>
      <w:r>
        <w:rPr>
          <w:b/>
          <w:sz w:val="20"/>
        </w:rPr>
        <w:t>Tableau II.32 — Protocole expérimental par hypothèse.</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511"/>
        <w:gridCol w:w="4770"/>
        <w:gridCol w:w="4107"/>
      </w:tblGrid>
      <w:tr>
        <w:trPr>
          <w:tblHeader w:val="true"/>
        </w:trPr>
        <w:tc>
          <w:tcPr>
            <w:tcW w:type="dxa" w:w="511"/>
            <w:shd w:val="clear" w:color="auto" w:fill="D9E2F3"/>
          </w:tcPr>
          <w:p>
            <w:pPr>
              <w:spacing w:after="20" w:before="20" w:line="240" w:lineRule="auto"/>
              <w:jc w:val="left"/>
            </w:pPr>
            <w:r/>
            <w:r>
              <w:rPr>
                <w:b/>
                <w:sz w:val="20"/>
              </w:rPr>
              <w:t>Hyp.</w:t>
            </w:r>
          </w:p>
        </w:tc>
        <w:tc>
          <w:tcPr>
            <w:tcW w:type="dxa" w:w="4770"/>
            <w:shd w:val="clear" w:color="auto" w:fill="D9E2F3"/>
          </w:tcPr>
          <w:p>
            <w:pPr>
              <w:spacing w:after="20" w:before="20" w:line="240" w:lineRule="auto"/>
              <w:jc w:val="left"/>
            </w:pPr>
            <w:r/>
            <w:r>
              <w:rPr>
                <w:b/>
                <w:sz w:val="20"/>
              </w:rPr>
              <w:t>Expérience</w:t>
            </w:r>
          </w:p>
        </w:tc>
        <w:tc>
          <w:tcPr>
            <w:tcW w:type="dxa" w:w="4107"/>
            <w:shd w:val="clear" w:color="auto" w:fill="D9E2F3"/>
          </w:tcPr>
          <w:p>
            <w:pPr>
              <w:spacing w:after="20" w:before="20" w:line="240" w:lineRule="auto"/>
              <w:jc w:val="left"/>
            </w:pPr>
            <w:r/>
            <w:r>
              <w:rPr>
                <w:b/>
                <w:sz w:val="20"/>
              </w:rPr>
              <w:t>Critère de confirmation</w:t>
            </w:r>
          </w:p>
        </w:tc>
      </w:tr>
      <w:tr>
        <w:trPr>
          <w:cantSplit w:val="true"/>
        </w:trPr>
        <w:tc>
          <w:tcPr>
            <w:tcW w:type="dxa" w:w="511"/>
          </w:tcPr>
          <w:p>
            <w:pPr>
              <w:spacing w:after="20" w:before="20" w:line="240" w:lineRule="auto"/>
              <w:jc w:val="left"/>
            </w:pPr>
            <w:r/>
            <w:r>
              <w:rPr>
                <w:sz w:val="20"/>
              </w:rPr>
              <w:t>H1</w:t>
            </w:r>
          </w:p>
        </w:tc>
        <w:tc>
          <w:tcPr>
            <w:tcW w:type="dxa" w:w="4770"/>
          </w:tcPr>
          <w:p>
            <w:pPr>
              <w:spacing w:after="20" w:before="20" w:line="240" w:lineRule="auto"/>
              <w:jc w:val="left"/>
            </w:pPr>
            <w:r/>
            <w:r>
              <w:rPr>
                <w:sz w:val="20"/>
              </w:rPr>
              <w:t>Modèle de profilage (toutes variables) contre modèle statique appris (sans historique du client) et règles métier</w:t>
            </w:r>
          </w:p>
        </w:tc>
        <w:tc>
          <w:tcPr>
            <w:tcW w:type="dxa" w:w="4107"/>
          </w:tcPr>
          <w:p>
            <w:pPr>
              <w:spacing w:after="20" w:before="20" w:line="240" w:lineRule="auto"/>
              <w:jc w:val="left"/>
            </w:pPr>
            <w:r/>
            <w:r>
              <w:rPr>
                <w:sz w:val="20"/>
              </w:rPr>
              <w:t xml:space="preserve">écart de PR-AUC significatif ; McNemar </w:t>
            </w:r>
            <m:oMath>
              <m:r>
                <m:t>p&lt;0,05</m:t>
              </m:r>
            </m:oMath>
          </w:p>
        </w:tc>
      </w:tr>
      <w:tr>
        <w:trPr>
          <w:cantSplit w:val="true"/>
        </w:trPr>
        <w:tc>
          <w:tcPr>
            <w:tcW w:type="dxa" w:w="511"/>
          </w:tcPr>
          <w:p>
            <w:pPr>
              <w:spacing w:after="20" w:before="20" w:line="240" w:lineRule="auto"/>
              <w:jc w:val="left"/>
            </w:pPr>
            <w:r/>
            <w:r>
              <w:rPr>
                <w:sz w:val="20"/>
              </w:rPr>
              <w:t>H2</w:t>
            </w:r>
          </w:p>
        </w:tc>
        <w:tc>
          <w:tcPr>
            <w:tcW w:type="dxa" w:w="4770"/>
          </w:tcPr>
          <w:p>
            <w:pPr>
              <w:spacing w:after="20" w:before="20" w:line="240" w:lineRule="auto"/>
              <w:jc w:val="left"/>
            </w:pPr>
            <w:r/>
            <w:r>
              <w:rPr>
                <w:sz w:val="20"/>
              </w:rPr>
              <w:t>Ablation (retrait de chaque famille de variables), ajout (socle + une famille), AUC univariées</w:t>
            </w:r>
          </w:p>
        </w:tc>
        <w:tc>
          <w:tcPr>
            <w:tcW w:type="dxa" w:w="4107"/>
          </w:tcPr>
          <w:p>
            <w:pPr>
              <w:spacing w:after="20" w:before="20" w:line="240" w:lineRule="auto"/>
              <w:jc w:val="left"/>
            </w:pPr>
            <w:r/>
            <w:r>
              <w:rPr>
                <w:sz w:val="20"/>
              </w:rPr>
              <w:t>retrait dégradant significativement, ou ajout améliorant nettement (plus de 0,005 de PR-AUC)</w:t>
            </w:r>
          </w:p>
        </w:tc>
      </w:tr>
      <w:tr>
        <w:trPr>
          <w:cantSplit w:val="true"/>
        </w:trPr>
        <w:tc>
          <w:tcPr>
            <w:tcW w:type="dxa" w:w="511"/>
          </w:tcPr>
          <w:p>
            <w:pPr>
              <w:spacing w:after="20" w:before="20" w:line="240" w:lineRule="auto"/>
              <w:jc w:val="left"/>
            </w:pPr>
            <w:r/>
            <w:r>
              <w:rPr>
                <w:sz w:val="20"/>
              </w:rPr>
              <w:t>H3</w:t>
            </w:r>
          </w:p>
        </w:tc>
        <w:tc>
          <w:tcPr>
            <w:tcW w:type="dxa" w:w="4770"/>
          </w:tcPr>
          <w:p>
            <w:pPr>
              <w:spacing w:after="20" w:before="20" w:line="240" w:lineRule="auto"/>
              <w:jc w:val="left"/>
            </w:pPr>
            <w:r/>
            <w:r>
              <w:rPr>
                <w:sz w:val="20"/>
              </w:rPr>
              <w:t>Comparaison XGBoost, Random Forest, régression logistique, Isolation Forest, règles ; composantes et hybride</w:t>
            </w:r>
          </w:p>
        </w:tc>
        <w:tc>
          <w:tcPr>
            <w:tcW w:type="dxa" w:w="4107"/>
          </w:tcPr>
          <w:p>
            <w:pPr>
              <w:spacing w:after="20" w:before="20" w:line="240" w:lineRule="auto"/>
              <w:jc w:val="left"/>
            </w:pPr>
            <w:r/>
            <w:r>
              <w:rPr>
                <w:sz w:val="20"/>
              </w:rPr>
              <w:t>écarts significatifs entre familles</w:t>
            </w:r>
          </w:p>
        </w:tc>
      </w:tr>
      <w:tr>
        <w:trPr>
          <w:cantSplit w:val="true"/>
        </w:trPr>
        <w:tc>
          <w:tcPr>
            <w:tcW w:type="dxa" w:w="511"/>
          </w:tcPr>
          <w:p>
            <w:pPr>
              <w:spacing w:after="20" w:before="20" w:line="240" w:lineRule="auto"/>
              <w:jc w:val="left"/>
            </w:pPr>
            <w:r/>
            <w:r>
              <w:rPr>
                <w:sz w:val="20"/>
              </w:rPr>
              <w:t>H4</w:t>
            </w:r>
          </w:p>
        </w:tc>
        <w:tc>
          <w:tcPr>
            <w:tcW w:type="dxa" w:w="4770"/>
          </w:tcPr>
          <w:p>
            <w:pPr>
              <w:spacing w:after="20" w:before="20" w:line="240" w:lineRule="auto"/>
              <w:jc w:val="left"/>
            </w:pPr>
            <w:r/>
            <w:r>
              <w:rPr>
                <w:sz w:val="20"/>
              </w:rPr>
              <w:t>Entraînement sur le Mobile Money seul puis évaluation sur Visa ; variantes avec 5 % et 20 % de données Visa ; sens inverse</w:t>
            </w:r>
          </w:p>
        </w:tc>
        <w:tc>
          <w:tcPr>
            <w:tcW w:type="dxa" w:w="4107"/>
          </w:tcPr>
          <w:p>
            <w:pPr>
              <w:spacing w:after="20" w:before="20" w:line="240" w:lineRule="auto"/>
              <w:jc w:val="left"/>
            </w:pPr>
            <w:r/>
            <w:r>
              <w:rPr>
                <w:sz w:val="20"/>
              </w:rPr>
              <w:t>PR-AUC élevée sur Visa sans données Visa</w:t>
            </w:r>
          </w:p>
        </w:tc>
      </w:tr>
      <w:tr>
        <w:trPr>
          <w:cantSplit w:val="true"/>
        </w:trPr>
        <w:tc>
          <w:tcPr>
            <w:tcW w:type="dxa" w:w="511"/>
          </w:tcPr>
          <w:p>
            <w:pPr>
              <w:spacing w:after="20" w:before="20" w:line="240" w:lineRule="auto"/>
              <w:jc w:val="left"/>
            </w:pPr>
            <w:r/>
            <w:r>
              <w:rPr>
                <w:sz w:val="20"/>
              </w:rPr>
              <w:t>H5</w:t>
            </w:r>
          </w:p>
        </w:tc>
        <w:tc>
          <w:tcPr>
            <w:tcW w:type="dxa" w:w="4770"/>
          </w:tcPr>
          <w:p>
            <w:pPr>
              <w:spacing w:after="20" w:before="20" w:line="240" w:lineRule="auto"/>
              <w:jc w:val="left"/>
            </w:pPr>
            <w:r/>
            <w:r>
              <w:rPr>
                <w:sz w:val="20"/>
              </w:rPr>
              <w:t>Modèle figé (entraîné sur 2019-2021) contre modèle mis à jour (cumulatif, ou glissant sur 3 ans), évalués chaque année de 2022 à 2025</w:t>
            </w:r>
          </w:p>
        </w:tc>
        <w:tc>
          <w:tcPr>
            <w:tcW w:type="dxa" w:w="4107"/>
          </w:tcPr>
          <w:p>
            <w:pPr>
              <w:spacing w:after="20" w:before="20" w:line="240" w:lineRule="auto"/>
              <w:jc w:val="left"/>
            </w:pPr>
            <w:r/>
            <w:r>
              <w:rPr>
                <w:sz w:val="20"/>
              </w:rPr>
              <w:t>modèle mis à jour significativement meilleur, écart croissant avec le temps</w:t>
            </w:r>
          </w:p>
        </w:tc>
      </w:tr>
    </w:tbl>
    <w:p>
      <w:pPr>
        <w:spacing w:after="120"/>
      </w:pPr>
    </w:p>
    <w:p>
      <w:pPr>
        <w:spacing w:before="0" w:after="120" w:line="360" w:lineRule="auto"/>
        <w:jc w:val="both"/>
      </w:pPr>
      <w:r>
        <w:rPr>
          <w:sz w:val="24"/>
        </w:rPr>
        <w:t xml:space="preserve">Pour H4, le </w:t>
      </w:r>
      <w:r>
        <w:rPr>
          <w:b/>
          <w:sz w:val="24"/>
        </w:rPr>
        <w:t>rapport de transfert</w:t>
      </w:r>
      <w:r>
        <w:rPr>
          <w:sz w:val="24"/>
        </w:rPr>
        <w:t xml:space="preserve"> est </w:t>
      </w:r>
      <m:oMath>
        <m:sSub>
          <m:e>
            <m:r>
              <m:rPr>
                <m:nor/>
              </m:rPr>
              <m:t>PR-AUC</m:t>
            </m:r>
          </m:e>
          <m:sub>
            <m:r>
              <m:rPr>
                <m:nor/>
              </m:rPr>
              <m:t>Visa</m:t>
            </m:r>
          </m:sub>
        </m:sSub>
        <m:r>
          <m:t>(</m:t>
        </m:r>
        <m:r>
          <m:rPr>
            <m:nor/>
          </m:rPr>
          <m:t>modèle Mobile Money seul</m:t>
        </m:r>
        <m:r>
          <m:t>)/</m:t>
        </m:r>
        <m:sSub>
          <m:e>
            <m:r>
              <m:rPr>
                <m:nor/>
              </m:rPr>
              <m:t>PR-AUC</m:t>
            </m:r>
          </m:e>
          <m:sub>
            <m:r>
              <m:rPr>
                <m:nor/>
              </m:rPr>
              <m:t>Visa</m:t>
            </m:r>
          </m:sub>
        </m:sSub>
        <m:r>
          <m:t>(</m:t>
        </m:r>
        <m:r>
          <m:rPr>
            <m:nor/>
          </m:rPr>
          <m:t>modèle mixte</m:t>
        </m:r>
        <m:r>
          <m:t>)</m:t>
        </m:r>
      </m:oMath>
      <w:r>
        <w:rPr>
          <w:sz w:val="24"/>
        </w:rPr>
        <w:t xml:space="preserve">, interprété comme fort s'il atteint 0,9, partiel entre 0,6 et 0,9, faible en dessous. Le </w:t>
      </w:r>
      <w:r>
        <w:rPr>
          <w:b/>
          <w:sz w:val="24"/>
        </w:rPr>
        <w:t>gain sur le hasard</w:t>
      </w:r>
      <w:r>
        <w:rPr>
          <w:sz w:val="24"/>
        </w:rPr>
        <w:t xml:space="preserve"> est la PR-AUC divisée par la prévalence. Pour H5, on calcule pour chaque année l'écart </w:t>
      </w:r>
      <m:oMath>
        <m:sSub>
          <m:e>
            <m:r>
              <m:t>Δ</m:t>
            </m:r>
          </m:e>
          <m:sub>
            <m:r>
              <m:t>Y</m:t>
            </m:r>
          </m:sub>
        </m:sSub>
        <m:r>
          <m:t>=</m:t>
        </m:r>
        <m:sSub>
          <m:e>
            <m:r>
              <m:rPr>
                <m:nor/>
              </m:rPr>
              <m:t>PR-AUC</m:t>
            </m:r>
          </m:e>
          <m:sub>
            <m:r>
              <m:t>Y</m:t>
            </m:r>
          </m:sub>
        </m:sSub>
        <m:r>
          <m:t>(</m:t>
        </m:r>
        <m:r>
          <m:rPr>
            <m:nor/>
          </m:rPr>
          <m:t>réentraîné</m:t>
        </m:r>
        <m:r>
          <m:t>)−</m:t>
        </m:r>
        <m:sSub>
          <m:e>
            <m:r>
              <m:rPr>
                <m:nor/>
              </m:rPr>
              <m:t>PR-AUC</m:t>
            </m:r>
          </m:e>
          <m:sub>
            <m:r>
              <m:t>Y</m:t>
            </m:r>
          </m:sub>
        </m:sSub>
        <m:r>
          <m:t>(</m:t>
        </m:r>
        <m:r>
          <m:rPr>
            <m:nor/>
          </m:rPr>
          <m:t>figé</m:t>
        </m:r>
        <m:r>
          <m:t>)</m:t>
        </m:r>
      </m:oMath>
      <w:r>
        <w:rPr>
          <w:sz w:val="24"/>
        </w:rPr>
        <w:t xml:space="preserve">, puis la pente de la droite des moindres carrés </w:t>
      </w:r>
      <m:oMath>
        <m:sSub>
          <m:e>
            <m:r>
              <m:t>Δ</m:t>
            </m:r>
          </m:e>
          <m:sub>
            <m:r>
              <m:t>Y</m:t>
            </m:r>
          </m:sub>
        </m:sSub>
        <m:r>
          <m:t>=α+βY</m:t>
        </m:r>
      </m:oMath>
      <w:r>
        <w:rPr>
          <w:sz w:val="24"/>
        </w:rPr>
        <w:t xml:space="preserve"> : </w:t>
      </w:r>
      <m:oMath>
        <m:r>
          <m:t>β&gt;0</m:t>
        </m:r>
      </m:oMath>
      <w:r>
        <w:rPr>
          <w:sz w:val="24"/>
        </w:rPr>
        <w:t xml:space="preserve"> signifie que l'écart se creuse.</w:t>
      </w:r>
    </w:p>
    <w:p>
      <w:pPr>
        <w:pStyle w:val="Titre4"/>
        <w:keepNext/>
        <w:numPr>
          <w:numId w:val="0"/>
        </w:numPr>
        <w:spacing w:before="200" w:after="120"/>
        <w:ind w:left="0" w:firstLine="0"/>
        <w:jc w:val="left"/>
      </w:pPr>
      <w:r>
        <w:rPr>
          <w:b/>
          <w:i/>
          <w:color w:val="000000"/>
          <w:sz w:val="25"/>
        </w:rPr>
        <w:t>6.3 Protocoles des évaluations complémentaires</w:t>
      </w:r>
    </w:p>
    <w:p>
      <w:pPr>
        <w:pStyle w:val="Légendetableau"/>
        <w:keepNext/>
        <w:spacing w:before="200" w:after="80"/>
        <w:jc w:val="center"/>
      </w:pPr>
      <w:r>
        <w:rPr>
          <w:b/>
          <w:sz w:val="20"/>
        </w:rPr>
        <w:t>Tableau II.33 — Protocoles des évaluations complémentaires.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1300"/>
        <w:gridCol w:w="4087"/>
        <w:gridCol w:w="4001"/>
      </w:tblGrid>
      <w:tr>
        <w:trPr>
          <w:tblHeader w:val="true"/>
        </w:trPr>
        <w:tc>
          <w:tcPr>
            <w:tcW w:type="dxa" w:w="1300"/>
            <w:shd w:val="clear" w:color="auto" w:fill="D9E2F3"/>
          </w:tcPr>
          <w:p>
            <w:pPr>
              <w:spacing w:after="20" w:before="20" w:line="240" w:lineRule="auto"/>
              <w:jc w:val="left"/>
            </w:pPr>
            <w:r/>
            <w:r>
              <w:rPr>
                <w:b/>
                <w:sz w:val="20"/>
              </w:rPr>
              <w:t>Évaluation</w:t>
            </w:r>
          </w:p>
        </w:tc>
        <w:tc>
          <w:tcPr>
            <w:tcW w:type="dxa" w:w="4087"/>
            <w:shd w:val="clear" w:color="auto" w:fill="D9E2F3"/>
          </w:tcPr>
          <w:p>
            <w:pPr>
              <w:spacing w:after="20" w:before="20" w:line="240" w:lineRule="auto"/>
              <w:jc w:val="left"/>
            </w:pPr>
            <w:r/>
            <w:r>
              <w:rPr>
                <w:b/>
                <w:sz w:val="20"/>
              </w:rPr>
              <w:t>Protocole</w:t>
            </w:r>
          </w:p>
        </w:tc>
        <w:tc>
          <w:tcPr>
            <w:tcW w:type="dxa" w:w="4001"/>
            <w:shd w:val="clear" w:color="auto" w:fill="D9E2F3"/>
          </w:tcPr>
          <w:p>
            <w:pPr>
              <w:spacing w:after="20" w:before="20" w:line="240" w:lineRule="auto"/>
              <w:jc w:val="left"/>
            </w:pPr>
            <w:r/>
            <w:r>
              <w:rPr>
                <w:b/>
                <w:sz w:val="20"/>
              </w:rPr>
              <w:t>Précautions</w:t>
            </w:r>
          </w:p>
        </w:tc>
      </w:tr>
      <w:tr>
        <w:trPr>
          <w:cantSplit w:val="true"/>
        </w:trPr>
        <w:tc>
          <w:tcPr>
            <w:tcW w:type="dxa" w:w="1300"/>
          </w:tcPr>
          <w:p>
            <w:pPr>
              <w:spacing w:after="20" w:before="20" w:line="240" w:lineRule="auto"/>
              <w:jc w:val="left"/>
            </w:pPr>
            <w:r/>
            <w:r>
              <w:rPr>
                <w:sz w:val="20"/>
              </w:rPr>
              <w:t>Choix du modèle (comparaison de 8 méthodes)</w:t>
            </w:r>
          </w:p>
        </w:tc>
        <w:tc>
          <w:tcPr>
            <w:tcW w:type="dxa" w:w="4087"/>
          </w:tcPr>
          <w:p>
            <w:pPr>
              <w:spacing w:after="20" w:before="20" w:line="240" w:lineRule="auto"/>
              <w:jc w:val="left"/>
            </w:pPr>
            <w:r/>
            <w:r>
              <w:rPr>
                <w:sz w:val="20"/>
              </w:rPr>
              <w:t>Mêmes données et mêmes variables ; métriques complètes ; bootstrap et McNemar ; ablation ; analyse par typologie ; matrice multicritère testée avec des poids égaux et 2 000 pondérations aléatoires</w:t>
            </w:r>
          </w:p>
        </w:tc>
        <w:tc>
          <w:tcPr>
            <w:tcW w:type="dxa" w:w="4001"/>
          </w:tcPr>
          <w:p>
            <w:pPr>
              <w:spacing w:after="20" w:before="20" w:line="240" w:lineRule="auto"/>
              <w:jc w:val="left"/>
            </w:pPr>
            <w:r/>
            <w:r>
              <w:rPr>
                <w:sz w:val="20"/>
              </w:rPr>
              <w:t>Contrôle de reproductibilité : les métriques recalculées sont identiques à la quatrième décimale</w:t>
            </w:r>
          </w:p>
        </w:tc>
      </w:tr>
      <w:tr>
        <w:trPr>
          <w:cantSplit w:val="true"/>
        </w:trPr>
        <w:tc>
          <w:tcPr>
            <w:tcW w:type="dxa" w:w="1300"/>
          </w:tcPr>
          <w:p>
            <w:pPr>
              <w:spacing w:after="20" w:before="20" w:line="240" w:lineRule="auto"/>
              <w:jc w:val="left"/>
            </w:pPr>
            <w:r/>
            <w:r>
              <w:rPr>
                <w:sz w:val="20"/>
              </w:rPr>
              <w:t>Robustesse physique</w:t>
            </w:r>
          </w:p>
        </w:tc>
        <w:tc>
          <w:tcPr>
            <w:tcW w:type="dxa" w:w="4087"/>
          </w:tcPr>
          <w:p>
            <w:pPr>
              <w:spacing w:after="20" w:before="20" w:line="240" w:lineRule="auto"/>
              <w:jc w:val="left"/>
            </w:pPr>
            <w:r/>
            <w:r>
              <w:rPr>
                <w:sz w:val="20"/>
              </w:rPr>
              <w:t>Injection de 300 attaques « session relayée » : appareil, type et montant habituels de la victime, mais depuis une province éloignée, quelques minutes après une opération légitime</w:t>
            </w:r>
          </w:p>
        </w:tc>
        <w:tc>
          <w:tcPr>
            <w:tcW w:type="dxa" w:w="4001"/>
          </w:tcPr>
          <w:p>
            <w:pPr>
              <w:spacing w:after="20" w:before="20" w:line="240" w:lineRule="auto"/>
              <w:jc w:val="left"/>
            </w:pPr>
            <w:r/>
            <w:r>
              <w:rPr>
                <w:sz w:val="20"/>
              </w:rPr>
              <w:t>Scénario construit par l'équipe, jamais vu à l'entraînement ; fausses alertes mesurées sur les vraies opérations légitimes</w:t>
            </w:r>
          </w:p>
        </w:tc>
      </w:tr>
      <w:tr>
        <w:trPr>
          <w:cantSplit w:val="true"/>
        </w:trPr>
        <w:tc>
          <w:tcPr>
            <w:tcW w:type="dxa" w:w="1300"/>
          </w:tcPr>
          <w:p>
            <w:pPr>
              <w:spacing w:after="20" w:before="20" w:line="240" w:lineRule="auto"/>
              <w:jc w:val="left"/>
            </w:pPr>
            <w:r/>
            <w:r>
              <w:rPr>
                <w:sz w:val="20"/>
              </w:rPr>
              <w:t>Cas similaires (RAG)</w:t>
            </w:r>
          </w:p>
        </w:tc>
        <w:tc>
          <w:tcPr>
            <w:tcW w:type="dxa" w:w="4087"/>
          </w:tcPr>
          <w:p>
            <w:pPr>
              <w:spacing w:after="20" w:before="20" w:line="240" w:lineRule="auto"/>
              <w:jc w:val="left"/>
            </w:pPr>
            <w:r/>
            <w:r>
              <w:rPr>
                <w:sz w:val="20"/>
              </w:rPr>
              <w:t xml:space="preserve">Index de 64 003 cas d'entraînement ; </w:t>
            </w:r>
            <m:oMath>
              <m:r>
                <m:t>k</m:t>
              </m:r>
            </m:oMath>
            <w:r>
              <w:rPr>
                <w:sz w:val="20"/>
              </w:rPr>
              <w:t xml:space="preserve"> et la similarité minimale choisis sur la validation ; précision des alertes selon l'avis des cas proches</w:t>
            </w:r>
          </w:p>
        </w:tc>
        <w:tc>
          <w:tcPr>
            <w:tcW w:type="dxa" w:w="4001"/>
          </w:tcPr>
          <w:p>
            <w:pPr>
              <w:spacing w:after="20" w:before="20" w:line="240" w:lineRule="auto"/>
              <w:jc w:val="left"/>
            </w:pPr>
            <w:r/>
            <w:r>
              <w:rPr>
                <w:sz w:val="20"/>
              </w:rPr>
              <w:t>Évaluation sur le test</w:t>
            </w:r>
          </w:p>
        </w:tc>
      </w:tr>
      <w:tr>
        <w:trPr>
          <w:cantSplit w:val="true"/>
        </w:trPr>
        <w:tc>
          <w:tcPr>
            <w:tcW w:type="dxa" w:w="1300"/>
          </w:tcPr>
          <w:p>
            <w:pPr>
              <w:spacing w:after="20" w:before="20" w:line="240" w:lineRule="auto"/>
              <w:jc w:val="left"/>
            </w:pPr>
            <w:r/>
            <w:r>
              <w:rPr>
                <w:sz w:val="20"/>
              </w:rPr>
              <w:t>Analyse de texte</w:t>
            </w:r>
          </w:p>
        </w:tc>
        <w:tc>
          <w:tcPr>
            <w:tcW w:type="dxa" w:w="4087"/>
          </w:tcPr>
          <w:p>
            <w:pPr>
              <w:spacing w:after="20" w:before="20" w:line="240" w:lineRule="auto"/>
              <w:jc w:val="left"/>
            </w:pPr>
            <w:r/>
            <w:r>
              <w:rPr>
                <w:sz w:val="20"/>
              </w:rPr>
              <w:t>Corpus de développement (50 messages) et corpus de test (61 messages), annotés ; précision, rappel et F1 de l'ingénierie sociale, exactitude du sentiment</w:t>
            </w:r>
          </w:p>
        </w:tc>
        <w:tc>
          <w:tcPr>
            <w:tcW w:type="dxa" w:w="4001"/>
          </w:tcPr>
          <w:p>
            <w:pPr>
              <w:spacing w:after="20" w:before="20" w:line="240" w:lineRule="auto"/>
              <w:jc w:val="left"/>
            </w:pPr>
            <w:r/>
            <w:r>
              <w:rPr>
                <w:sz w:val="20"/>
              </w:rPr>
              <w:t>Intervalle de confiance du F1 par bootstrap</w:t>
            </w:r>
          </w:p>
        </w:tc>
      </w:tr>
      <w:tr>
        <w:trPr>
          <w:cantSplit w:val="true"/>
        </w:trPr>
        <w:tc>
          <w:tcPr>
            <w:tcW w:type="dxa" w:w="1300"/>
          </w:tcPr>
          <w:p>
            <w:pPr>
              <w:spacing w:after="20" w:before="20" w:line="240" w:lineRule="auto"/>
              <w:jc w:val="left"/>
            </w:pPr>
            <w:r/>
            <w:r>
              <w:rPr>
                <w:sz w:val="20"/>
              </w:rPr>
              <w:t>Analyse de réseau</w:t>
            </w:r>
          </w:p>
        </w:tc>
        <w:tc>
          <w:tcPr>
            <w:tcW w:type="dxa" w:w="4087"/>
          </w:tcPr>
          <w:p>
            <w:pPr>
              <w:spacing w:after="20" w:before="20" w:line="240" w:lineRule="auto"/>
              <w:jc w:val="left"/>
            </w:pPr>
            <w:r/>
            <w:r>
              <w:rPr>
                <w:sz w:val="20"/>
              </w:rPr>
              <w:t>Rejeu chronologique : avant la validation, toutes les transactions sont ajoutées avec leur étiquette ; ensuite, chaque transaction reçoit le score réseau calculé sur l'instantané de la veille (recalculé une fois par jour), puis son verdict n'est révélé qu'après 7 jours ; seuil réseau choisi sur la validation pour 0,5 % de fausses alertes supplémentaires ; règle « modèle OU réseau »</w:t>
            </w:r>
          </w:p>
        </w:tc>
        <w:tc>
          <w:tcPr>
            <w:tcW w:type="dxa" w:w="4001"/>
          </w:tcPr>
          <w:p>
            <w:pPr>
              <w:spacing w:after="20" w:before="20" w:line="240" w:lineRule="auto"/>
              <w:jc w:val="left"/>
            </w:pPr>
            <w:r/>
            <w:r>
              <w:rPr>
                <w:sz w:val="20"/>
              </w:rPr>
              <w:t>Aucune fuite temporelle ; variante sans aucune étiquette (scores du modèle seuls)</w:t>
            </w:r>
          </w:p>
        </w:tc>
      </w:tr>
      <w:tr>
        <w:trPr>
          <w:cantSplit w:val="true"/>
        </w:trPr>
        <w:tc>
          <w:tcPr>
            <w:tcW w:type="dxa" w:w="1300"/>
          </w:tcPr>
          <w:p>
            <w:pPr>
              <w:spacing w:after="20" w:before="20" w:line="240" w:lineRule="auto"/>
              <w:jc w:val="left"/>
            </w:pPr>
            <w:r/>
            <w:r>
              <w:rPr>
                <w:sz w:val="20"/>
              </w:rPr>
              <w:t>Boucle de retour</w:t>
            </w:r>
          </w:p>
        </w:tc>
        <w:tc>
          <w:tcPr>
            <w:tcW w:type="dxa" w:w="4087"/>
          </w:tcPr>
          <w:p>
            <w:pPr>
              <w:spacing w:after="20" w:before="20" w:line="240" w:lineRule="auto"/>
              <w:jc w:val="left"/>
            </w:pPr>
            <w:r/>
            <w:r>
              <w:rPr>
                <w:sz w:val="20"/>
              </w:rPr>
              <w:t>Rejeu mensuel de 13 mois du test, avec XGBoost seul : à chaque mois, le modèle score, puis les étiquettes sont révélées (alertes, revues ciblées, plaintes pour 30 % des fraudes manquées, le reste supposé légitime), puis le modèle est réentraîné ; cinq stratégies à budget égal de 200 revues par mois</w:t>
            </w:r>
          </w:p>
        </w:tc>
        <w:tc>
          <w:tcPr>
            <w:tcW w:type="dxa" w:w="4001"/>
          </w:tcPr>
          <w:p>
            <w:pPr>
              <w:spacing w:after="20" w:before="20" w:line="240" w:lineRule="auto"/>
              <w:jc w:val="left"/>
            </w:pPr>
            <w:r/>
            <w:r>
              <w:rPr>
                <w:sz w:val="20"/>
              </w:rPr>
              <w:t>Mesures sur le mois suivant, avant ses étiquettes ; modèle initial identique pour toutes les stratégies</w:t>
            </w:r>
          </w:p>
        </w:tc>
      </w:tr>
      <w:tr>
        <w:trPr>
          <w:cantSplit w:val="true"/>
        </w:trPr>
        <w:tc>
          <w:tcPr>
            <w:tcW w:type="dxa" w:w="1300"/>
          </w:tcPr>
          <w:p>
            <w:pPr>
              <w:spacing w:after="20" w:before="20" w:line="240" w:lineRule="auto"/>
              <w:jc w:val="left"/>
            </w:pPr>
            <w:r/>
            <w:r>
              <w:rPr>
                <w:sz w:val="20"/>
              </w:rPr>
              <w:t>Politique de décision</w:t>
            </w:r>
          </w:p>
        </w:tc>
        <w:tc>
          <w:tcPr>
            <w:tcW w:type="dxa" w:w="4087"/>
          </w:tcPr>
          <w:p>
            <w:pPr>
              <w:spacing w:after="20" w:before="20" w:line="240" w:lineRule="auto"/>
              <w:jc w:val="left"/>
            </w:pPr>
            <w:r/>
            <w:r>
              <w:rPr>
                <w:sz w:val="20"/>
              </w:rPr>
              <w:t>Réglage des paramètres de coût sur la première moitié chronologique du test, mesure sur la seconde ; quatre politiques jugées avec les mêmes coûts métier</w:t>
            </w:r>
          </w:p>
        </w:tc>
        <w:tc>
          <w:tcPr>
            <w:tcW w:type="dxa" w:w="4001"/>
          </w:tcPr>
          <w:p>
            <w:pPr>
              <w:spacing w:after="20" w:before="20" w:line="240" w:lineRule="auto"/>
              <w:jc w:val="left"/>
            </w:pPr>
            <w:r/>
            <w:r>
              <w:rPr>
                <w:sz w:val="20"/>
              </w:rPr>
              <w:t>Coûts métier = hypothèses de simulation</w:t>
            </w:r>
          </w:p>
        </w:tc>
      </w:tr>
      <w:tr>
        <w:trPr>
          <w:cantSplit w:val="true"/>
        </w:trPr>
        <w:tc>
          <w:tcPr>
            <w:tcW w:type="dxa" w:w="1300"/>
          </w:tcPr>
          <w:p>
            <w:pPr>
              <w:spacing w:after="20" w:before="20" w:line="240" w:lineRule="auto"/>
              <w:jc w:val="left"/>
            </w:pPr>
            <w:r/>
            <w:r>
              <w:rPr>
                <w:sz w:val="20"/>
              </w:rPr>
              <w:t>Équité</w:t>
            </w:r>
          </w:p>
        </w:tc>
        <w:tc>
          <w:tcPr>
            <w:tcW w:type="dxa" w:w="4087"/>
          </w:tcPr>
          <w:p>
            <w:pPr>
              <w:spacing w:after="20" w:before="20" w:line="240" w:lineRule="auto"/>
              <w:jc w:val="left"/>
            </w:pPr>
            <w:r/>
            <w:r>
              <w:rPr>
                <w:sz w:val="20"/>
              </w:rPr>
              <w:t>Taux de fausses alertes et rappel par groupe, intervalles de Wilson, règle de signalement</w:t>
            </w:r>
          </w:p>
        </w:tc>
        <w:tc>
          <w:tcPr>
            <w:tcW w:type="dxa" w:w="4001"/>
          </w:tcPr>
          <w:p>
            <w:pPr>
              <w:spacing w:after="20" w:before="20" w:line="240" w:lineRule="auto"/>
              <w:jc w:val="left"/>
            </w:pPr>
            <w:r/>
            <w:r>
              <w:rPr>
                <w:sz w:val="20"/>
              </w:rPr>
              <w:t>Données simulées : à refaire sur données réelles</w:t>
            </w:r>
          </w:p>
        </w:tc>
      </w:tr>
      <w:tr>
        <w:trPr>
          <w:cantSplit w:val="true"/>
        </w:trPr>
        <w:tc>
          <w:tcPr>
            <w:tcW w:type="dxa" w:w="1300"/>
          </w:tcPr>
          <w:p>
            <w:pPr>
              <w:spacing w:after="20" w:before="20" w:line="240" w:lineRule="auto"/>
              <w:jc w:val="left"/>
            </w:pPr>
            <w:r/>
            <w:r>
              <w:rPr>
                <w:sz w:val="20"/>
              </w:rPr>
              <w:t>Temps réel</w:t>
            </w:r>
          </w:p>
        </w:tc>
        <w:tc>
          <w:tcPr>
            <w:tcW w:type="dxa" w:w="4087"/>
          </w:tcPr>
          <w:p>
            <w:pPr>
              <w:spacing w:after="20" w:before="20" w:line="240" w:lineRule="auto"/>
              <w:jc w:val="left"/>
            </w:pPr>
            <w:r/>
            <w:r>
              <w:rPr>
                <w:sz w:val="20"/>
              </w:rPr>
              <w:t>Rejeu d'un flux d'opérations vers l'API d'intégration à débit contrôlé ; latence de bout en bout</w:t>
            </w:r>
          </w:p>
        </w:tc>
        <w:tc>
          <w:tcPr>
            <w:tcW w:type="dxa" w:w="4001"/>
          </w:tcPr>
          <w:p>
            <w:pPr>
              <w:spacing w:after="20" w:before="20" w:line="240" w:lineRule="auto"/>
              <w:jc w:val="left"/>
            </w:pPr>
            <w:r/>
            <w:r>
              <w:rPr>
                <w:sz w:val="20"/>
              </w:rPr>
              <w:t>Mesure dans l'environnement de démonstration</w:t>
            </w:r>
          </w:p>
        </w:tc>
      </w:tr>
      <w:tr>
        <w:trPr>
          <w:cantSplit w:val="true"/>
        </w:trPr>
        <w:tc>
          <w:tcPr>
            <w:tcW w:type="dxa" w:w="1300"/>
          </w:tcPr>
          <w:p>
            <w:pPr>
              <w:spacing w:after="20" w:before="20" w:line="240" w:lineRule="auto"/>
              <w:jc w:val="left"/>
            </w:pPr>
            <w:r/>
            <w:r>
              <w:rPr>
                <w:sz w:val="20"/>
              </w:rPr>
              <w:t>Robustesse adversariale (prévue)</w:t>
            </w:r>
          </w:p>
        </w:tc>
        <w:tc>
          <w:tcPr>
            <w:tcW w:type="dxa" w:w="4087"/>
          </w:tcPr>
          <w:p>
            <w:pPr>
              <w:spacing w:after="20" w:before="20" w:line="240" w:lineRule="auto"/>
              <w:jc w:val="left"/>
            </w:pPr>
            <w:r/>
            <w:r>
              <w:rPr>
                <w:sz w:val="20"/>
              </w:rPr>
              <w:t>Réécriture des épisodes de fraude selon quatre stratégies (fractionnement, mimétisme, étalement dans le temps, combinaison) et rescoring avec les variables recalculées</w:t>
            </w:r>
          </w:p>
        </w:tc>
        <w:tc>
          <w:tcPr>
            <w:tcW w:type="dxa" w:w="4001"/>
          </w:tcPr>
          <w:p>
            <w:pPr>
              <w:spacing w:after="20" w:before="20" w:line="240" w:lineRule="auto"/>
              <w:jc w:val="left"/>
            </w:pPr>
            <w:r/>
            <w:r>
              <w:rPr>
                <w:sz w:val="20"/>
              </w:rPr>
              <w:t>Protocole écrit, résultats à produire</w:t>
            </w:r>
          </w:p>
        </w:tc>
      </w:tr>
    </w:tbl>
    <w:p>
      <w:pPr>
        <w:spacing w:after="120"/>
      </w:pPr>
    </w:p>
    <w:p>
      <w:pPr>
        <w:pStyle w:val="Titre4"/>
        <w:keepNext/>
        <w:numPr>
          <w:numId w:val="0"/>
        </w:numPr>
        <w:spacing w:before="200" w:after="120"/>
        <w:ind w:left="0" w:firstLine="0"/>
        <w:jc w:val="left"/>
      </w:pPr>
      <w:r>
        <w:rPr>
          <w:b/>
          <w:i/>
          <w:color w:val="000000"/>
          <w:sz w:val="25"/>
        </w:rPr>
        <w:t>6.4 Menaces sur la validité</w:t>
      </w:r>
    </w:p>
    <w:p>
      <w:pPr>
        <w:spacing w:before="0" w:after="120" w:line="360" w:lineRule="auto"/>
        <w:jc w:val="both"/>
      </w:pPr>
      <w:r>
        <w:rPr>
          <w:sz w:val="24"/>
        </w:rPr>
        <w:t xml:space="preserve">Une étude doit dire ce qui pourrait fausser ses conclusions (tableau II.34). La </w:t>
      </w:r>
      <w:r>
        <w:rPr>
          <w:b/>
          <w:sz w:val="24"/>
        </w:rPr>
        <w:t>validité interne</w:t>
      </w:r>
      <w:r>
        <w:rPr>
          <w:sz w:val="24"/>
        </w:rPr>
        <w:t xml:space="preserve"> demande si le résultat vient bien de ce qu'on croit ; la </w:t>
      </w:r>
      <w:r>
        <w:rPr>
          <w:b/>
          <w:sz w:val="24"/>
        </w:rPr>
        <w:t>validité externe</w:t>
      </w:r>
      <w:r>
        <w:rPr>
          <w:sz w:val="24"/>
        </w:rPr>
        <w:t xml:space="preserve">, s'il se généralise au monde réel ; la </w:t>
      </w:r>
      <w:r>
        <w:rPr>
          <w:b/>
          <w:sz w:val="24"/>
        </w:rPr>
        <w:t>validité de construit</w:t>
      </w:r>
      <w:r>
        <w:rPr>
          <w:sz w:val="24"/>
        </w:rPr>
        <w:t xml:space="preserve">, si l'on mesure bien ce qu'on prétend mesurer ; la </w:t>
      </w:r>
      <w:r>
        <w:rPr>
          <w:b/>
          <w:sz w:val="24"/>
        </w:rPr>
        <w:t>validité statistique</w:t>
      </w:r>
      <w:r>
        <w:rPr>
          <w:sz w:val="24"/>
        </w:rPr>
        <w:t>, si les conclusions statistiques sont correctes.</w:t>
      </w:r>
    </w:p>
    <w:p>
      <w:pPr>
        <w:pStyle w:val="Légendetableau"/>
        <w:keepNext/>
        <w:spacing w:before="200" w:after="80"/>
        <w:jc w:val="center"/>
      </w:pPr>
      <w:r>
        <w:rPr>
          <w:b/>
          <w:sz w:val="20"/>
        </w:rPr>
        <w:t>Tableau II.34 — Menaces sur la validité.</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2410"/>
        <w:gridCol w:w="1513"/>
        <w:gridCol w:w="5466"/>
      </w:tblGrid>
      <w:tr>
        <w:trPr>
          <w:tblHeader w:val="true"/>
        </w:trPr>
        <w:tc>
          <w:tcPr>
            <w:tcW w:type="dxa" w:w="2410"/>
            <w:shd w:val="clear" w:color="auto" w:fill="D9E2F3"/>
          </w:tcPr>
          <w:p>
            <w:pPr>
              <w:spacing w:after="20" w:before="20" w:line="240" w:lineRule="auto"/>
              <w:jc w:val="left"/>
            </w:pPr>
            <w:r/>
            <w:r>
              <w:rPr>
                <w:b/>
                <w:sz w:val="20"/>
              </w:rPr>
              <w:t>Menace</w:t>
            </w:r>
          </w:p>
        </w:tc>
        <w:tc>
          <w:tcPr>
            <w:tcW w:type="dxa" w:w="1513"/>
            <w:shd w:val="clear" w:color="auto" w:fill="D9E2F3"/>
          </w:tcPr>
          <w:p>
            <w:pPr>
              <w:spacing w:after="20" w:before="20" w:line="240" w:lineRule="auto"/>
              <w:jc w:val="left"/>
            </w:pPr>
            <w:r/>
            <w:r>
              <w:rPr>
                <w:b/>
                <w:sz w:val="20"/>
              </w:rPr>
              <w:t>Nature</w:t>
            </w:r>
          </w:p>
        </w:tc>
        <w:tc>
          <w:tcPr>
            <w:tcW w:type="dxa" w:w="5466"/>
            <w:shd w:val="clear" w:color="auto" w:fill="D9E2F3"/>
          </w:tcPr>
          <w:p>
            <w:pPr>
              <w:spacing w:after="20" w:before="20" w:line="240" w:lineRule="auto"/>
              <w:jc w:val="left"/>
            </w:pPr>
            <w:r/>
            <w:r>
              <w:rPr>
                <w:b/>
                <w:sz w:val="20"/>
              </w:rPr>
              <w:t>Mesure prise ou réserve</w:t>
            </w:r>
          </w:p>
        </w:tc>
      </w:tr>
      <w:tr>
        <w:trPr>
          <w:cantSplit w:val="true"/>
        </w:trPr>
        <w:tc>
          <w:tcPr>
            <w:tcW w:type="dxa" w:w="2410"/>
          </w:tcPr>
          <w:p>
            <w:pPr>
              <w:spacing w:after="20" w:before="20" w:line="240" w:lineRule="auto"/>
              <w:jc w:val="left"/>
            </w:pPr>
            <w:r/>
            <w:r>
              <w:rPr>
                <w:b/>
                <w:sz w:val="20"/>
              </w:rPr>
              <w:t>Données simulées</w:t>
            </w:r>
          </w:p>
        </w:tc>
        <w:tc>
          <w:tcPr>
            <w:tcW w:type="dxa" w:w="1513"/>
          </w:tcPr>
          <w:p>
            <w:pPr>
              <w:spacing w:after="20" w:before="20" w:line="240" w:lineRule="auto"/>
              <w:jc w:val="left"/>
            </w:pPr>
            <w:r/>
            <w:r>
              <w:rPr>
                <w:sz w:val="20"/>
              </w:rPr>
              <w:t>Validité externe</w:t>
            </w:r>
          </w:p>
        </w:tc>
        <w:tc>
          <w:tcPr>
            <w:tcW w:type="dxa" w:w="5466"/>
          </w:tcPr>
          <w:p>
            <w:pPr>
              <w:spacing w:after="20" w:before="20" w:line="240" w:lineRule="auto"/>
              <w:jc w:val="left"/>
            </w:pPr>
            <w:r/>
            <w:r>
              <w:rPr>
                <w:sz w:val="20"/>
              </w:rPr>
              <w:t>Les fraudes simulées sont plus nettes que les vraies : les performances réelles seront plus faibles. Une validation sur données réelles est prévue.</w:t>
            </w:r>
          </w:p>
        </w:tc>
      </w:tr>
      <w:tr>
        <w:trPr>
          <w:cantSplit w:val="true"/>
        </w:trPr>
        <w:tc>
          <w:tcPr>
            <w:tcW w:type="dxa" w:w="2410"/>
          </w:tcPr>
          <w:p>
            <w:pPr>
              <w:spacing w:after="20" w:before="20" w:line="240" w:lineRule="auto"/>
              <w:jc w:val="left"/>
            </w:pPr>
            <w:r/>
            <w:r>
              <w:rPr>
                <w:sz w:val="20"/>
              </w:rPr>
              <w:t>Circularité de H5</w:t>
            </w:r>
          </w:p>
        </w:tc>
        <w:tc>
          <w:tcPr>
            <w:tcW w:type="dxa" w:w="1513"/>
          </w:tcPr>
          <w:p>
            <w:pPr>
              <w:spacing w:after="20" w:before="20" w:line="240" w:lineRule="auto"/>
              <w:jc w:val="left"/>
            </w:pPr>
            <w:r/>
            <w:r>
              <w:rPr>
                <w:sz w:val="20"/>
              </w:rPr>
              <w:t>Validité interne</w:t>
            </w:r>
          </w:p>
        </w:tc>
        <w:tc>
          <w:tcPr>
            <w:tcW w:type="dxa" w:w="5466"/>
          </w:tcPr>
          <w:p>
            <w:pPr>
              <w:spacing w:after="20" w:before="20" w:line="240" w:lineRule="auto"/>
              <w:jc w:val="left"/>
            </w:pPr>
            <w:r/>
            <w:r>
              <w:rPr>
                <w:sz w:val="20"/>
              </w:rPr>
              <w:t>L'évolution des fraudes est un paramètre du générateur : H5 démontre surtout que le mécanisme de mise à jour fonctionne.</w:t>
            </w:r>
          </w:p>
        </w:tc>
      </w:tr>
      <w:tr>
        <w:trPr>
          <w:cantSplit w:val="true"/>
        </w:trPr>
        <w:tc>
          <w:tcPr>
            <w:tcW w:type="dxa" w:w="2410"/>
          </w:tcPr>
          <w:p>
            <w:pPr>
              <w:spacing w:after="20" w:before="20" w:line="240" w:lineRule="auto"/>
              <w:jc w:val="left"/>
            </w:pPr>
            <w:r/>
            <w:r>
              <w:rPr>
                <w:sz w:val="20"/>
              </w:rPr>
              <w:t>Canal Visa trop séparable</w:t>
            </w:r>
          </w:p>
        </w:tc>
        <w:tc>
          <w:tcPr>
            <w:tcW w:type="dxa" w:w="1513"/>
          </w:tcPr>
          <w:p>
            <w:pPr>
              <w:spacing w:after="20" w:before="20" w:line="240" w:lineRule="auto"/>
              <w:jc w:val="left"/>
            </w:pPr>
            <w:r/>
            <w:r>
              <w:rPr>
                <w:sz w:val="20"/>
              </w:rPr>
              <w:t>Validité de construit</w:t>
            </w:r>
          </w:p>
        </w:tc>
        <w:tc>
          <w:tcPr>
            <w:tcW w:type="dxa" w:w="5466"/>
          </w:tcPr>
          <w:p>
            <w:pPr>
              <w:spacing w:after="20" w:before="20" w:line="240" w:lineRule="auto"/>
              <w:jc w:val="left"/>
            </w:pPr>
            <w:r/>
            <w:r>
              <w:rPr>
                <w:sz w:val="20"/>
              </w:rPr>
              <w:t>Effet plafond possible : la transposabilité (H4) peut être surestimée.</w:t>
            </w:r>
          </w:p>
        </w:tc>
      </w:tr>
      <w:tr>
        <w:trPr>
          <w:cantSplit w:val="true"/>
        </w:trPr>
        <w:tc>
          <w:tcPr>
            <w:tcW w:type="dxa" w:w="2410"/>
          </w:tcPr>
          <w:p>
            <w:pPr>
              <w:spacing w:after="20" w:before="20" w:line="240" w:lineRule="auto"/>
              <w:jc w:val="left"/>
            </w:pPr>
            <w:r/>
            <w:r>
              <w:rPr>
                <w:sz w:val="20"/>
              </w:rPr>
              <w:t>Réutilisation d'un nombre fini d'appareils et de mules</w:t>
            </w:r>
          </w:p>
        </w:tc>
        <w:tc>
          <w:tcPr>
            <w:tcW w:type="dxa" w:w="1513"/>
          </w:tcPr>
          <w:p>
            <w:pPr>
              <w:spacing w:after="20" w:before="20" w:line="240" w:lineRule="auto"/>
              <w:jc w:val="left"/>
            </w:pPr>
            <w:r/>
            <w:r>
              <w:rPr>
                <w:sz w:val="20"/>
              </w:rPr>
              <w:t>Validité de construit</w:t>
            </w:r>
          </w:p>
        </w:tc>
        <w:tc>
          <w:tcPr>
            <w:tcW w:type="dxa" w:w="5466"/>
          </w:tcPr>
          <w:p>
            <w:pPr>
              <w:spacing w:after="20" w:before="20" w:line="240" w:lineRule="auto"/>
              <w:jc w:val="left"/>
            </w:pPr>
            <w:r/>
            <w:r>
              <w:rPr>
                <w:sz w:val="20"/>
              </w:rPr>
              <w:t>Le générateur réutilise 150 appareils de fraudeurs et 400 portefeuilles mules ; les variables de partage et l'analyse de réseau en profitent. À confirmer sur données réelles.</w:t>
            </w:r>
          </w:p>
        </w:tc>
      </w:tr>
      <w:tr>
        <w:trPr>
          <w:cantSplit w:val="true"/>
        </w:trPr>
        <w:tc>
          <w:tcPr>
            <w:tcW w:type="dxa" w:w="2410"/>
          </w:tcPr>
          <w:p>
            <w:pPr>
              <w:spacing w:after="20" w:before="20" w:line="240" w:lineRule="auto"/>
              <w:jc w:val="left"/>
            </w:pPr>
            <w:r/>
            <w:r>
              <w:rPr>
                <w:sz w:val="20"/>
              </w:rPr>
              <w:t>Faible nombre de clients</w:t>
            </w:r>
          </w:p>
        </w:tc>
        <w:tc>
          <w:tcPr>
            <w:tcW w:type="dxa" w:w="1513"/>
          </w:tcPr>
          <w:p>
            <w:pPr>
              <w:spacing w:after="20" w:before="20" w:line="240" w:lineRule="auto"/>
              <w:jc w:val="left"/>
            </w:pPr>
            <w:r/>
            <w:r>
              <w:rPr>
                <w:sz w:val="20"/>
              </w:rPr>
              <w:t>Validité statistique</w:t>
            </w:r>
          </w:p>
        </w:tc>
        <w:tc>
          <w:tcPr>
            <w:tcW w:type="dxa" w:w="5466"/>
          </w:tcPr>
          <w:p>
            <w:pPr>
              <w:spacing w:after="20" w:before="20" w:line="240" w:lineRule="auto"/>
              <w:jc w:val="left"/>
            </w:pPr>
            <w:r/>
            <w:r>
              <w:rPr>
                <w:sz w:val="20"/>
              </w:rPr>
              <w:t>500 clients : les intervalles par usager reposent sur 500 unités.</w:t>
            </w:r>
          </w:p>
        </w:tc>
      </w:tr>
      <w:tr>
        <w:trPr>
          <w:cantSplit w:val="true"/>
        </w:trPr>
        <w:tc>
          <w:tcPr>
            <w:tcW w:type="dxa" w:w="2410"/>
          </w:tcPr>
          <w:p>
            <w:pPr>
              <w:spacing w:after="20" w:before="20" w:line="240" w:lineRule="auto"/>
              <w:jc w:val="left"/>
            </w:pPr>
            <w:r/>
            <w:r>
              <w:rPr>
                <w:sz w:val="20"/>
              </w:rPr>
              <w:t>Fuite d'information</w:t>
            </w:r>
          </w:p>
        </w:tc>
        <w:tc>
          <w:tcPr>
            <w:tcW w:type="dxa" w:w="1513"/>
          </w:tcPr>
          <w:p>
            <w:pPr>
              <w:spacing w:after="20" w:before="20" w:line="240" w:lineRule="auto"/>
              <w:jc w:val="left"/>
            </w:pPr>
            <w:r/>
            <w:r>
              <w:rPr>
                <w:sz w:val="20"/>
              </w:rPr>
              <w:t>Validité interne</w:t>
            </w:r>
          </w:p>
        </w:tc>
        <w:tc>
          <w:tcPr>
            <w:tcW w:type="dxa" w:w="5466"/>
          </w:tcPr>
          <w:p>
            <w:pPr>
              <w:spacing w:after="20" w:before="20" w:line="240" w:lineRule="auto"/>
              <w:jc w:val="left"/>
            </w:pPr>
            <w:r/>
            <w:r>
              <w:rPr>
                <w:sz w:val="20"/>
              </w:rPr>
              <w:t>Variables calculées sur le passé, découpage temporel, seuil choisi sur la validation.</w:t>
            </w:r>
          </w:p>
        </w:tc>
      </w:tr>
      <w:tr>
        <w:trPr>
          <w:cantSplit w:val="true"/>
        </w:trPr>
        <w:tc>
          <w:tcPr>
            <w:tcW w:type="dxa" w:w="2410"/>
          </w:tcPr>
          <w:p>
            <w:pPr>
              <w:spacing w:after="20" w:before="20" w:line="240" w:lineRule="auto"/>
              <w:jc w:val="left"/>
            </w:pPr>
            <w:r/>
            <w:r>
              <w:rPr>
                <w:sz w:val="20"/>
              </w:rPr>
              <w:t>Corrélation intra-client</w:t>
            </w:r>
          </w:p>
        </w:tc>
        <w:tc>
          <w:tcPr>
            <w:tcW w:type="dxa" w:w="1513"/>
          </w:tcPr>
          <w:p>
            <w:pPr>
              <w:spacing w:after="20" w:before="20" w:line="240" w:lineRule="auto"/>
              <w:jc w:val="left"/>
            </w:pPr>
            <w:r/>
            <w:r>
              <w:rPr>
                <w:sz w:val="20"/>
              </w:rPr>
              <w:t>Validité statistique</w:t>
            </w:r>
          </w:p>
        </w:tc>
        <w:tc>
          <w:tcPr>
            <w:tcW w:type="dxa" w:w="5466"/>
          </w:tcPr>
          <w:p>
            <w:pPr>
              <w:spacing w:after="20" w:before="20" w:line="240" w:lineRule="auto"/>
              <w:jc w:val="left"/>
            </w:pPr>
            <w:r/>
            <w:r>
              <w:rPr>
                <w:sz w:val="20"/>
              </w:rPr>
              <w:t>Bootstrap par usager plutôt que par transaction.</w:t>
            </w:r>
          </w:p>
        </w:tc>
      </w:tr>
      <w:tr>
        <w:trPr>
          <w:cantSplit w:val="true"/>
        </w:trPr>
        <w:tc>
          <w:tcPr>
            <w:tcW w:type="dxa" w:w="2410"/>
          </w:tcPr>
          <w:p>
            <w:pPr>
              <w:spacing w:after="20" w:before="20" w:line="240" w:lineRule="auto"/>
              <w:jc w:val="left"/>
            </w:pPr>
            <w:r/>
            <w:r>
              <w:rPr>
                <w:sz w:val="20"/>
              </w:rPr>
              <w:t>Surapprentissage</w:t>
            </w:r>
          </w:p>
        </w:tc>
        <w:tc>
          <w:tcPr>
            <w:tcW w:type="dxa" w:w="1513"/>
          </w:tcPr>
          <w:p>
            <w:pPr>
              <w:spacing w:after="20" w:before="20" w:line="240" w:lineRule="auto"/>
              <w:jc w:val="left"/>
            </w:pPr>
            <w:r/>
            <w:r>
              <w:rPr>
                <w:sz w:val="20"/>
              </w:rPr>
              <w:t>Validité interne</w:t>
            </w:r>
          </w:p>
        </w:tc>
        <w:tc>
          <w:tcPr>
            <w:tcW w:type="dxa" w:w="5466"/>
          </w:tcPr>
          <w:p>
            <w:pPr>
              <w:spacing w:after="20" w:before="20" w:line="240" w:lineRule="auto"/>
              <w:jc w:val="left"/>
            </w:pPr>
            <w:r/>
            <w:r>
              <w:rPr>
                <w:sz w:val="20"/>
              </w:rPr>
              <w:t>Arrêt précoce, régularisation, diagnostic automatique.</w:t>
            </w:r>
          </w:p>
        </w:tc>
      </w:tr>
      <w:tr>
        <w:trPr>
          <w:cantSplit w:val="true"/>
        </w:trPr>
        <w:tc>
          <w:tcPr>
            <w:tcW w:type="dxa" w:w="2410"/>
          </w:tcPr>
          <w:p>
            <w:pPr>
              <w:spacing w:after="20" w:before="20" w:line="240" w:lineRule="auto"/>
              <w:jc w:val="left"/>
            </w:pPr>
            <w:r/>
            <w:r>
              <w:rPr>
                <w:sz w:val="20"/>
              </w:rPr>
              <w:t>Verdicts supposés exacts dans les rejeux</w:t>
            </w:r>
          </w:p>
        </w:tc>
        <w:tc>
          <w:tcPr>
            <w:tcW w:type="dxa" w:w="1513"/>
          </w:tcPr>
          <w:p>
            <w:pPr>
              <w:spacing w:after="20" w:before="20" w:line="240" w:lineRule="auto"/>
              <w:jc w:val="left"/>
            </w:pPr>
            <w:r/>
            <w:r>
              <w:rPr>
                <w:sz w:val="20"/>
              </w:rPr>
              <w:t>Validité externe</w:t>
            </w:r>
          </w:p>
        </w:tc>
        <w:tc>
          <w:tcPr>
            <w:tcW w:type="dxa" w:w="5466"/>
          </w:tcPr>
          <w:p>
            <w:pPr>
              <w:spacing w:after="20" w:before="20" w:line="240" w:lineRule="auto"/>
              <w:jc w:val="left"/>
            </w:pPr>
            <w:r/>
            <w:r>
              <w:rPr>
                <w:sz w:val="20"/>
              </w:rPr>
              <w:t>Les rejeux de la boucle de retour supposent des analystes sans erreur et un taux de plainte fixe.</w:t>
            </w:r>
          </w:p>
        </w:tc>
      </w:tr>
      <w:tr>
        <w:trPr>
          <w:cantSplit w:val="true"/>
        </w:trPr>
        <w:tc>
          <w:tcPr>
            <w:tcW w:type="dxa" w:w="2410"/>
          </w:tcPr>
          <w:p>
            <w:pPr>
              <w:spacing w:after="20" w:before="20" w:line="240" w:lineRule="auto"/>
              <w:jc w:val="left"/>
            </w:pPr>
            <w:r/>
            <w:r>
              <w:rPr>
                <w:sz w:val="20"/>
              </w:rPr>
              <w:t>Corpus de messages construit par l'auteur</w:t>
            </w:r>
          </w:p>
        </w:tc>
        <w:tc>
          <w:tcPr>
            <w:tcW w:type="dxa" w:w="1513"/>
          </w:tcPr>
          <w:p>
            <w:pPr>
              <w:spacing w:after="20" w:before="20" w:line="240" w:lineRule="auto"/>
              <w:jc w:val="left"/>
            </w:pPr>
            <w:r/>
            <w:r>
              <w:rPr>
                <w:sz w:val="20"/>
              </w:rPr>
              <w:t>Validité externe</w:t>
            </w:r>
          </w:p>
        </w:tc>
        <w:tc>
          <w:tcPr>
            <w:tcW w:type="dxa" w:w="5466"/>
          </w:tcPr>
          <w:p>
            <w:pPr>
              <w:spacing w:after="20" w:before="20" w:line="240" w:lineRule="auto"/>
              <w:jc w:val="left"/>
            </w:pPr>
            <w:r/>
            <w:r>
              <w:rPr>
                <w:sz w:val="20"/>
              </w:rPr>
              <w:t>Messages en français seulement ; lingala et swahili non couverts.</w:t>
            </w:r>
          </w:p>
        </w:tc>
      </w:tr>
      <w:tr>
        <w:trPr>
          <w:cantSplit w:val="true"/>
        </w:trPr>
        <w:tc>
          <w:tcPr>
            <w:tcW w:type="dxa" w:w="2410"/>
          </w:tcPr>
          <w:p>
            <w:pPr>
              <w:spacing w:after="20" w:before="20" w:line="240" w:lineRule="auto"/>
              <w:jc w:val="left"/>
            </w:pPr>
            <w:r/>
            <w:r>
              <w:rPr>
                <w:sz w:val="20"/>
              </w:rPr>
              <w:t>Étiquettes réelles imparfaites</w:t>
            </w:r>
          </w:p>
        </w:tc>
        <w:tc>
          <w:tcPr>
            <w:tcW w:type="dxa" w:w="1513"/>
          </w:tcPr>
          <w:p>
            <w:pPr>
              <w:spacing w:after="20" w:before="20" w:line="240" w:lineRule="auto"/>
              <w:jc w:val="left"/>
            </w:pPr>
            <w:r/>
            <w:r>
              <w:rPr>
                <w:sz w:val="20"/>
              </w:rPr>
              <w:t>Validité externe</w:t>
            </w:r>
          </w:p>
        </w:tc>
        <w:tc>
          <w:tcPr>
            <w:tcW w:type="dxa" w:w="5466"/>
          </w:tcPr>
          <w:p>
            <w:pPr>
              <w:spacing w:after="20" w:before="20" w:line="240" w:lineRule="auto"/>
              <w:jc w:val="left"/>
            </w:pPr>
            <w:r/>
            <w:r>
              <w:rPr>
                <w:sz w:val="20"/>
              </w:rPr>
              <w:t>Fraudes non signalées, délai d'étiquetage ; la file de revue et l'échantillon témoin visent à les mesurer.</w:t>
            </w:r>
          </w:p>
        </w:tc>
      </w:tr>
      <w:tr>
        <w:trPr>
          <w:cantSplit w:val="true"/>
        </w:trPr>
        <w:tc>
          <w:tcPr>
            <w:tcW w:type="dxa" w:w="2410"/>
          </w:tcPr>
          <w:p>
            <w:pPr>
              <w:spacing w:after="20" w:before="20" w:line="240" w:lineRule="auto"/>
              <w:jc w:val="left"/>
            </w:pPr>
            <w:r/>
            <w:r>
              <w:rPr>
                <w:sz w:val="20"/>
              </w:rPr>
              <w:t>Coûts métier fixés par hypothèse</w:t>
            </w:r>
          </w:p>
        </w:tc>
        <w:tc>
          <w:tcPr>
            <w:tcW w:type="dxa" w:w="1513"/>
          </w:tcPr>
          <w:p>
            <w:pPr>
              <w:spacing w:after="20" w:before="20" w:line="240" w:lineRule="auto"/>
              <w:jc w:val="left"/>
            </w:pPr>
            <w:r/>
            <w:r>
              <w:rPr>
                <w:sz w:val="20"/>
              </w:rPr>
              <w:t>Validité externe</w:t>
            </w:r>
          </w:p>
        </w:tc>
        <w:tc>
          <w:tcPr>
            <w:tcW w:type="dxa" w:w="5466"/>
          </w:tcPr>
          <w:p>
            <w:pPr>
              <w:spacing w:after="20" w:before="20" w:line="240" w:lineRule="auto"/>
              <w:jc w:val="left"/>
            </w:pPr>
            <w:r/>
            <w:r>
              <w:rPr>
                <w:sz w:val="20"/>
              </w:rPr>
              <w:t>Paramètres de coût à remplacer par ceux de chaque opérateur.</w:t>
            </w:r>
          </w:p>
        </w:tc>
      </w:tr>
    </w:tbl>
    <w:p>
      <w:pPr>
        <w:spacing w:after="120"/>
      </w:pPr>
    </w:p>
    <w:p>
      <w:pPr>
        <w:spacing w:before="0" w:after="120" w:line="360" w:lineRule="auto"/>
        <w:jc w:val="both"/>
      </w:pPr>
      <w:r>
        <w:rPr>
          <w:sz w:val="24"/>
        </w:rPr>
        <w:t xml:space="preserve">Pour passer du prototype à un usage réel, la démarche de validation comporte cinq étapes : accord de données anonymisées avec un opérateur ; validation hors ligne sur son historique, avec le même protocole ; </w:t>
      </w:r>
      <w:r>
        <w:rPr>
          <w:b/>
          <w:sz w:val="24"/>
        </w:rPr>
        <w:t>mode observation</w:t>
      </w:r>
      <w:r>
        <w:rPr>
          <w:sz w:val="24"/>
        </w:rPr>
        <w:t xml:space="preserve"> de deux à quatre semaines, le système notant les opérations sans rien bloquer ; recalibrage des seuils et des coûts ; mise en service progressive, d'abord en vérification seule, puis en blocage des cas critiques.</w:t>
      </w:r>
    </w:p>
    <w:p>
      <w:pPr>
        <w:pStyle w:val="Titre4"/>
        <w:keepNext/>
        <w:numPr>
          <w:numId w:val="0"/>
        </w:numPr>
        <w:spacing w:before="200" w:after="120"/>
        <w:ind w:left="0" w:firstLine="0"/>
        <w:jc w:val="left"/>
      </w:pPr>
      <w:r>
        <w:rPr>
          <w:b/>
          <w:i/>
          <w:color w:val="000000"/>
          <w:sz w:val="25"/>
        </w:rPr>
        <w:t>6.5 Reproductibilité</w:t>
      </w:r>
    </w:p>
    <w:p>
      <w:pPr>
        <w:spacing w:before="0" w:after="120" w:line="360" w:lineRule="auto"/>
        <w:jc w:val="both"/>
      </w:pPr>
      <w:r>
        <w:rPr>
          <w:sz w:val="24"/>
        </w:rPr>
        <w:t xml:space="preserve">Chaque résultat du mémoire est produit par une commande du projet, qui écrit un rapport et ses figures dans </w:t>
      </w:r>
      <w:r>
        <w:rPr>
          <w:rFonts w:ascii="Courier New" w:hAnsi="Courier New"/>
          <w:b w:val="0"/>
          <w:sz w:val="20"/>
        </w:rPr>
        <w:t>ml/reports/</w:t>
      </w:r>
      <w:r>
        <w:rPr>
          <w:sz w:val="24"/>
        </w:rPr>
        <w:t xml:space="preserve"> (tableau II.35).</w:t>
      </w:r>
    </w:p>
    <w:p>
      <w:pPr>
        <w:pStyle w:val="Légendetableau"/>
        <w:keepNext/>
        <w:spacing w:before="200" w:after="80"/>
        <w:jc w:val="center"/>
      </w:pPr>
      <w:r>
        <w:rPr>
          <w:b/>
          <w:sz w:val="20"/>
        </w:rPr>
        <w:t>Tableau II.35 — Commandes de reproduction.</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3003"/>
        <w:gridCol w:w="6386"/>
      </w:tblGrid>
      <w:tr>
        <w:trPr>
          <w:tblHeader w:val="true"/>
        </w:trPr>
        <w:tc>
          <w:tcPr>
            <w:tcW w:type="dxa" w:w="3003"/>
            <w:shd w:val="clear" w:color="auto" w:fill="D9E2F3"/>
          </w:tcPr>
          <w:p>
            <w:pPr>
              <w:spacing w:after="20" w:before="20" w:line="240" w:lineRule="auto"/>
              <w:jc w:val="left"/>
            </w:pPr>
            <w:r/>
            <w:r>
              <w:rPr>
                <w:b/>
                <w:sz w:val="20"/>
              </w:rPr>
              <w:t>Étape</w:t>
            </w:r>
          </w:p>
        </w:tc>
        <w:tc>
          <w:tcPr>
            <w:tcW w:type="dxa" w:w="6386"/>
            <w:shd w:val="clear" w:color="auto" w:fill="D9E2F3"/>
          </w:tcPr>
          <w:p>
            <w:pPr>
              <w:spacing w:after="20" w:before="20" w:line="240" w:lineRule="auto"/>
              <w:jc w:val="left"/>
            </w:pPr>
            <w:r/>
            <w:r>
              <w:rPr>
                <w:b/>
                <w:sz w:val="20"/>
              </w:rPr>
              <w:t>Commande</w:t>
            </w:r>
          </w:p>
        </w:tc>
      </w:tr>
      <w:tr>
        <w:trPr>
          <w:cantSplit w:val="true"/>
        </w:trPr>
        <w:tc>
          <w:tcPr>
            <w:tcW w:type="dxa" w:w="3003"/>
          </w:tcPr>
          <w:p>
            <w:pPr>
              <w:spacing w:after="20" w:before="20" w:line="240" w:lineRule="auto"/>
              <w:jc w:val="left"/>
            </w:pPr>
            <w:r/>
            <w:r>
              <w:rPr>
                <w:sz w:val="20"/>
              </w:rPr>
              <w:t>Génération des données</w:t>
            </w:r>
          </w:p>
        </w:tc>
        <w:tc>
          <w:tcPr>
            <w:tcW w:type="dxa" w:w="6386"/>
          </w:tcPr>
          <w:p>
            <w:pPr>
              <w:spacing w:after="20" w:before="20" w:line="240" w:lineRule="auto"/>
              <w:jc w:val="left"/>
            </w:pPr>
            <w:r/>
            <w:r>
              <w:rPr>
                <w:rFonts w:ascii="Courier New" w:hAnsi="Courier New"/>
                <w:b w:val="0"/>
                <w:sz w:val="16"/>
              </w:rPr>
              <w:t>python ml/generator/generate_synthetic_data.py --multi-year</w:t>
            </w:r>
          </w:p>
        </w:tc>
      </w:tr>
      <w:tr>
        <w:trPr>
          <w:cantSplit w:val="true"/>
        </w:trPr>
        <w:tc>
          <w:tcPr>
            <w:tcW w:type="dxa" w:w="3003"/>
          </w:tcPr>
          <w:p>
            <w:pPr>
              <w:spacing w:after="20" w:before="20" w:line="240" w:lineRule="auto"/>
              <w:jc w:val="left"/>
            </w:pPr>
            <w:r/>
            <w:r>
              <w:rPr>
                <w:sz w:val="20"/>
              </w:rPr>
              <w:t>Variables, entraînement, typologie</w:t>
            </w:r>
          </w:p>
        </w:tc>
        <w:tc>
          <w:tcPr>
            <w:tcW w:type="dxa" w:w="6386"/>
          </w:tcPr>
          <w:p>
            <w:pPr>
              <w:spacing w:after="20" w:before="20" w:line="240" w:lineRule="auto"/>
              <w:jc w:val="left"/>
            </w:pPr>
            <w:r/>
            <w:r>
              <w:rPr>
                <w:rFonts w:ascii="Courier New" w:hAnsi="Courier New"/>
                <w:b w:val="0"/>
                <w:sz w:val="16"/>
              </w:rPr>
              <w:t>scripts/run_pipeline.ps1</w:t>
            </w:r>
            <w:r>
              <w:rPr>
                <w:sz w:val="20"/>
              </w:rPr>
              <w:t xml:space="preserve"> (variables, </w:t>
            </w:r>
            <w:r>
              <w:rPr>
                <w:rFonts w:ascii="Courier New" w:hAnsi="Courier New"/>
                <w:b w:val="0"/>
                <w:sz w:val="16"/>
              </w:rPr>
              <w:t>ml.training.train_model</w:t>
            </w:r>
            <w:r>
              <w:rPr>
                <w:sz w:val="20"/>
              </w:rPr>
              <w:t xml:space="preserve">, </w:t>
            </w:r>
            <w:r>
              <w:rPr>
                <w:rFonts w:ascii="Courier New" w:hAnsi="Courier New"/>
                <w:b w:val="0"/>
                <w:sz w:val="16"/>
              </w:rPr>
              <w:t>ml.training.train_fraud_type</w:t>
            </w:r>
            <w:r>
              <w:rPr>
                <w:sz w:val="20"/>
              </w:rPr>
              <w:t>)</w:t>
            </w:r>
          </w:p>
        </w:tc>
      </w:tr>
      <w:tr>
        <w:trPr>
          <w:cantSplit w:val="true"/>
        </w:trPr>
        <w:tc>
          <w:tcPr>
            <w:tcW w:type="dxa" w:w="3003"/>
          </w:tcPr>
          <w:p>
            <w:pPr>
              <w:spacing w:after="20" w:before="20" w:line="240" w:lineRule="auto"/>
              <w:jc w:val="left"/>
            </w:pPr>
            <w:r/>
            <w:r>
              <w:rPr>
                <w:sz w:val="20"/>
              </w:rPr>
              <w:t>Analyse exploratoire</w:t>
            </w:r>
          </w:p>
        </w:tc>
        <w:tc>
          <w:tcPr>
            <w:tcW w:type="dxa" w:w="6386"/>
          </w:tcPr>
          <w:p>
            <w:pPr>
              <w:spacing w:after="20" w:before="20" w:line="240" w:lineRule="auto"/>
              <w:jc w:val="left"/>
            </w:pPr>
            <w:r/>
            <w:r>
              <w:rPr>
                <w:rFonts w:ascii="Courier New" w:hAnsi="Courier New"/>
                <w:b w:val="0"/>
                <w:sz w:val="16"/>
              </w:rPr>
              <w:t>python -m ml.eda.exploratory_analysis</w:t>
            </w:r>
          </w:p>
        </w:tc>
      </w:tr>
      <w:tr>
        <w:trPr>
          <w:cantSplit w:val="true"/>
        </w:trPr>
        <w:tc>
          <w:tcPr>
            <w:tcW w:type="dxa" w:w="3003"/>
          </w:tcPr>
          <w:p>
            <w:pPr>
              <w:spacing w:after="20" w:before="20" w:line="240" w:lineRule="auto"/>
              <w:jc w:val="left"/>
            </w:pPr>
            <w:r/>
            <w:r>
              <w:rPr>
                <w:sz w:val="20"/>
              </w:rPr>
              <w:t>Choix du modèle et métriques complètes</w:t>
            </w:r>
          </w:p>
        </w:tc>
        <w:tc>
          <w:tcPr>
            <w:tcW w:type="dxa" w:w="6386"/>
          </w:tcPr>
          <w:p>
            <w:pPr>
              <w:spacing w:after="20" w:before="20" w:line="240" w:lineRule="auto"/>
              <w:jc w:val="left"/>
            </w:pPr>
            <w:r/>
            <w:r>
              <w:rPr>
                <w:rFonts w:ascii="Courier New" w:hAnsi="Courier New"/>
                <w:b w:val="0"/>
                <w:sz w:val="16"/>
              </w:rPr>
              <w:t>python -m ml.training.model_selection</w:t>
            </w:r>
            <w:r>
              <w:rPr>
                <w:sz w:val="20"/>
              </w:rPr>
              <w:t xml:space="preserve">, </w:t>
            </w:r>
            <w:r>
              <w:rPr>
                <w:rFonts w:ascii="Courier New" w:hAnsi="Courier New"/>
                <w:b w:val="0"/>
                <w:sz w:val="16"/>
              </w:rPr>
              <w:t>python -m ml.training.figures_comparaison</w:t>
            </w:r>
          </w:p>
        </w:tc>
      </w:tr>
      <w:tr>
        <w:trPr>
          <w:cantSplit w:val="true"/>
        </w:trPr>
        <w:tc>
          <w:tcPr>
            <w:tcW w:type="dxa" w:w="3003"/>
          </w:tcPr>
          <w:p>
            <w:pPr>
              <w:spacing w:after="20" w:before="20" w:line="240" w:lineRule="auto"/>
              <w:jc w:val="left"/>
            </w:pPr>
            <w:r/>
            <w:r>
              <w:rPr>
                <w:sz w:val="20"/>
              </w:rPr>
              <w:t>Hypothèses H1 à H4, puis H5</w:t>
            </w:r>
          </w:p>
        </w:tc>
        <w:tc>
          <w:tcPr>
            <w:tcW w:type="dxa" w:w="6386"/>
          </w:tcPr>
          <w:p>
            <w:pPr>
              <w:spacing w:after="20" w:before="20" w:line="240" w:lineRule="auto"/>
              <w:jc w:val="left"/>
            </w:pPr>
            <w:r/>
            <w:r>
              <w:rPr>
                <w:rFonts w:ascii="Courier New" w:hAnsi="Courier New"/>
                <w:b w:val="0"/>
                <w:sz w:val="16"/>
              </w:rPr>
              <w:t>python -m ml.training.research_evaluation</w:t>
            </w:r>
            <w:r>
              <w:rPr>
                <w:sz w:val="20"/>
              </w:rPr>
              <w:t xml:space="preserve">, </w:t>
            </w:r>
            <w:r>
              <w:rPr>
                <w:rFonts w:ascii="Courier New" w:hAnsi="Courier New"/>
                <w:b w:val="0"/>
                <w:sz w:val="16"/>
              </w:rPr>
              <w:t>python -m ml.training.h5_temporal</w:t>
            </w:r>
          </w:p>
        </w:tc>
      </w:tr>
      <w:tr>
        <w:trPr>
          <w:cantSplit w:val="true"/>
        </w:trPr>
        <w:tc>
          <w:tcPr>
            <w:tcW w:type="dxa" w:w="3003"/>
          </w:tcPr>
          <w:p>
            <w:pPr>
              <w:spacing w:after="20" w:before="20" w:line="240" w:lineRule="auto"/>
              <w:jc w:val="left"/>
            </w:pPr>
            <w:r/>
            <w:r>
              <w:rPr>
                <w:sz w:val="20"/>
              </w:rPr>
              <w:t>Lois physiques, cas similaires, texte</w:t>
            </w:r>
          </w:p>
        </w:tc>
        <w:tc>
          <w:tcPr>
            <w:tcW w:type="dxa" w:w="6386"/>
          </w:tcPr>
          <w:p>
            <w:pPr>
              <w:spacing w:after="20" w:before="20" w:line="240" w:lineRule="auto"/>
              <w:jc w:val="left"/>
            </w:pPr>
            <w:r/>
            <w:r>
              <w:rPr>
                <w:rFonts w:ascii="Courier New" w:hAnsi="Courier New"/>
                <w:b w:val="0"/>
                <w:sz w:val="16"/>
              </w:rPr>
              <w:t>python -m ml.physics.evaluate_physics</w:t>
            </w:r>
            <w:r>
              <w:rPr>
                <w:sz w:val="20"/>
              </w:rPr>
              <w:t xml:space="preserve">, </w:t>
            </w:r>
            <w:r>
              <w:rPr>
                <w:rFonts w:ascii="Courier New" w:hAnsi="Courier New"/>
                <w:b w:val="0"/>
                <w:sz w:val="16"/>
              </w:rPr>
              <w:t>python -m ml.rag.evaluate_rag</w:t>
            </w:r>
            <w:r>
              <w:rPr>
                <w:sz w:val="20"/>
              </w:rPr>
              <w:t xml:space="preserve">, </w:t>
            </w:r>
            <w:r>
              <w:rPr>
                <w:rFonts w:ascii="Courier New" w:hAnsi="Courier New"/>
                <w:b w:val="0"/>
                <w:sz w:val="16"/>
              </w:rPr>
              <w:t>python -m ml.nlp.evaluate_nlp</w:t>
            </w:r>
          </w:p>
        </w:tc>
      </w:tr>
      <w:tr>
        <w:trPr>
          <w:cantSplit w:val="true"/>
        </w:trPr>
        <w:tc>
          <w:tcPr>
            <w:tcW w:type="dxa" w:w="3003"/>
          </w:tcPr>
          <w:p>
            <w:pPr>
              <w:spacing w:after="20" w:before="20" w:line="240" w:lineRule="auto"/>
              <w:jc w:val="left"/>
            </w:pPr>
            <w:r/>
            <w:r>
              <w:rPr>
                <w:sz w:val="20"/>
              </w:rPr>
              <w:t>Réseaux, boucle de retour, politique, équité</w:t>
            </w:r>
          </w:p>
        </w:tc>
        <w:tc>
          <w:tcPr>
            <w:tcW w:type="dxa" w:w="6386"/>
          </w:tcPr>
          <w:p>
            <w:pPr>
              <w:spacing w:after="20" w:before="20" w:line="240" w:lineRule="auto"/>
              <w:jc w:val="left"/>
            </w:pPr>
            <w:r/>
            <w:r>
              <w:rPr>
                <w:rFonts w:ascii="Courier New" w:hAnsi="Courier New"/>
                <w:b w:val="0"/>
                <w:sz w:val="16"/>
              </w:rPr>
              <w:t>python -m ml.graph.evaluate_graph</w:t>
            </w:r>
            <w:r>
              <w:rPr>
                <w:sz w:val="20"/>
              </w:rPr>
              <w:t xml:space="preserve">, </w:t>
            </w:r>
            <w:r>
              <w:rPr>
                <w:rFonts w:ascii="Courier New" w:hAnsi="Courier New"/>
                <w:b w:val="0"/>
                <w:sz w:val="16"/>
              </w:rPr>
              <w:t>python -m ml.retraining.evaluate_feedback</w:t>
            </w:r>
            <w:r>
              <w:rPr>
                <w:sz w:val="20"/>
              </w:rPr>
              <w:t xml:space="preserve">, </w:t>
            </w:r>
            <w:r>
              <w:rPr>
                <w:rFonts w:ascii="Courier New" w:hAnsi="Courier New"/>
                <w:b w:val="0"/>
                <w:sz w:val="16"/>
              </w:rPr>
              <w:t>python -m ml.serving.evaluate_policy</w:t>
            </w:r>
            <w:r>
              <w:rPr>
                <w:sz w:val="20"/>
              </w:rPr>
              <w:t xml:space="preserve">, </w:t>
            </w:r>
            <w:r>
              <w:rPr>
                <w:rFonts w:ascii="Courier New" w:hAnsi="Courier New"/>
                <w:b w:val="0"/>
                <w:sz w:val="16"/>
              </w:rPr>
              <w:t>python -m ml.robustness.evaluate_fairness</w:t>
            </w:r>
          </w:p>
        </w:tc>
      </w:tr>
      <w:tr>
        <w:trPr>
          <w:cantSplit w:val="true"/>
        </w:trPr>
        <w:tc>
          <w:tcPr>
            <w:tcW w:type="dxa" w:w="3003"/>
          </w:tcPr>
          <w:p>
            <w:pPr>
              <w:spacing w:after="20" w:before="20" w:line="240" w:lineRule="auto"/>
              <w:jc w:val="left"/>
            </w:pPr>
            <w:r/>
            <w:r>
              <w:rPr>
                <w:sz w:val="20"/>
              </w:rPr>
              <w:t>Garde-fou de non-régression</w:t>
            </w:r>
          </w:p>
        </w:tc>
        <w:tc>
          <w:tcPr>
            <w:tcW w:type="dxa" w:w="6386"/>
          </w:tcPr>
          <w:p>
            <w:pPr>
              <w:spacing w:after="20" w:before="20" w:line="240" w:lineRule="auto"/>
              <w:jc w:val="left"/>
            </w:pPr>
            <w:r/>
            <w:r>
              <w:rPr>
                <w:rFonts w:ascii="Courier New" w:hAnsi="Courier New"/>
                <w:b w:val="0"/>
                <w:sz w:val="16"/>
              </w:rPr>
              <w:t>python -m ml.training.detection_gate</w:t>
            </w:r>
          </w:p>
        </w:tc>
      </w:tr>
    </w:tbl>
    <w:p>
      <w:pPr>
        <w:spacing w:after="120"/>
      </w:pPr>
    </w:p>
    <w:p w14:paraId="5603530C" w14:textId="77777777" w:rsidR="00852587" w:rsidRDefault="004C4A96">
      <w:pPr>
        <w:spacing w:before="71" w:line="360" w:lineRule="auto"/>
        <w:ind w:right="258"/>
        <w:jc w:val="both"/>
        <w:rPr>
          <w:b/>
          <w:sz w:val="28"/>
          <w:szCs w:val="28"/>
        </w:rPr>
      </w:pPr>
      <w:r>
        <w:rPr>
          <w:b/>
          <w:sz w:val="24"/>
          <w:szCs w:val="24"/>
        </w:rPr>
        <w:t xml:space="preserve">Conclusion </w:t>
      </w:r>
    </w:p>
    <w:p>
      <w:pPr>
        <w:spacing w:before="0" w:after="120" w:line="360" w:lineRule="auto"/>
        <w:jc w:val="both"/>
      </w:pPr>
      <w:r>
        <w:rPr>
          <w:sz w:val="24"/>
        </w:rPr>
        <w:t>Ce chapitre a d'abord analysé le métier de la lutte contre la fraude Mobile Money en RDC. L'étude de l'existant a montré qu'un contrôle fondé sur des règles statiques ignore l'individu, se laisse contourner, intervient trop tard, ne gradue pas sa réponse et n'explique pas ses décisions. De cette critique sont nés vingt-trois règles de gestion, vingt-six besoins fonctionnels et une vingtaine de besoins non fonctionnels, priorisés et reliés aux cinq hypothèses de recherche.</w:t>
      </w:r>
    </w:p>
    <w:p>
      <w:pPr>
        <w:spacing w:before="0" w:after="120" w:line="360" w:lineRule="auto"/>
        <w:jc w:val="both"/>
      </w:pPr>
      <w:r>
        <w:rPr>
          <w:sz w:val="24"/>
        </w:rPr>
        <w:t>Il a ensuite décrit les données : un jeu synthétique de 631 968 transactions sur sept ans, reproductible et confronté aux statistiques officielles, complété en exploitation par un flux collecté par une API ouverte aux institutions et par plusieurs sources d'étiquettes, dont un échantillon témoin aléatoire qui permet de mesurer ce que le modèle laisse passer. Ces données sont préparées sans fuite d'information : 58 variables calculées sur le seul passé du client, normalisation estimée sur l'entraînement, découpage chronologique.</w:t>
      </w:r>
    </w:p>
    <w:p>
      <w:pPr>
        <w:spacing w:before="0" w:after="120" w:line="360" w:lineRule="auto"/>
        <w:jc w:val="both"/>
        <w:sectPr w:rsidR="00852587">
          <w:pgSz w:w="11910" w:h="16840"/>
          <w:pgMar w:top="1440" w:right="1180" w:bottom="1240" w:left="1340" w:header="0" w:footer="1055" w:gutter="0"/>
          <w:cols w:space="720"/>
        </w:sectPr>
      </w:pPr>
      <w:r>
        <w:rPr>
          <w:sz w:val="24"/>
        </w:rPr>
        <w:t>La méthodologie enfin justifie le choix d'un modèle hybride (XGBoost, LSTM avec attention, autoencodeur), complété par une décision selon le coût, des lois physiques, une explication de chaque décision et une analyse de réseau. Elle fixe les paramètres, les métriques, avec la PR-AUC comme métrique principale, et un protocole qui impose un test postérieur à l'apprentissage, un seuil choisi sur la validation et des tests statistiques adaptés (bootstrap par client, test de McNemar). Le chapitre suivant présente les résultats obtenus en appliquant ce protocole, puis l'implémentation du système.</w:t>
      </w:r>
    </w:p>
    <w:p w14:paraId="5895C81A" w14:textId="77777777" w:rsidR="00852587" w:rsidRDefault="00852587">
      <w:pPr>
        <w:pStyle w:val="Titre1"/>
        <w:spacing w:before="89" w:line="360" w:lineRule="auto"/>
        <w:ind w:left="2880" w:right="2063" w:firstLine="720"/>
        <w:jc w:val="left"/>
      </w:pPr>
      <w:bookmarkStart w:id="89" w:name="_heading=h.av4iz2e6xyee" w:colFirst="0" w:colLast="0"/>
      <w:bookmarkEnd w:id="89"/>
    </w:p>
    <w:p w14:paraId="052A77FF" w14:textId="77777777" w:rsidR="00852587" w:rsidRDefault="00852587">
      <w:pPr>
        <w:pStyle w:val="Titre1"/>
        <w:spacing w:before="89" w:line="360" w:lineRule="auto"/>
        <w:ind w:left="2880" w:right="2063" w:firstLine="720"/>
        <w:jc w:val="left"/>
      </w:pPr>
      <w:bookmarkStart w:id="90" w:name="_heading=h.uao6es2gxncx" w:colFirst="0" w:colLast="0"/>
      <w:bookmarkEnd w:id="90"/>
    </w:p>
    <w:p w14:paraId="494A305A" w14:textId="77777777" w:rsidR="00852587" w:rsidRDefault="00852587">
      <w:pPr>
        <w:pStyle w:val="Titre1"/>
        <w:spacing w:before="89" w:line="360" w:lineRule="auto"/>
        <w:ind w:left="720" w:right="2063" w:firstLine="720"/>
        <w:jc w:val="left"/>
      </w:pPr>
      <w:bookmarkStart w:id="91" w:name="_heading=h.1p63im3js00o" w:colFirst="0" w:colLast="0"/>
      <w:bookmarkEnd w:id="91"/>
    </w:p>
    <w:p w14:paraId="3E2DC7CF" w14:textId="77777777" w:rsidR="00852587" w:rsidRDefault="00852587">
      <w:pPr>
        <w:pStyle w:val="Titre1"/>
        <w:spacing w:before="89" w:line="360" w:lineRule="auto"/>
        <w:ind w:left="720" w:right="2063" w:firstLine="720"/>
        <w:jc w:val="left"/>
      </w:pPr>
      <w:bookmarkStart w:id="92" w:name="_heading=h.2okukpuk094h" w:colFirst="0" w:colLast="0"/>
      <w:bookmarkEnd w:id="92"/>
    </w:p>
    <w:p w14:paraId="7D57253D" w14:textId="77777777" w:rsidR="00852587" w:rsidRDefault="00852587">
      <w:pPr>
        <w:pStyle w:val="Titre1"/>
        <w:spacing w:before="89" w:line="360" w:lineRule="auto"/>
        <w:ind w:left="720" w:right="2063" w:firstLine="720"/>
        <w:jc w:val="left"/>
      </w:pPr>
      <w:bookmarkStart w:id="93" w:name="_heading=h.ef96op3ct3g6" w:colFirst="0" w:colLast="0"/>
      <w:bookmarkEnd w:id="93"/>
    </w:p>
    <w:p w14:paraId="133C9B96" w14:textId="77777777" w:rsidR="00852587" w:rsidRDefault="00852587">
      <w:pPr>
        <w:pStyle w:val="Titre1"/>
        <w:spacing w:before="89" w:line="360" w:lineRule="auto"/>
        <w:ind w:left="0" w:right="2063"/>
        <w:jc w:val="left"/>
      </w:pPr>
      <w:bookmarkStart w:id="94" w:name="_heading=h.swzt2fclxzx4" w:colFirst="0" w:colLast="0"/>
      <w:bookmarkEnd w:id="94"/>
    </w:p>
    <w:p w14:paraId="172977E0" w14:textId="77777777" w:rsidR="00852587" w:rsidRDefault="00852587">
      <w:pPr>
        <w:pStyle w:val="Titre1"/>
        <w:spacing w:before="89" w:line="360" w:lineRule="auto"/>
        <w:ind w:left="720" w:right="2063" w:firstLine="720"/>
        <w:jc w:val="left"/>
      </w:pPr>
      <w:bookmarkStart w:id="95" w:name="_heading=h.d55areg38v79" w:colFirst="0" w:colLast="0"/>
      <w:bookmarkEnd w:id="95"/>
    </w:p>
    <w:p w14:paraId="2CE89090" w14:textId="77777777" w:rsidR="00852587" w:rsidRDefault="00852587">
      <w:pPr>
        <w:pStyle w:val="Titre1"/>
        <w:spacing w:before="89" w:line="360" w:lineRule="auto"/>
        <w:ind w:left="720" w:right="2063" w:firstLine="720"/>
      </w:pPr>
      <w:bookmarkStart w:id="96" w:name="_heading=h.mll2k8c99pu" w:colFirst="0" w:colLast="0"/>
      <w:bookmarkEnd w:id="96"/>
    </w:p>
    <w:p w14:paraId="70FEA306" w14:textId="77777777" w:rsidR="00852587" w:rsidRDefault="00852587">
      <w:pPr>
        <w:pStyle w:val="Titre1"/>
        <w:spacing w:before="89" w:line="360" w:lineRule="auto"/>
        <w:ind w:left="0" w:right="2063"/>
      </w:pPr>
      <w:bookmarkStart w:id="97" w:name="_heading=h.7evjxzgiuhpw" w:colFirst="0" w:colLast="0"/>
      <w:bookmarkEnd w:id="97"/>
    </w:p>
    <w:p w14:paraId="73C11EA7" w14:textId="77777777" w:rsidR="00852587" w:rsidRDefault="004C4A96">
      <w:pPr>
        <w:pStyle w:val="Titre1"/>
        <w:spacing w:before="89" w:line="360" w:lineRule="auto"/>
        <w:ind w:left="0" w:right="2063" w:firstLine="720"/>
        <w:rPr>
          <w:i/>
          <w:sz w:val="24"/>
          <w:szCs w:val="24"/>
          <w:u w:val="single"/>
        </w:rPr>
        <w:sectPr w:rsidR="00852587">
          <w:pgSz w:w="11910" w:h="16840"/>
          <w:pgMar w:top="1440" w:right="1180" w:bottom="1240" w:left="1340" w:header="0" w:footer="1055" w:gutter="0"/>
          <w:cols w:space="720"/>
        </w:sectPr>
      </w:pPr>
      <w:bookmarkStart w:id="98" w:name="_heading=h.d8hq5rq25j6v" w:colFirst="0" w:colLast="0"/>
      <w:bookmarkEnd w:id="98"/>
      <w:r>
        <w:rPr>
          <w:sz w:val="40"/>
          <w:szCs w:val="40"/>
        </w:rPr>
        <w:t>Chapitre III: Implémentation</w:t>
      </w:r>
    </w:p>
    <w:p>
      <w:pPr>
        <w:spacing w:before="0" w:after="120" w:line="360" w:lineRule="auto"/>
        <w:jc w:val="both"/>
      </w:pPr>
      <w:r>
        <w:rPr>
          <w:sz w:val="24"/>
        </w:rPr>
        <w:t>Ce troisième chapitre présente la réalisation du système et les résultats obtenus en appliquant la méthodologie du chapitre II. La première partie expose les résultats : analyse exploratoire des données, performances des modèles et des composants du moteur de décision, interprétation, comparaison avec la littérature et discussion. La seconde partie décrit l'implémentation : environnement et technologies de développement, architecture de la solution, services et déploiement.</w:t>
      </w:r>
    </w:p>
    <w:p>
      <w:pPr>
        <w:pBdr>
          <w:left w:val="single" w:sz="24" w:space="8" w:color="2B6CB0"/>
        </w:pBdr>
        <w:shd w:val="clear" w:color="auto" w:fill="EEF3FA"/>
        <w:spacing w:before="120" w:after="200" w:line="312" w:lineRule="auto"/>
        <w:ind w:left="340" w:right="170"/>
        <w:jc w:val="both"/>
      </w:pPr>
      <w:r>
        <w:rPr>
          <w:b/>
          <w:sz w:val="22"/>
        </w:rPr>
        <w:t>Rappel.</w:t>
      </w:r>
      <w:r>
        <w:rPr>
          <w:sz w:val="22"/>
        </w:rPr>
        <w:t xml:space="preserve"> Les données sont simulées : les résultats mesurent la capacité des modèles à retrouver des fraudes injectées par un générateur, et non la fraude réelle. Les valeurs absolues, très élevées, ne doivent pas être lues comme des performances attendues en exploitation ; c'est la comparaison entre méthodes, faite dans des conditions identiques et reproductibles, qui est le résultat de ce travail.</w:t>
      </w:r>
    </w:p>
    <w:p>
      <w:pPr>
        <w:pStyle w:val="Titre2"/>
        <w:keepNext/>
        <w:numPr>
          <w:numId w:val="0"/>
        </w:numPr>
        <w:spacing w:before="360" w:after="120"/>
        <w:ind w:left="0" w:firstLine="0"/>
        <w:jc w:val="left"/>
      </w:pPr>
      <w:r>
        <w:rPr>
          <w:b/>
          <w:color w:val="1F2A44"/>
          <w:sz w:val="30"/>
        </w:rPr>
        <w:t>I. Résultats</w:t>
      </w:r>
    </w:p>
    <w:p>
      <w:pPr>
        <w:pStyle w:val="Titre3"/>
        <w:keepNext/>
        <w:numPr>
          <w:numId w:val="0"/>
        </w:numPr>
        <w:spacing w:before="280" w:after="120"/>
        <w:ind w:left="0" w:firstLine="0"/>
        <w:jc w:val="left"/>
      </w:pPr>
      <w:r>
        <w:rPr>
          <w:b/>
          <w:color w:val="1F2A44"/>
          <w:sz w:val="28"/>
        </w:rPr>
        <w:t>1. Analyse exploratoire des données</w:t>
      </w:r>
    </w:p>
    <w:p>
      <w:pPr>
        <w:spacing w:before="0" w:after="120" w:line="360" w:lineRule="auto"/>
        <w:jc w:val="both"/>
      </w:pPr>
      <w:r>
        <w:rPr>
          <w:sz w:val="24"/>
        </w:rPr>
        <w:t xml:space="preserve">L'analyse exploratoire décrit le jeu de données avant toute modélisation. Elle vérifie sa qualité, caractérise le déséquilibre des classes, la répartition des fraudes et la distribution des montants et des horaires, puis examine la structure par client et les relations entre variables. Tous les chiffres proviennent du script </w:t>
      </w:r>
      <w:r>
        <w:rPr>
          <w:rFonts w:ascii="Courier New" w:hAnsi="Courier New"/>
          <w:b w:val="0"/>
          <w:sz w:val="20"/>
        </w:rPr>
        <w:t>ml/eda/exploratory_analysis.py</w:t>
      </w:r>
      <w:r>
        <w:rPr>
          <w:sz w:val="24"/>
        </w:rPr>
        <w:t>.</w:t>
      </w:r>
    </w:p>
    <w:p>
      <w:pPr>
        <w:pStyle w:val="Titre4"/>
        <w:keepNext/>
        <w:numPr>
          <w:numId w:val="0"/>
        </w:numPr>
        <w:spacing w:before="200" w:after="120"/>
        <w:ind w:left="0" w:firstLine="0"/>
        <w:jc w:val="left"/>
      </w:pPr>
      <w:r>
        <w:rPr>
          <w:b/>
          <w:i/>
          <w:color w:val="000000"/>
          <w:sz w:val="25"/>
        </w:rPr>
        <w:t>1.1 Qualité des données</w:t>
      </w:r>
    </w:p>
    <w:p>
      <w:pPr>
        <w:spacing w:before="0" w:after="120" w:line="360" w:lineRule="auto"/>
        <w:jc w:val="both"/>
      </w:pPr>
      <w:r>
        <w:rPr>
          <w:sz w:val="24"/>
        </w:rPr>
        <w:t>Le jeu contient 631 968 transactions décrites par 34 colonnes, sur la période du 1er janvier 2019 au 31 décembre 2025. Les contrôles de qualité sont tous satisfaits (tableau III.1).</w:t>
      </w:r>
    </w:p>
    <w:p>
      <w:pPr>
        <w:pStyle w:val="Légendetableau"/>
        <w:keepNext/>
        <w:spacing w:before="200" w:after="80"/>
        <w:jc w:val="center"/>
      </w:pPr>
      <w:r>
        <w:rPr>
          <w:b/>
          <w:sz w:val="20"/>
        </w:rPr>
        <w:t>Tableau III.1 — Contrôles de qualité du jeu de données.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5067"/>
        <w:gridCol w:w="4322"/>
      </w:tblGrid>
      <w:tr>
        <w:trPr>
          <w:tblHeader w:val="true"/>
        </w:trPr>
        <w:tc>
          <w:tcPr>
            <w:tcW w:type="dxa" w:w="5067"/>
            <w:shd w:val="clear" w:color="auto" w:fill="D9E2F3"/>
          </w:tcPr>
          <w:p>
            <w:pPr>
              <w:spacing w:after="20" w:before="20" w:line="240" w:lineRule="auto"/>
              <w:jc w:val="left"/>
            </w:pPr>
            <w:r/>
            <w:r>
              <w:rPr>
                <w:b/>
                <w:sz w:val="20"/>
              </w:rPr>
              <w:t>Contrôle</w:t>
            </w:r>
          </w:p>
        </w:tc>
        <w:tc>
          <w:tcPr>
            <w:tcW w:type="dxa" w:w="4322"/>
            <w:shd w:val="clear" w:color="auto" w:fill="D9E2F3"/>
          </w:tcPr>
          <w:p>
            <w:pPr>
              <w:spacing w:after="20" w:before="20" w:line="240" w:lineRule="auto"/>
              <w:jc w:val="left"/>
            </w:pPr>
            <w:r/>
            <w:r>
              <w:rPr>
                <w:b/>
                <w:sz w:val="20"/>
              </w:rPr>
              <w:t>Résultat</w:t>
            </w:r>
          </w:p>
        </w:tc>
      </w:tr>
      <w:tr>
        <w:trPr>
          <w:cantSplit w:val="true"/>
        </w:trPr>
        <w:tc>
          <w:tcPr>
            <w:tcW w:type="dxa" w:w="5067"/>
          </w:tcPr>
          <w:p>
            <w:pPr>
              <w:spacing w:after="20" w:before="20" w:line="240" w:lineRule="auto"/>
              <w:jc w:val="left"/>
            </w:pPr>
            <w:r/>
            <w:r>
              <w:rPr>
                <w:sz w:val="20"/>
              </w:rPr>
              <w:t>Identifiants de transaction en double</w:t>
            </w:r>
          </w:p>
        </w:tc>
        <w:tc>
          <w:tcPr>
            <w:tcW w:type="dxa" w:w="4322"/>
          </w:tcPr>
          <w:p>
            <w:pPr>
              <w:spacing w:after="20" w:before="20" w:line="240" w:lineRule="auto"/>
              <w:jc w:val="left"/>
            </w:pPr>
            <w:r/>
            <w:r>
              <w:rPr>
                <w:sz w:val="20"/>
              </w:rPr>
              <w:t>0</w:t>
            </w:r>
          </w:p>
        </w:tc>
      </w:tr>
      <w:tr>
        <w:trPr>
          <w:cantSplit w:val="true"/>
        </w:trPr>
        <w:tc>
          <w:tcPr>
            <w:tcW w:type="dxa" w:w="5067"/>
          </w:tcPr>
          <w:p>
            <w:pPr>
              <w:spacing w:after="20" w:before="20" w:line="240" w:lineRule="auto"/>
              <w:jc w:val="left"/>
            </w:pPr>
            <w:r/>
            <w:r>
              <w:rPr>
                <w:sz w:val="20"/>
              </w:rPr>
              <w:t>Montants nuls ou négatifs</w:t>
            </w:r>
          </w:p>
        </w:tc>
        <w:tc>
          <w:tcPr>
            <w:tcW w:type="dxa" w:w="4322"/>
          </w:tcPr>
          <w:p>
            <w:pPr>
              <w:spacing w:after="20" w:before="20" w:line="240" w:lineRule="auto"/>
              <w:jc w:val="left"/>
            </w:pPr>
            <w:r/>
            <w:r>
              <w:rPr>
                <w:sz w:val="20"/>
              </w:rPr>
              <w:t>0</w:t>
            </w:r>
          </w:p>
        </w:tc>
      </w:tr>
      <w:tr>
        <w:trPr>
          <w:cantSplit w:val="true"/>
        </w:trPr>
        <w:tc>
          <w:tcPr>
            <w:tcW w:type="dxa" w:w="5067"/>
          </w:tcPr>
          <w:p>
            <w:pPr>
              <w:spacing w:after="20" w:before="20" w:line="240" w:lineRule="auto"/>
              <w:jc w:val="left"/>
            </w:pPr>
            <w:r/>
            <w:r>
              <w:rPr>
                <w:sz w:val="20"/>
              </w:rPr>
              <w:t>Horodatages manquants</w:t>
            </w:r>
          </w:p>
        </w:tc>
        <w:tc>
          <w:tcPr>
            <w:tcW w:type="dxa" w:w="4322"/>
          </w:tcPr>
          <w:p>
            <w:pPr>
              <w:spacing w:after="20" w:before="20" w:line="240" w:lineRule="auto"/>
              <w:jc w:val="left"/>
            </w:pPr>
            <w:r/>
            <w:r>
              <w:rPr>
                <w:sz w:val="20"/>
              </w:rPr>
              <w:t>0</w:t>
            </w:r>
          </w:p>
        </w:tc>
      </w:tr>
      <w:tr>
        <w:trPr>
          <w:cantSplit w:val="true"/>
        </w:trPr>
        <w:tc>
          <w:tcPr>
            <w:tcW w:type="dxa" w:w="5067"/>
          </w:tcPr>
          <w:p>
            <w:pPr>
              <w:spacing w:after="20" w:before="20" w:line="240" w:lineRule="auto"/>
              <w:jc w:val="left"/>
            </w:pPr>
            <w:r/>
            <w:r>
              <w:rPr>
                <w:sz w:val="20"/>
              </w:rPr>
              <w:t>Soldes négatifs</w:t>
            </w:r>
          </w:p>
        </w:tc>
        <w:tc>
          <w:tcPr>
            <w:tcW w:type="dxa" w:w="4322"/>
          </w:tcPr>
          <w:p>
            <w:pPr>
              <w:spacing w:after="20" w:before="20" w:line="240" w:lineRule="auto"/>
              <w:jc w:val="left"/>
            </w:pPr>
            <w:r/>
            <w:r>
              <w:rPr>
                <w:sz w:val="20"/>
              </w:rPr>
              <w:t>0</w:t>
            </w:r>
          </w:p>
        </w:tc>
      </w:tr>
      <w:tr>
        <w:trPr>
          <w:cantSplit w:val="true"/>
        </w:trPr>
        <w:tc>
          <w:tcPr>
            <w:tcW w:type="dxa" w:w="5067"/>
          </w:tcPr>
          <w:p>
            <w:pPr>
              <w:spacing w:after="20" w:before="20" w:line="240" w:lineRule="auto"/>
              <w:jc w:val="left"/>
            </w:pPr>
            <w:r/>
            <w:r>
              <w:rPr>
                <w:sz w:val="20"/>
              </w:rPr>
              <w:t>Opérations échouées (solde insuffisant)</w:t>
            </w:r>
          </w:p>
        </w:tc>
        <w:tc>
          <w:tcPr>
            <w:tcW w:type="dxa" w:w="4322"/>
          </w:tcPr>
          <w:p>
            <w:pPr>
              <w:spacing w:after="20" w:before="20" w:line="240" w:lineRule="auto"/>
              <w:jc w:val="left"/>
            </w:pPr>
            <w:r/>
            <w:r>
              <w:rPr>
                <w:sz w:val="20"/>
              </w:rPr>
              <w:t>0,98 %</w:t>
            </w:r>
          </w:p>
        </w:tc>
      </w:tr>
      <w:tr>
        <w:trPr>
          <w:cantSplit w:val="true"/>
        </w:trPr>
        <w:tc>
          <w:tcPr>
            <w:tcW w:type="dxa" w:w="5067"/>
          </w:tcPr>
          <w:p>
            <w:pPr>
              <w:spacing w:after="20" w:before="20" w:line="240" w:lineRule="auto"/>
              <w:jc w:val="left"/>
            </w:pPr>
            <w:r/>
            <w:r>
              <w:rPr>
                <w:sz w:val="20"/>
              </w:rPr>
              <w:t>Clients, agents, marchands, appareils distincts</w:t>
            </w:r>
          </w:p>
        </w:tc>
        <w:tc>
          <w:tcPr>
            <w:tcW w:type="dxa" w:w="4322"/>
          </w:tcPr>
          <w:p>
            <w:pPr>
              <w:spacing w:after="20" w:before="20" w:line="240" w:lineRule="auto"/>
              <w:jc w:val="left"/>
            </w:pPr>
            <w:r/>
            <w:r>
              <w:rPr>
                <w:sz w:val="20"/>
              </w:rPr>
              <w:t>500, 800, 900, 687</w:t>
            </w:r>
          </w:p>
        </w:tc>
      </w:tr>
      <w:tr>
        <w:trPr>
          <w:cantSplit w:val="true"/>
        </w:trPr>
        <w:tc>
          <w:tcPr>
            <w:tcW w:type="dxa" w:w="5067"/>
          </w:tcPr>
          <w:p>
            <w:pPr>
              <w:spacing w:after="20" w:before="20" w:line="240" w:lineRule="auto"/>
              <w:jc w:val="left"/>
            </w:pPr>
            <w:r/>
            <w:r>
              <w:rPr>
                <w:sz w:val="20"/>
              </w:rPr>
              <w:t>Champs vides</w:t>
            </w:r>
          </w:p>
        </w:tc>
        <w:tc>
          <w:tcPr>
            <w:tcW w:type="dxa" w:w="4322"/>
          </w:tcPr>
          <w:p>
            <w:pPr>
              <w:spacing w:after="20" w:before="20" w:line="240" w:lineRule="auto"/>
              <w:jc w:val="left"/>
            </w:pPr>
            <w:r/>
            <w:r>
              <w:rPr>
                <w:rFonts w:ascii="Courier New" w:hAnsi="Courier New"/>
                <w:b w:val="0"/>
                <w:sz w:val="16"/>
              </w:rPr>
              <w:t>card_id</w:t>
            </w:r>
            <w:r>
              <w:rPr>
                <w:sz w:val="20"/>
              </w:rPr>
              <w:t xml:space="preserve"> 94,7 %, </w:t>
            </w:r>
            <w:r>
              <w:rPr>
                <w:rFonts w:ascii="Courier New" w:hAnsi="Courier New"/>
                <w:b w:val="0"/>
                <w:sz w:val="16"/>
              </w:rPr>
              <w:t>merchant_id</w:t>
            </w:r>
            <w:r>
              <w:rPr>
                <w:sz w:val="20"/>
              </w:rPr>
              <w:t xml:space="preserve"> 84,0 %, </w:t>
            </w:r>
            <w:r>
              <w:rPr>
                <w:rFonts w:ascii="Courier New" w:hAnsi="Courier New"/>
                <w:b w:val="0"/>
                <w:sz w:val="16"/>
              </w:rPr>
              <w:t>agent_id</w:t>
            </w:r>
            <w:r>
              <w:rPr>
                <w:sz w:val="20"/>
              </w:rPr>
              <w:t xml:space="preserve"> 70,1 %, </w:t>
            </w:r>
            <w:r>
              <w:rPr>
                <w:rFonts w:ascii="Courier New" w:hAnsi="Courier New"/>
                <w:b w:val="0"/>
                <w:sz w:val="16"/>
              </w:rPr>
              <w:t>ip_country</w:t>
            </w:r>
            <w:r>
              <w:rPr>
                <w:sz w:val="20"/>
              </w:rPr>
              <w:t xml:space="preserve"> 69,3 %, </w:t>
            </w:r>
            <w:r>
              <w:rPr>
                <w:rFonts w:ascii="Courier New" w:hAnsi="Courier New"/>
                <w:b w:val="0"/>
                <w:sz w:val="16"/>
              </w:rPr>
              <w:t>counterparty_id</w:t>
            </w:r>
            <w:r>
              <w:rPr>
                <w:sz w:val="20"/>
              </w:rPr>
              <w:t xml:space="preserve"> 48,2 %</w:t>
            </w:r>
          </w:p>
        </w:tc>
      </w:tr>
    </w:tbl>
    <w:p>
      <w:pPr>
        <w:spacing w:after="120"/>
      </w:pPr>
    </w:p>
    <w:p>
      <w:pPr>
        <w:spacing w:before="0" w:after="120" w:line="360" w:lineRule="auto"/>
        <w:jc w:val="both"/>
      </w:pPr>
      <w:r>
        <w:rPr>
          <w:sz w:val="24"/>
        </w:rPr>
        <w:t xml:space="preserve">Les champs vides sont tous </w:t>
      </w:r>
      <w:r>
        <w:rPr>
          <w:b/>
          <w:sz w:val="24"/>
        </w:rPr>
        <w:t>structurels</w:t>
      </w:r>
      <w:r>
        <w:rPr>
          <w:sz w:val="24"/>
        </w:rPr>
        <w:t xml:space="preserve"> : le destinataire n'existe que pour les transferts et les crédits téléphoniques, l'agent que pour les dépôts et les retraits, le marchand que pour les paiements, les factures et les achats par carte, le pays de l'adresse IP que pour les accès par application, la carte que pour les opérations par carte. Aucune valeur n'est donc perdue ni imputée.</w:t>
      </w:r>
    </w:p>
    <w:p>
      <w:pPr>
        <w:pStyle w:val="Titre4"/>
        <w:keepNext/>
        <w:numPr>
          <w:numId w:val="0"/>
        </w:numPr>
        <w:spacing w:before="200" w:after="120"/>
        <w:ind w:left="0" w:firstLine="0"/>
        <w:jc w:val="left"/>
      </w:pPr>
      <w:r>
        <w:rPr>
          <w:b/>
          <w:i/>
          <w:color w:val="000000"/>
          <w:sz w:val="25"/>
        </w:rPr>
        <w:t>1.2 Volumes et déséquilibre des classes</w:t>
      </w:r>
    </w:p>
    <w:p>
      <w:pPr>
        <w:spacing w:before="0" w:after="120" w:line="360" w:lineRule="auto"/>
        <w:jc w:val="both"/>
      </w:pPr>
      <w:r>
        <w:rPr>
          <w:sz w:val="24"/>
        </w:rPr>
        <w:t>L'activité croît fortement sur la période, de 35 541 transactions en 2019 à 175 360 en 2025, sous l'effet de l'ouverture progressive des comptes, d'une croissance d'environ 8 % par an de l'activité par client et du lancement de la carte Visa en 2021 (figure III.1). Le montant total traité passe de 1,6 à 8,2 millions de dollars par an.</w:t>
      </w:r>
    </w:p>
    <w:p>
      <w:pPr>
        <w:keepNext/>
        <w:spacing w:before="160" w:after="40"/>
        <w:jc w:val="center"/>
      </w:pPr>
      <w:r>
        <w:drawing>
          <wp:inline xmlns:a="http://schemas.openxmlformats.org/drawingml/2006/main" xmlns:pic="http://schemas.openxmlformats.org/drawingml/2006/picture">
            <wp:extent cx="5580000" cy="2104343"/>
            <wp:docPr id="42" name="Picture 42"/>
            <wp:cNvGraphicFramePr>
              <a:graphicFrameLocks noChangeAspect="1"/>
            </wp:cNvGraphicFramePr>
            <a:graphic>
              <a:graphicData uri="http://schemas.openxmlformats.org/drawingml/2006/picture">
                <pic:pic>
                  <pic:nvPicPr>
                    <pic:cNvPr id="0" name="fig_III_01_volumes_taux.png"/>
                    <pic:cNvPicPr/>
                  </pic:nvPicPr>
                  <pic:blipFill>
                    <a:blip r:embed="rId16"/>
                    <a:stretch>
                      <a:fillRect/>
                    </a:stretch>
                  </pic:blipFill>
                  <pic:spPr>
                    <a:xfrm>
                      <a:off x="0" y="0"/>
                      <a:ext cx="5580000" cy="2104343"/>
                    </a:xfrm>
                    <a:prstGeom prst="rect"/>
                  </pic:spPr>
                </pic:pic>
              </a:graphicData>
            </a:graphic>
          </wp:inline>
        </w:drawing>
      </w:r>
    </w:p>
    <w:p>
      <w:pPr>
        <w:pStyle w:val="Légendefigure"/>
        <w:spacing w:before="40" w:after="240"/>
        <w:jc w:val="center"/>
      </w:pPr>
      <w:r>
        <w:rPr>
          <w:i/>
          <w:sz w:val="20"/>
        </w:rPr>
        <w:t>Figure III.1 — Transactions par mois (à gauche) et taux de fraude par année (à droite).</w:t>
      </w:r>
    </w:p>
    <w:p>
      <w:pPr>
        <w:pStyle w:val="Légendetableau"/>
        <w:keepNext/>
        <w:spacing w:before="200" w:after="80"/>
        <w:jc w:val="center"/>
      </w:pPr>
      <w:r>
        <w:rPr>
          <w:b/>
          <w:sz w:val="20"/>
        </w:rPr>
        <w:t>Tableau III.2 — Volumes et fraudes par année.</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1201"/>
        <w:gridCol w:w="2882"/>
        <w:gridCol w:w="1681"/>
        <w:gridCol w:w="1462"/>
        <w:gridCol w:w="2162"/>
      </w:tblGrid>
      <w:tr>
        <w:trPr>
          <w:tblHeader w:val="true"/>
        </w:trPr>
        <w:tc>
          <w:tcPr>
            <w:tcW w:type="dxa" w:w="1201"/>
            <w:shd w:val="clear" w:color="auto" w:fill="D9E2F3"/>
          </w:tcPr>
          <w:p>
            <w:pPr>
              <w:spacing w:after="20" w:before="20" w:line="240" w:lineRule="auto"/>
              <w:jc w:val="left"/>
            </w:pPr>
            <w:r/>
            <w:r>
              <w:rPr>
                <w:b/>
                <w:sz w:val="18"/>
              </w:rPr>
              <w:t>Année</w:t>
            </w:r>
          </w:p>
        </w:tc>
        <w:tc>
          <w:tcPr>
            <w:tcW w:type="dxa" w:w="2882"/>
            <w:shd w:val="clear" w:color="auto" w:fill="D9E2F3"/>
          </w:tcPr>
          <w:p>
            <w:pPr>
              <w:spacing w:after="20" w:before="20" w:line="240" w:lineRule="auto"/>
              <w:jc w:val="left"/>
            </w:pPr>
            <w:r/>
            <w:r>
              <w:rPr>
                <w:b/>
                <w:sz w:val="18"/>
              </w:rPr>
              <w:t>Transactions</w:t>
            </w:r>
          </w:p>
        </w:tc>
        <w:tc>
          <w:tcPr>
            <w:tcW w:type="dxa" w:w="1681"/>
            <w:shd w:val="clear" w:color="auto" w:fill="D9E2F3"/>
          </w:tcPr>
          <w:p>
            <w:pPr>
              <w:spacing w:after="20" w:before="20" w:line="240" w:lineRule="auto"/>
              <w:jc w:val="left"/>
            </w:pPr>
            <w:r/>
            <w:r>
              <w:rPr>
                <w:b/>
                <w:sz w:val="18"/>
              </w:rPr>
              <w:t>Fraudes</w:t>
            </w:r>
          </w:p>
        </w:tc>
        <w:tc>
          <w:tcPr>
            <w:tcW w:type="dxa" w:w="1462"/>
            <w:shd w:val="clear" w:color="auto" w:fill="D9E2F3"/>
          </w:tcPr>
          <w:p>
            <w:pPr>
              <w:spacing w:after="20" w:before="20" w:line="240" w:lineRule="auto"/>
              <w:jc w:val="left"/>
            </w:pPr>
            <w:r/>
            <w:r>
              <w:rPr>
                <w:b/>
                <w:sz w:val="18"/>
              </w:rPr>
              <w:t>Taux de fraude</w:t>
            </w:r>
          </w:p>
        </w:tc>
        <w:tc>
          <w:tcPr>
            <w:tcW w:type="dxa" w:w="2162"/>
            <w:shd w:val="clear" w:color="auto" w:fill="D9E2F3"/>
          </w:tcPr>
          <w:p>
            <w:pPr>
              <w:spacing w:after="20" w:before="20" w:line="240" w:lineRule="auto"/>
              <w:jc w:val="left"/>
            </w:pPr>
            <w:r/>
            <w:r>
              <w:rPr>
                <w:b/>
                <w:sz w:val="18"/>
              </w:rPr>
              <w:t>Montant (USD)</w:t>
            </w:r>
          </w:p>
        </w:tc>
      </w:tr>
      <w:tr>
        <w:trPr>
          <w:cantSplit w:val="true"/>
        </w:trPr>
        <w:tc>
          <w:tcPr>
            <w:tcW w:type="dxa" w:w="1201"/>
          </w:tcPr>
          <w:p>
            <w:pPr>
              <w:spacing w:after="20" w:before="20" w:line="240" w:lineRule="auto"/>
              <w:jc w:val="left"/>
            </w:pPr>
            <w:r/>
            <w:r>
              <w:rPr>
                <w:sz w:val="18"/>
              </w:rPr>
              <w:t>2019</w:t>
            </w:r>
          </w:p>
        </w:tc>
        <w:tc>
          <w:tcPr>
            <w:tcW w:type="dxa" w:w="2882"/>
          </w:tcPr>
          <w:p>
            <w:pPr>
              <w:spacing w:after="20" w:before="20" w:line="240" w:lineRule="auto"/>
              <w:jc w:val="left"/>
            </w:pPr>
            <w:r/>
            <w:r>
              <w:rPr>
                <w:sz w:val="18"/>
              </w:rPr>
              <w:t>35 541</w:t>
            </w:r>
          </w:p>
        </w:tc>
        <w:tc>
          <w:tcPr>
            <w:tcW w:type="dxa" w:w="1681"/>
          </w:tcPr>
          <w:p>
            <w:pPr>
              <w:spacing w:after="20" w:before="20" w:line="240" w:lineRule="auto"/>
              <w:jc w:val="left"/>
            </w:pPr>
            <w:r/>
            <w:r>
              <w:rPr>
                <w:sz w:val="18"/>
              </w:rPr>
              <w:t>371</w:t>
            </w:r>
          </w:p>
        </w:tc>
        <w:tc>
          <w:tcPr>
            <w:tcW w:type="dxa" w:w="1462"/>
          </w:tcPr>
          <w:p>
            <w:pPr>
              <w:spacing w:after="20" w:before="20" w:line="240" w:lineRule="auto"/>
              <w:jc w:val="left"/>
            </w:pPr>
            <w:r/>
            <w:r>
              <w:rPr>
                <w:sz w:val="18"/>
              </w:rPr>
              <w:t>1,04 %</w:t>
            </w:r>
          </w:p>
        </w:tc>
        <w:tc>
          <w:tcPr>
            <w:tcW w:type="dxa" w:w="2162"/>
          </w:tcPr>
          <w:p>
            <w:pPr>
              <w:spacing w:after="20" w:before="20" w:line="240" w:lineRule="auto"/>
              <w:jc w:val="left"/>
            </w:pPr>
            <w:r/>
            <w:r>
              <w:rPr>
                <w:sz w:val="18"/>
              </w:rPr>
              <w:t>1 588 229</w:t>
            </w:r>
          </w:p>
        </w:tc>
      </w:tr>
      <w:tr>
        <w:trPr>
          <w:cantSplit w:val="true"/>
        </w:trPr>
        <w:tc>
          <w:tcPr>
            <w:tcW w:type="dxa" w:w="1201"/>
          </w:tcPr>
          <w:p>
            <w:pPr>
              <w:spacing w:after="20" w:before="20" w:line="240" w:lineRule="auto"/>
              <w:jc w:val="left"/>
            </w:pPr>
            <w:r/>
            <w:r>
              <w:rPr>
                <w:sz w:val="18"/>
              </w:rPr>
              <w:t>2020</w:t>
            </w:r>
          </w:p>
        </w:tc>
        <w:tc>
          <w:tcPr>
            <w:tcW w:type="dxa" w:w="2882"/>
          </w:tcPr>
          <w:p>
            <w:pPr>
              <w:spacing w:after="20" w:before="20" w:line="240" w:lineRule="auto"/>
              <w:jc w:val="left"/>
            </w:pPr>
            <w:r/>
            <w:r>
              <w:rPr>
                <w:sz w:val="18"/>
              </w:rPr>
              <w:t>41 937</w:t>
            </w:r>
          </w:p>
        </w:tc>
        <w:tc>
          <w:tcPr>
            <w:tcW w:type="dxa" w:w="1681"/>
          </w:tcPr>
          <w:p>
            <w:pPr>
              <w:spacing w:after="20" w:before="20" w:line="240" w:lineRule="auto"/>
              <w:jc w:val="left"/>
            </w:pPr>
            <w:r/>
            <w:r>
              <w:rPr>
                <w:sz w:val="18"/>
              </w:rPr>
              <w:t>442</w:t>
            </w:r>
          </w:p>
        </w:tc>
        <w:tc>
          <w:tcPr>
            <w:tcW w:type="dxa" w:w="1462"/>
          </w:tcPr>
          <w:p>
            <w:pPr>
              <w:spacing w:after="20" w:before="20" w:line="240" w:lineRule="auto"/>
              <w:jc w:val="left"/>
            </w:pPr>
            <w:r/>
            <w:r>
              <w:rPr>
                <w:sz w:val="18"/>
              </w:rPr>
              <w:t>1,05 %</w:t>
            </w:r>
          </w:p>
        </w:tc>
        <w:tc>
          <w:tcPr>
            <w:tcW w:type="dxa" w:w="2162"/>
          </w:tcPr>
          <w:p>
            <w:pPr>
              <w:spacing w:after="20" w:before="20" w:line="240" w:lineRule="auto"/>
              <w:jc w:val="left"/>
            </w:pPr>
            <w:r/>
            <w:r>
              <w:rPr>
                <w:sz w:val="18"/>
              </w:rPr>
              <w:t>1 871 912</w:t>
            </w:r>
          </w:p>
        </w:tc>
      </w:tr>
      <w:tr>
        <w:trPr>
          <w:cantSplit w:val="true"/>
        </w:trPr>
        <w:tc>
          <w:tcPr>
            <w:tcW w:type="dxa" w:w="1201"/>
          </w:tcPr>
          <w:p>
            <w:pPr>
              <w:spacing w:after="20" w:before="20" w:line="240" w:lineRule="auto"/>
              <w:jc w:val="left"/>
            </w:pPr>
            <w:r/>
            <w:r>
              <w:rPr>
                <w:sz w:val="18"/>
              </w:rPr>
              <w:t>2021</w:t>
            </w:r>
          </w:p>
        </w:tc>
        <w:tc>
          <w:tcPr>
            <w:tcW w:type="dxa" w:w="2882"/>
          </w:tcPr>
          <w:p>
            <w:pPr>
              <w:spacing w:after="20" w:before="20" w:line="240" w:lineRule="auto"/>
              <w:jc w:val="left"/>
            </w:pPr>
            <w:r/>
            <w:r>
              <w:rPr>
                <w:sz w:val="18"/>
              </w:rPr>
              <w:t>60 402</w:t>
            </w:r>
          </w:p>
        </w:tc>
        <w:tc>
          <w:tcPr>
            <w:tcW w:type="dxa" w:w="1681"/>
          </w:tcPr>
          <w:p>
            <w:pPr>
              <w:spacing w:after="20" w:before="20" w:line="240" w:lineRule="auto"/>
              <w:jc w:val="left"/>
            </w:pPr>
            <w:r/>
            <w:r>
              <w:rPr>
                <w:sz w:val="18"/>
              </w:rPr>
              <w:t>729</w:t>
            </w:r>
          </w:p>
        </w:tc>
        <w:tc>
          <w:tcPr>
            <w:tcW w:type="dxa" w:w="1462"/>
          </w:tcPr>
          <w:p>
            <w:pPr>
              <w:spacing w:after="20" w:before="20" w:line="240" w:lineRule="auto"/>
              <w:jc w:val="left"/>
            </w:pPr>
            <w:r/>
            <w:r>
              <w:rPr>
                <w:sz w:val="18"/>
              </w:rPr>
              <w:t>1,21 %</w:t>
            </w:r>
          </w:p>
        </w:tc>
        <w:tc>
          <w:tcPr>
            <w:tcW w:type="dxa" w:w="2162"/>
          </w:tcPr>
          <w:p>
            <w:pPr>
              <w:spacing w:after="20" w:before="20" w:line="240" w:lineRule="auto"/>
              <w:jc w:val="left"/>
            </w:pPr>
            <w:r/>
            <w:r>
              <w:rPr>
                <w:sz w:val="18"/>
              </w:rPr>
              <w:t>2 643 633</w:t>
            </w:r>
          </w:p>
        </w:tc>
      </w:tr>
      <w:tr>
        <w:trPr>
          <w:cantSplit w:val="true"/>
        </w:trPr>
        <w:tc>
          <w:tcPr>
            <w:tcW w:type="dxa" w:w="1201"/>
          </w:tcPr>
          <w:p>
            <w:pPr>
              <w:spacing w:after="20" w:before="20" w:line="240" w:lineRule="auto"/>
              <w:jc w:val="left"/>
            </w:pPr>
            <w:r/>
            <w:r>
              <w:rPr>
                <w:sz w:val="18"/>
              </w:rPr>
              <w:t>2022</w:t>
            </w:r>
          </w:p>
        </w:tc>
        <w:tc>
          <w:tcPr>
            <w:tcW w:type="dxa" w:w="2882"/>
          </w:tcPr>
          <w:p>
            <w:pPr>
              <w:spacing w:after="20" w:before="20" w:line="240" w:lineRule="auto"/>
              <w:jc w:val="left"/>
            </w:pPr>
            <w:r/>
            <w:r>
              <w:rPr>
                <w:sz w:val="18"/>
              </w:rPr>
              <w:t>80 066</w:t>
            </w:r>
          </w:p>
        </w:tc>
        <w:tc>
          <w:tcPr>
            <w:tcW w:type="dxa" w:w="1681"/>
          </w:tcPr>
          <w:p>
            <w:pPr>
              <w:spacing w:after="20" w:before="20" w:line="240" w:lineRule="auto"/>
              <w:jc w:val="left"/>
            </w:pPr>
            <w:r/>
            <w:r>
              <w:rPr>
                <w:sz w:val="18"/>
              </w:rPr>
              <w:t>1 164</w:t>
            </w:r>
          </w:p>
        </w:tc>
        <w:tc>
          <w:tcPr>
            <w:tcW w:type="dxa" w:w="1462"/>
          </w:tcPr>
          <w:p>
            <w:pPr>
              <w:spacing w:after="20" w:before="20" w:line="240" w:lineRule="auto"/>
              <w:jc w:val="left"/>
            </w:pPr>
            <w:r/>
            <w:r>
              <w:rPr>
                <w:sz w:val="18"/>
              </w:rPr>
              <w:t>1,45 %</w:t>
            </w:r>
          </w:p>
        </w:tc>
        <w:tc>
          <w:tcPr>
            <w:tcW w:type="dxa" w:w="2162"/>
          </w:tcPr>
          <w:p>
            <w:pPr>
              <w:spacing w:after="20" w:before="20" w:line="240" w:lineRule="auto"/>
              <w:jc w:val="left"/>
            </w:pPr>
            <w:r/>
            <w:r>
              <w:rPr>
                <w:sz w:val="18"/>
              </w:rPr>
              <w:t>3 766 148</w:t>
            </w:r>
          </w:p>
        </w:tc>
      </w:tr>
      <w:tr>
        <w:trPr>
          <w:cantSplit w:val="true"/>
        </w:trPr>
        <w:tc>
          <w:tcPr>
            <w:tcW w:type="dxa" w:w="1201"/>
          </w:tcPr>
          <w:p>
            <w:pPr>
              <w:spacing w:after="20" w:before="20" w:line="240" w:lineRule="auto"/>
              <w:jc w:val="left"/>
            </w:pPr>
            <w:r/>
            <w:r>
              <w:rPr>
                <w:sz w:val="18"/>
              </w:rPr>
              <w:t>2023</w:t>
            </w:r>
          </w:p>
        </w:tc>
        <w:tc>
          <w:tcPr>
            <w:tcW w:type="dxa" w:w="2882"/>
          </w:tcPr>
          <w:p>
            <w:pPr>
              <w:spacing w:after="20" w:before="20" w:line="240" w:lineRule="auto"/>
              <w:jc w:val="left"/>
            </w:pPr>
            <w:r/>
            <w:r>
              <w:rPr>
                <w:sz w:val="18"/>
              </w:rPr>
              <w:t>104 108</w:t>
            </w:r>
          </w:p>
        </w:tc>
        <w:tc>
          <w:tcPr>
            <w:tcW w:type="dxa" w:w="1681"/>
          </w:tcPr>
          <w:p>
            <w:pPr>
              <w:spacing w:after="20" w:before="20" w:line="240" w:lineRule="auto"/>
              <w:jc w:val="left"/>
            </w:pPr>
            <w:r/>
            <w:r>
              <w:rPr>
                <w:sz w:val="18"/>
              </w:rPr>
              <w:t>1 449</w:t>
            </w:r>
          </w:p>
        </w:tc>
        <w:tc>
          <w:tcPr>
            <w:tcW w:type="dxa" w:w="1462"/>
          </w:tcPr>
          <w:p>
            <w:pPr>
              <w:spacing w:after="20" w:before="20" w:line="240" w:lineRule="auto"/>
              <w:jc w:val="left"/>
            </w:pPr>
            <w:r/>
            <w:r>
              <w:rPr>
                <w:sz w:val="18"/>
              </w:rPr>
              <w:t>1,39 %</w:t>
            </w:r>
          </w:p>
        </w:tc>
        <w:tc>
          <w:tcPr>
            <w:tcW w:type="dxa" w:w="2162"/>
          </w:tcPr>
          <w:p>
            <w:pPr>
              <w:spacing w:after="20" w:before="20" w:line="240" w:lineRule="auto"/>
              <w:jc w:val="left"/>
            </w:pPr>
            <w:r/>
            <w:r>
              <w:rPr>
                <w:sz w:val="18"/>
              </w:rPr>
              <w:t>4 910 983</w:t>
            </w:r>
          </w:p>
        </w:tc>
      </w:tr>
      <w:tr>
        <w:trPr>
          <w:cantSplit w:val="true"/>
        </w:trPr>
        <w:tc>
          <w:tcPr>
            <w:tcW w:type="dxa" w:w="1201"/>
          </w:tcPr>
          <w:p>
            <w:pPr>
              <w:spacing w:after="20" w:before="20" w:line="240" w:lineRule="auto"/>
              <w:jc w:val="left"/>
            </w:pPr>
            <w:r/>
            <w:r>
              <w:rPr>
                <w:sz w:val="18"/>
              </w:rPr>
              <w:t>2024</w:t>
            </w:r>
          </w:p>
        </w:tc>
        <w:tc>
          <w:tcPr>
            <w:tcW w:type="dxa" w:w="2882"/>
          </w:tcPr>
          <w:p>
            <w:pPr>
              <w:spacing w:after="20" w:before="20" w:line="240" w:lineRule="auto"/>
              <w:jc w:val="left"/>
            </w:pPr>
            <w:r/>
            <w:r>
              <w:rPr>
                <w:sz w:val="18"/>
              </w:rPr>
              <w:t>134 554</w:t>
            </w:r>
          </w:p>
        </w:tc>
        <w:tc>
          <w:tcPr>
            <w:tcW w:type="dxa" w:w="1681"/>
          </w:tcPr>
          <w:p>
            <w:pPr>
              <w:spacing w:after="20" w:before="20" w:line="240" w:lineRule="auto"/>
              <w:jc w:val="left"/>
            </w:pPr>
            <w:r/>
            <w:r>
              <w:rPr>
                <w:sz w:val="18"/>
              </w:rPr>
              <w:t>1 916</w:t>
            </w:r>
          </w:p>
        </w:tc>
        <w:tc>
          <w:tcPr>
            <w:tcW w:type="dxa" w:w="1462"/>
          </w:tcPr>
          <w:p>
            <w:pPr>
              <w:spacing w:after="20" w:before="20" w:line="240" w:lineRule="auto"/>
              <w:jc w:val="left"/>
            </w:pPr>
            <w:r/>
            <w:r>
              <w:rPr>
                <w:sz w:val="18"/>
              </w:rPr>
              <w:t>1,42 %</w:t>
            </w:r>
          </w:p>
        </w:tc>
        <w:tc>
          <w:tcPr>
            <w:tcW w:type="dxa" w:w="2162"/>
          </w:tcPr>
          <w:p>
            <w:pPr>
              <w:spacing w:after="20" w:before="20" w:line="240" w:lineRule="auto"/>
              <w:jc w:val="left"/>
            </w:pPr>
            <w:r/>
            <w:r>
              <w:rPr>
                <w:sz w:val="18"/>
              </w:rPr>
              <w:t>6 514 604</w:t>
            </w:r>
          </w:p>
        </w:tc>
      </w:tr>
      <w:tr>
        <w:trPr>
          <w:cantSplit w:val="true"/>
        </w:trPr>
        <w:tc>
          <w:tcPr>
            <w:tcW w:type="dxa" w:w="1201"/>
          </w:tcPr>
          <w:p>
            <w:pPr>
              <w:spacing w:after="20" w:before="20" w:line="240" w:lineRule="auto"/>
              <w:jc w:val="left"/>
            </w:pPr>
            <w:r/>
            <w:r>
              <w:rPr>
                <w:sz w:val="18"/>
              </w:rPr>
              <w:t>2025</w:t>
            </w:r>
          </w:p>
        </w:tc>
        <w:tc>
          <w:tcPr>
            <w:tcW w:type="dxa" w:w="2882"/>
          </w:tcPr>
          <w:p>
            <w:pPr>
              <w:spacing w:after="20" w:before="20" w:line="240" w:lineRule="auto"/>
              <w:jc w:val="left"/>
            </w:pPr>
            <w:r/>
            <w:r>
              <w:rPr>
                <w:sz w:val="18"/>
              </w:rPr>
              <w:t>175 360</w:t>
            </w:r>
          </w:p>
        </w:tc>
        <w:tc>
          <w:tcPr>
            <w:tcW w:type="dxa" w:w="1681"/>
          </w:tcPr>
          <w:p>
            <w:pPr>
              <w:spacing w:after="20" w:before="20" w:line="240" w:lineRule="auto"/>
              <w:jc w:val="left"/>
            </w:pPr>
            <w:r/>
            <w:r>
              <w:rPr>
                <w:sz w:val="18"/>
              </w:rPr>
              <w:t>2 355</w:t>
            </w:r>
          </w:p>
        </w:tc>
        <w:tc>
          <w:tcPr>
            <w:tcW w:type="dxa" w:w="1462"/>
          </w:tcPr>
          <w:p>
            <w:pPr>
              <w:spacing w:after="20" w:before="20" w:line="240" w:lineRule="auto"/>
              <w:jc w:val="left"/>
            </w:pPr>
            <w:r/>
            <w:r>
              <w:rPr>
                <w:sz w:val="18"/>
              </w:rPr>
              <w:t>1,34 %</w:t>
            </w:r>
          </w:p>
        </w:tc>
        <w:tc>
          <w:tcPr>
            <w:tcW w:type="dxa" w:w="2162"/>
          </w:tcPr>
          <w:p>
            <w:pPr>
              <w:spacing w:after="20" w:before="20" w:line="240" w:lineRule="auto"/>
              <w:jc w:val="left"/>
            </w:pPr>
            <w:r/>
            <w:r>
              <w:rPr>
                <w:sz w:val="18"/>
              </w:rPr>
              <w:t>8 218 631</w:t>
            </w:r>
          </w:p>
        </w:tc>
      </w:tr>
    </w:tbl>
    <w:p>
      <w:pPr>
        <w:spacing w:after="120"/>
      </w:pPr>
    </w:p>
    <w:p>
      <w:pPr>
        <w:spacing w:before="0" w:after="120" w:line="360" w:lineRule="auto"/>
        <w:jc w:val="both"/>
      </w:pPr>
      <w:r>
        <w:rPr>
          <w:sz w:val="24"/>
        </w:rPr>
        <w:t xml:space="preserve">Le jeu est </w:t>
      </w:r>
      <w:r>
        <w:rPr>
          <w:b/>
          <w:sz w:val="24"/>
        </w:rPr>
        <w:t>fortement déséquilibré</w:t>
      </w:r>
      <w:r>
        <w:rPr>
          <w:sz w:val="24"/>
        </w:rPr>
        <w:t xml:space="preserve"> : 8 426 fraudes pour 623 542 opérations légitimes, soit 1,33 % de fraudes, ou 74 légitimes pour une fraude. Un modèle qui déclarerait tout légitime atteindrait 98,67 % d'exactitude sans rien détecter, ce qui justifie le choix de la PR-AUC comme métrique principale. Le taux de fraude monte de 1,04 % à 1,45 % entre 2019 et 2022, puis se stabilise autour de 1,4 %. Le nombre de fraudes, lui, est multiplié par plus de six, de 371 à 2 355.</w:t>
      </w:r>
    </w:p>
    <w:p>
      <w:pPr>
        <w:pStyle w:val="Titre4"/>
        <w:keepNext/>
        <w:numPr>
          <w:numId w:val="0"/>
        </w:numPr>
        <w:spacing w:before="200" w:after="120"/>
        <w:ind w:left="0" w:firstLine="0"/>
        <w:jc w:val="left"/>
      </w:pPr>
      <w:r>
        <w:rPr>
          <w:b/>
          <w:i/>
          <w:color w:val="000000"/>
          <w:sz w:val="25"/>
        </w:rPr>
        <w:t>1.3 Répartition des fraudes</w:t>
      </w:r>
    </w:p>
    <w:p>
      <w:pPr>
        <w:spacing w:before="0" w:after="120" w:line="360" w:lineRule="auto"/>
        <w:jc w:val="both"/>
      </w:pPr>
      <w:r>
        <w:rPr>
          <w:b/>
          <w:sz w:val="24"/>
        </w:rPr>
        <w:t>Par typologie et par année.</w:t>
      </w:r>
      <w:r>
        <w:rPr>
          <w:sz w:val="24"/>
        </w:rPr>
        <w:t xml:space="preserve"> L'échange de SIM (2 220 opérations) et l'ingénierie sociale (1 850) dominent, suivis du fractionnement (1 334) et de la prise de contrôle (1 112). Les trois typologies de la carte Visa n'existent qu'à partir de 2021. La part de l'ingénierie sociale et de la prise de contrôle augmente nettement : l'ingénierie sociale passe de 65 opérations en 2019 à 610 en 2025, la prise de contrôle de 32 à 398, alors que la fraude d'agent reste quasi stable (92 puis 168). Cette évolution, voulue dans le générateur (</w:t>
      </w:r>
      <w:r>
        <w:rPr>
          <w:rFonts w:ascii="Courier New" w:hAnsi="Courier New"/>
          <w:b w:val="0"/>
          <w:sz w:val="20"/>
        </w:rPr>
        <w:t>FRAUD_TRENDS</w:t>
      </w:r>
      <w:r>
        <w:rPr>
          <w:sz w:val="24"/>
        </w:rPr>
        <w:t>), crée la dérive de concept dont l'effet est testé par l'hypothèse H5 (figure III.2).</w:t>
      </w:r>
    </w:p>
    <w:p>
      <w:pPr>
        <w:keepNext/>
        <w:spacing w:before="160" w:after="40"/>
        <w:jc w:val="center"/>
      </w:pPr>
      <w:r>
        <w:drawing>
          <wp:inline xmlns:a="http://schemas.openxmlformats.org/drawingml/2006/main" xmlns:pic="http://schemas.openxmlformats.org/drawingml/2006/picture">
            <wp:extent cx="5580000" cy="2716256"/>
            <wp:docPr id="43" name="Picture 43"/>
            <wp:cNvGraphicFramePr>
              <a:graphicFrameLocks noChangeAspect="1"/>
            </wp:cNvGraphicFramePr>
            <a:graphic>
              <a:graphicData uri="http://schemas.openxmlformats.org/drawingml/2006/picture">
                <pic:pic>
                  <pic:nvPicPr>
                    <pic:cNvPr id="0" name="fig_III_02_typologies_annee.png"/>
                    <pic:cNvPicPr/>
                  </pic:nvPicPr>
                  <pic:blipFill>
                    <a:blip r:embed="rId17"/>
                    <a:stretch>
                      <a:fillRect/>
                    </a:stretch>
                  </pic:blipFill>
                  <pic:spPr>
                    <a:xfrm>
                      <a:off x="0" y="0"/>
                      <a:ext cx="5580000" cy="2716256"/>
                    </a:xfrm>
                    <a:prstGeom prst="rect"/>
                  </pic:spPr>
                </pic:pic>
              </a:graphicData>
            </a:graphic>
          </wp:inline>
        </w:drawing>
      </w:r>
    </w:p>
    <w:p>
      <w:pPr>
        <w:pStyle w:val="Légendefigure"/>
        <w:spacing w:before="40" w:after="240"/>
        <w:jc w:val="center"/>
      </w:pPr>
      <w:r>
        <w:rPr>
          <w:i/>
          <w:sz w:val="20"/>
        </w:rPr>
        <w:t>Figure III.2 — Fraudes par typologie et par année.</w:t>
      </w:r>
    </w:p>
    <w:p>
      <w:pPr>
        <w:spacing w:before="0" w:after="120" w:line="360" w:lineRule="auto"/>
        <w:jc w:val="both"/>
      </w:pPr>
      <w:r>
        <w:rPr>
          <w:b/>
          <w:sz w:val="24"/>
        </w:rPr>
        <w:t>Par épisode.</w:t>
      </w:r>
      <w:r>
        <w:rPr>
          <w:sz w:val="24"/>
        </w:rPr>
        <w:t xml:space="preserve"> Les 8 426 opérations frauduleuses se regroupent en 3 028 épisodes, de 2,8 opérations en moyenne (15 au maximum). Les épisodes diffèrent beaucoup selon la typologie (tableau III.3) : le fractionnement et le test de carte sont des salves (10,3 et 8,6 opérations par épisode), alors que la fraude d'agent et l'ingénierie sociale se jouent en une ou deux opérations, ce qui laisse très peu de temps pour réagir.</w:t>
      </w:r>
    </w:p>
    <w:p>
      <w:pPr>
        <w:pStyle w:val="Légendetableau"/>
        <w:keepNext/>
        <w:spacing w:before="200" w:after="80"/>
        <w:jc w:val="center"/>
      </w:pPr>
      <w:r>
        <w:rPr>
          <w:b/>
          <w:sz w:val="20"/>
        </w:rPr>
        <w:t>Tableau III.3 — Épisodes de fraude par typologie.</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3370"/>
        <w:gridCol w:w="1926"/>
        <w:gridCol w:w="2407"/>
        <w:gridCol w:w="1685"/>
      </w:tblGrid>
      <w:tr>
        <w:trPr>
          <w:tblHeader w:val="true"/>
        </w:trPr>
        <w:tc>
          <w:tcPr>
            <w:tcW w:type="dxa" w:w="3370"/>
            <w:shd w:val="clear" w:color="auto" w:fill="D9E2F3"/>
          </w:tcPr>
          <w:p>
            <w:pPr>
              <w:spacing w:after="20" w:before="20" w:line="240" w:lineRule="auto"/>
              <w:jc w:val="left"/>
            </w:pPr>
            <w:r/>
            <w:r>
              <w:rPr>
                <w:b/>
                <w:sz w:val="18"/>
              </w:rPr>
              <w:t>Typologie</w:t>
            </w:r>
          </w:p>
        </w:tc>
        <w:tc>
          <w:tcPr>
            <w:tcW w:type="dxa" w:w="1926"/>
            <w:shd w:val="clear" w:color="auto" w:fill="D9E2F3"/>
          </w:tcPr>
          <w:p>
            <w:pPr>
              <w:spacing w:after="20" w:before="20" w:line="240" w:lineRule="auto"/>
              <w:jc w:val="left"/>
            </w:pPr>
            <w:r/>
            <w:r>
              <w:rPr>
                <w:b/>
                <w:sz w:val="18"/>
              </w:rPr>
              <w:t>Épisodes</w:t>
            </w:r>
          </w:p>
        </w:tc>
        <w:tc>
          <w:tcPr>
            <w:tcW w:type="dxa" w:w="2407"/>
            <w:shd w:val="clear" w:color="auto" w:fill="D9E2F3"/>
          </w:tcPr>
          <w:p>
            <w:pPr>
              <w:spacing w:after="20" w:before="20" w:line="240" w:lineRule="auto"/>
              <w:jc w:val="left"/>
            </w:pPr>
            <w:r/>
            <w:r>
              <w:rPr>
                <w:b/>
                <w:sz w:val="18"/>
              </w:rPr>
              <w:t>Opérations par épisode</w:t>
            </w:r>
          </w:p>
        </w:tc>
        <w:tc>
          <w:tcPr>
            <w:tcW w:type="dxa" w:w="1685"/>
            <w:shd w:val="clear" w:color="auto" w:fill="D9E2F3"/>
          </w:tcPr>
          <w:p>
            <w:pPr>
              <w:spacing w:after="20" w:before="20" w:line="240" w:lineRule="auto"/>
              <w:jc w:val="left"/>
            </w:pPr>
            <w:r/>
            <w:r>
              <w:rPr>
                <w:b/>
                <w:sz w:val="18"/>
              </w:rPr>
              <w:t>Montant médian par épisode (USD)</w:t>
            </w:r>
          </w:p>
        </w:tc>
      </w:tr>
      <w:tr>
        <w:trPr>
          <w:cantSplit w:val="true"/>
        </w:trPr>
        <w:tc>
          <w:tcPr>
            <w:tcW w:type="dxa" w:w="3370"/>
          </w:tcPr>
          <w:p>
            <w:pPr>
              <w:spacing w:after="20" w:before="20" w:line="240" w:lineRule="auto"/>
              <w:jc w:val="left"/>
            </w:pPr>
            <w:r/>
            <w:r>
              <w:rPr>
                <w:sz w:val="18"/>
              </w:rPr>
              <w:t>Échange de SIM</w:t>
            </w:r>
          </w:p>
        </w:tc>
        <w:tc>
          <w:tcPr>
            <w:tcW w:type="dxa" w:w="1926"/>
          </w:tcPr>
          <w:p>
            <w:pPr>
              <w:spacing w:after="20" w:before="20" w:line="240" w:lineRule="auto"/>
              <w:jc w:val="left"/>
            </w:pPr>
            <w:r/>
            <w:r>
              <w:rPr>
                <w:sz w:val="18"/>
              </w:rPr>
              <w:t>627</w:t>
            </w:r>
          </w:p>
        </w:tc>
        <w:tc>
          <w:tcPr>
            <w:tcW w:type="dxa" w:w="2407"/>
          </w:tcPr>
          <w:p>
            <w:pPr>
              <w:spacing w:after="20" w:before="20" w:line="240" w:lineRule="auto"/>
              <w:jc w:val="left"/>
            </w:pPr>
            <w:r/>
            <w:r>
              <w:rPr>
                <w:sz w:val="18"/>
              </w:rPr>
              <w:t>3,5</w:t>
            </w:r>
          </w:p>
        </w:tc>
        <w:tc>
          <w:tcPr>
            <w:tcW w:type="dxa" w:w="1685"/>
          </w:tcPr>
          <w:p>
            <w:pPr>
              <w:spacing w:after="20" w:before="20" w:line="240" w:lineRule="auto"/>
              <w:jc w:val="left"/>
            </w:pPr>
            <w:r/>
            <w:r>
              <w:rPr>
                <w:sz w:val="18"/>
              </w:rPr>
              <w:t>268,5</w:t>
            </w:r>
          </w:p>
        </w:tc>
      </w:tr>
      <w:tr>
        <w:trPr>
          <w:cantSplit w:val="true"/>
        </w:trPr>
        <w:tc>
          <w:tcPr>
            <w:tcW w:type="dxa" w:w="3370"/>
          </w:tcPr>
          <w:p>
            <w:pPr>
              <w:spacing w:after="20" w:before="20" w:line="240" w:lineRule="auto"/>
              <w:jc w:val="left"/>
            </w:pPr>
            <w:r/>
            <w:r>
              <w:rPr>
                <w:sz w:val="18"/>
              </w:rPr>
              <w:t>Ingénierie sociale</w:t>
            </w:r>
          </w:p>
        </w:tc>
        <w:tc>
          <w:tcPr>
            <w:tcW w:type="dxa" w:w="1926"/>
          </w:tcPr>
          <w:p>
            <w:pPr>
              <w:spacing w:after="20" w:before="20" w:line="240" w:lineRule="auto"/>
              <w:jc w:val="left"/>
            </w:pPr>
            <w:r/>
            <w:r>
              <w:rPr>
                <w:sz w:val="18"/>
              </w:rPr>
              <w:t>977</w:t>
            </w:r>
          </w:p>
        </w:tc>
        <w:tc>
          <w:tcPr>
            <w:tcW w:type="dxa" w:w="2407"/>
          </w:tcPr>
          <w:p>
            <w:pPr>
              <w:spacing w:after="20" w:before="20" w:line="240" w:lineRule="auto"/>
              <w:jc w:val="left"/>
            </w:pPr>
            <w:r/>
            <w:r>
              <w:rPr>
                <w:sz w:val="18"/>
              </w:rPr>
              <w:t>1,9</w:t>
            </w:r>
          </w:p>
        </w:tc>
        <w:tc>
          <w:tcPr>
            <w:tcW w:type="dxa" w:w="1685"/>
          </w:tcPr>
          <w:p>
            <w:pPr>
              <w:spacing w:after="20" w:before="20" w:line="240" w:lineRule="auto"/>
              <w:jc w:val="left"/>
            </w:pPr>
            <w:r/>
            <w:r>
              <w:rPr>
                <w:sz w:val="18"/>
              </w:rPr>
              <w:t>88,0</w:t>
            </w:r>
          </w:p>
        </w:tc>
      </w:tr>
      <w:tr>
        <w:trPr>
          <w:cantSplit w:val="true"/>
        </w:trPr>
        <w:tc>
          <w:tcPr>
            <w:tcW w:type="dxa" w:w="3370"/>
          </w:tcPr>
          <w:p>
            <w:pPr>
              <w:spacing w:after="20" w:before="20" w:line="240" w:lineRule="auto"/>
              <w:jc w:val="left"/>
            </w:pPr>
            <w:r/>
            <w:r>
              <w:rPr>
                <w:sz w:val="18"/>
              </w:rPr>
              <w:t>Prise de contrôle</w:t>
            </w:r>
          </w:p>
        </w:tc>
        <w:tc>
          <w:tcPr>
            <w:tcW w:type="dxa" w:w="1926"/>
          </w:tcPr>
          <w:p>
            <w:pPr>
              <w:spacing w:after="20" w:before="20" w:line="240" w:lineRule="auto"/>
              <w:jc w:val="left"/>
            </w:pPr>
            <w:r/>
            <w:r>
              <w:rPr>
                <w:sz w:val="18"/>
              </w:rPr>
              <w:t>371</w:t>
            </w:r>
          </w:p>
        </w:tc>
        <w:tc>
          <w:tcPr>
            <w:tcW w:type="dxa" w:w="2407"/>
          </w:tcPr>
          <w:p>
            <w:pPr>
              <w:spacing w:after="20" w:before="20" w:line="240" w:lineRule="auto"/>
              <w:jc w:val="left"/>
            </w:pPr>
            <w:r/>
            <w:r>
              <w:rPr>
                <w:sz w:val="18"/>
              </w:rPr>
              <w:t>3,0</w:t>
            </w:r>
          </w:p>
        </w:tc>
        <w:tc>
          <w:tcPr>
            <w:tcW w:type="dxa" w:w="1685"/>
          </w:tcPr>
          <w:p>
            <w:pPr>
              <w:spacing w:after="20" w:before="20" w:line="240" w:lineRule="auto"/>
              <w:jc w:val="left"/>
            </w:pPr>
            <w:r/>
            <w:r>
              <w:rPr>
                <w:sz w:val="18"/>
              </w:rPr>
              <w:t>186,8</w:t>
            </w:r>
          </w:p>
        </w:tc>
      </w:tr>
      <w:tr>
        <w:trPr>
          <w:cantSplit w:val="true"/>
        </w:trPr>
        <w:tc>
          <w:tcPr>
            <w:tcW w:type="dxa" w:w="3370"/>
          </w:tcPr>
          <w:p>
            <w:pPr>
              <w:spacing w:after="20" w:before="20" w:line="240" w:lineRule="auto"/>
              <w:jc w:val="left"/>
            </w:pPr>
            <w:r/>
            <w:r>
              <w:rPr>
                <w:sz w:val="18"/>
              </w:rPr>
              <w:t>Fraude d'agent</w:t>
            </w:r>
          </w:p>
        </w:tc>
        <w:tc>
          <w:tcPr>
            <w:tcW w:type="dxa" w:w="1926"/>
          </w:tcPr>
          <w:p>
            <w:pPr>
              <w:spacing w:after="20" w:before="20" w:line="240" w:lineRule="auto"/>
              <w:jc w:val="left"/>
            </w:pPr>
            <w:r/>
            <w:r>
              <w:rPr>
                <w:sz w:val="18"/>
              </w:rPr>
              <w:t>604</w:t>
            </w:r>
          </w:p>
        </w:tc>
        <w:tc>
          <w:tcPr>
            <w:tcW w:type="dxa" w:w="2407"/>
          </w:tcPr>
          <w:p>
            <w:pPr>
              <w:spacing w:after="20" w:before="20" w:line="240" w:lineRule="auto"/>
              <w:jc w:val="left"/>
            </w:pPr>
            <w:r/>
            <w:r>
              <w:rPr>
                <w:sz w:val="18"/>
              </w:rPr>
              <w:t>1,5</w:t>
            </w:r>
          </w:p>
        </w:tc>
        <w:tc>
          <w:tcPr>
            <w:tcW w:type="dxa" w:w="1685"/>
          </w:tcPr>
          <w:p>
            <w:pPr>
              <w:spacing w:after="20" w:before="20" w:line="240" w:lineRule="auto"/>
              <w:jc w:val="left"/>
            </w:pPr>
            <w:r/>
            <w:r>
              <w:rPr>
                <w:sz w:val="18"/>
              </w:rPr>
              <w:t>150,0</w:t>
            </w:r>
          </w:p>
        </w:tc>
      </w:tr>
      <w:tr>
        <w:trPr>
          <w:cantSplit w:val="true"/>
        </w:trPr>
        <w:tc>
          <w:tcPr>
            <w:tcW w:type="dxa" w:w="3370"/>
          </w:tcPr>
          <w:p>
            <w:pPr>
              <w:spacing w:after="20" w:before="20" w:line="240" w:lineRule="auto"/>
              <w:jc w:val="left"/>
            </w:pPr>
            <w:r/>
            <w:r>
              <w:rPr>
                <w:sz w:val="18"/>
              </w:rPr>
              <w:t>Fractionnement</w:t>
            </w:r>
          </w:p>
        </w:tc>
        <w:tc>
          <w:tcPr>
            <w:tcW w:type="dxa" w:w="1926"/>
          </w:tcPr>
          <w:p>
            <w:pPr>
              <w:spacing w:after="20" w:before="20" w:line="240" w:lineRule="auto"/>
              <w:jc w:val="left"/>
            </w:pPr>
            <w:r/>
            <w:r>
              <w:rPr>
                <w:sz w:val="18"/>
              </w:rPr>
              <w:t>129</w:t>
            </w:r>
          </w:p>
        </w:tc>
        <w:tc>
          <w:tcPr>
            <w:tcW w:type="dxa" w:w="2407"/>
          </w:tcPr>
          <w:p>
            <w:pPr>
              <w:spacing w:after="20" w:before="20" w:line="240" w:lineRule="auto"/>
              <w:jc w:val="left"/>
            </w:pPr>
            <w:r/>
            <w:r>
              <w:rPr>
                <w:sz w:val="18"/>
              </w:rPr>
              <w:t>10,3</w:t>
            </w:r>
          </w:p>
        </w:tc>
        <w:tc>
          <w:tcPr>
            <w:tcW w:type="dxa" w:w="1685"/>
          </w:tcPr>
          <w:p>
            <w:pPr>
              <w:spacing w:after="20" w:before="20" w:line="240" w:lineRule="auto"/>
              <w:jc w:val="left"/>
            </w:pPr>
            <w:r/>
            <w:r>
              <w:rPr>
                <w:sz w:val="18"/>
              </w:rPr>
              <w:t>1 553,0</w:t>
            </w:r>
          </w:p>
        </w:tc>
      </w:tr>
      <w:tr>
        <w:trPr>
          <w:cantSplit w:val="true"/>
        </w:trPr>
        <w:tc>
          <w:tcPr>
            <w:tcW w:type="dxa" w:w="3370"/>
          </w:tcPr>
          <w:p>
            <w:pPr>
              <w:spacing w:after="20" w:before="20" w:line="240" w:lineRule="auto"/>
              <w:jc w:val="left"/>
            </w:pPr>
            <w:r/>
            <w:r>
              <w:rPr>
                <w:sz w:val="18"/>
              </w:rPr>
              <w:t>Test de carte</w:t>
            </w:r>
          </w:p>
        </w:tc>
        <w:tc>
          <w:tcPr>
            <w:tcW w:type="dxa" w:w="1926"/>
          </w:tcPr>
          <w:p>
            <w:pPr>
              <w:spacing w:after="20" w:before="20" w:line="240" w:lineRule="auto"/>
              <w:jc w:val="left"/>
            </w:pPr>
            <w:r/>
            <w:r>
              <w:rPr>
                <w:sz w:val="18"/>
              </w:rPr>
              <w:t>42</w:t>
            </w:r>
          </w:p>
        </w:tc>
        <w:tc>
          <w:tcPr>
            <w:tcW w:type="dxa" w:w="2407"/>
          </w:tcPr>
          <w:p>
            <w:pPr>
              <w:spacing w:after="20" w:before="20" w:line="240" w:lineRule="auto"/>
              <w:jc w:val="left"/>
            </w:pPr>
            <w:r/>
            <w:r>
              <w:rPr>
                <w:sz w:val="18"/>
              </w:rPr>
              <w:t>8,6</w:t>
            </w:r>
          </w:p>
        </w:tc>
        <w:tc>
          <w:tcPr>
            <w:tcW w:type="dxa" w:w="1685"/>
          </w:tcPr>
          <w:p>
            <w:pPr>
              <w:spacing w:after="20" w:before="20" w:line="240" w:lineRule="auto"/>
              <w:jc w:val="left"/>
            </w:pPr>
            <w:r/>
            <w:r>
              <w:rPr>
                <w:sz w:val="18"/>
              </w:rPr>
              <w:t>27,4</w:t>
            </w:r>
          </w:p>
        </w:tc>
      </w:tr>
      <w:tr>
        <w:trPr>
          <w:cantSplit w:val="true"/>
        </w:trPr>
        <w:tc>
          <w:tcPr>
            <w:tcW w:type="dxa" w:w="3370"/>
          </w:tcPr>
          <w:p>
            <w:pPr>
              <w:spacing w:after="20" w:before="20" w:line="240" w:lineRule="auto"/>
              <w:jc w:val="left"/>
            </w:pPr>
            <w:r/>
            <w:r>
              <w:rPr>
                <w:sz w:val="18"/>
              </w:rPr>
              <w:t>Carte non présente</w:t>
            </w:r>
          </w:p>
        </w:tc>
        <w:tc>
          <w:tcPr>
            <w:tcW w:type="dxa" w:w="1926"/>
          </w:tcPr>
          <w:p>
            <w:pPr>
              <w:spacing w:after="20" w:before="20" w:line="240" w:lineRule="auto"/>
              <w:jc w:val="left"/>
            </w:pPr>
            <w:r/>
            <w:r>
              <w:rPr>
                <w:sz w:val="18"/>
              </w:rPr>
              <w:t>195</w:t>
            </w:r>
          </w:p>
        </w:tc>
        <w:tc>
          <w:tcPr>
            <w:tcW w:type="dxa" w:w="2407"/>
          </w:tcPr>
          <w:p>
            <w:pPr>
              <w:spacing w:after="20" w:before="20" w:line="240" w:lineRule="auto"/>
              <w:jc w:val="left"/>
            </w:pPr>
            <w:r/>
            <w:r>
              <w:rPr>
                <w:sz w:val="18"/>
              </w:rPr>
              <w:t>2,1</w:t>
            </w:r>
          </w:p>
        </w:tc>
        <w:tc>
          <w:tcPr>
            <w:tcW w:type="dxa" w:w="1685"/>
          </w:tcPr>
          <w:p>
            <w:pPr>
              <w:spacing w:after="20" w:before="20" w:line="240" w:lineRule="auto"/>
              <w:jc w:val="left"/>
            </w:pPr>
            <w:r/>
            <w:r>
              <w:rPr>
                <w:sz w:val="18"/>
              </w:rPr>
              <w:t>60,3</w:t>
            </w:r>
          </w:p>
        </w:tc>
      </w:tr>
      <w:tr>
        <w:trPr>
          <w:cantSplit w:val="true"/>
        </w:trPr>
        <w:tc>
          <w:tcPr>
            <w:tcW w:type="dxa" w:w="3370"/>
          </w:tcPr>
          <w:p>
            <w:pPr>
              <w:spacing w:after="20" w:before="20" w:line="240" w:lineRule="auto"/>
              <w:jc w:val="left"/>
            </w:pPr>
            <w:r/>
            <w:r>
              <w:rPr>
                <w:sz w:val="18"/>
              </w:rPr>
              <w:t>Vidage par rechargement</w:t>
            </w:r>
          </w:p>
        </w:tc>
        <w:tc>
          <w:tcPr>
            <w:tcW w:type="dxa" w:w="1926"/>
          </w:tcPr>
          <w:p>
            <w:pPr>
              <w:spacing w:after="20" w:before="20" w:line="240" w:lineRule="auto"/>
              <w:jc w:val="left"/>
            </w:pPr>
            <w:r/>
            <w:r>
              <w:rPr>
                <w:sz w:val="18"/>
              </w:rPr>
              <w:t>83</w:t>
            </w:r>
          </w:p>
        </w:tc>
        <w:tc>
          <w:tcPr>
            <w:tcW w:type="dxa" w:w="2407"/>
          </w:tcPr>
          <w:p>
            <w:pPr>
              <w:spacing w:after="20" w:before="20" w:line="240" w:lineRule="auto"/>
              <w:jc w:val="left"/>
            </w:pPr>
            <w:r/>
            <w:r>
              <w:rPr>
                <w:sz w:val="18"/>
              </w:rPr>
              <w:t>3,1</w:t>
            </w:r>
          </w:p>
        </w:tc>
        <w:tc>
          <w:tcPr>
            <w:tcW w:type="dxa" w:w="1685"/>
          </w:tcPr>
          <w:p>
            <w:pPr>
              <w:spacing w:after="20" w:before="20" w:line="240" w:lineRule="auto"/>
              <w:jc w:val="left"/>
            </w:pPr>
            <w:r/>
            <w:r>
              <w:rPr>
                <w:sz w:val="18"/>
              </w:rPr>
              <w:t>537,3</w:t>
            </w:r>
          </w:p>
        </w:tc>
      </w:tr>
    </w:tbl>
    <w:p>
      <w:pPr>
        <w:spacing w:after="120"/>
      </w:pPr>
    </w:p>
    <w:p>
      <w:pPr>
        <w:spacing w:before="0" w:after="120" w:line="360" w:lineRule="auto"/>
        <w:jc w:val="both"/>
      </w:pPr>
      <w:r>
        <w:rPr>
          <w:b/>
          <w:sz w:val="24"/>
        </w:rPr>
        <w:t>Par canal, opérateur, type d'opération et mode d'accès.</w:t>
      </w:r>
      <w:r>
        <w:rPr>
          <w:sz w:val="24"/>
        </w:rPr>
        <w:t xml:space="preserve"> Le taux de fraude de la carte Visa (3,06 %) est plus de deux fois celui du Mobile Money (1,24 %) pour un volume 18 fois moindre (tableau III.4). Parmi les opérations, l'envoi d'argent (3,05 %) et l'achat par carte (4,94 %) concentrent la fraude, alors que les dépôts, crédits téléphoniques et factures n'en contiennent aucune. L'accès par application est le plus exposé (2,08 %), devant l'USSD (1,16 %) et l'agent (0,80 %). Les opérateurs sont proches (1,19 % à 1,46 %).</w:t>
      </w:r>
    </w:p>
    <w:p>
      <w:pPr>
        <w:pStyle w:val="Légendetableau"/>
        <w:keepNext/>
        <w:spacing w:before="200" w:after="80"/>
        <w:jc w:val="center"/>
      </w:pPr>
      <w:r>
        <w:rPr>
          <w:b/>
          <w:sz w:val="20"/>
        </w:rPr>
        <w:t>Tableau III.4 — Part des transactions et taux de fraude par modalité.</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4269"/>
        <w:gridCol w:w="2583"/>
        <w:gridCol w:w="2537"/>
      </w:tblGrid>
      <w:tr>
        <w:trPr>
          <w:tblHeader w:val="true"/>
        </w:trPr>
        <w:tc>
          <w:tcPr>
            <w:tcW w:type="dxa" w:w="4269"/>
            <w:shd w:val="clear" w:color="auto" w:fill="D9E2F3"/>
          </w:tcPr>
          <w:p>
            <w:pPr>
              <w:spacing w:after="20" w:before="20" w:line="240" w:lineRule="auto"/>
              <w:jc w:val="left"/>
            </w:pPr>
            <w:r/>
            <w:r>
              <w:rPr>
                <w:b/>
                <w:sz w:val="20"/>
              </w:rPr>
              <w:t>Modalité</w:t>
            </w:r>
          </w:p>
        </w:tc>
        <w:tc>
          <w:tcPr>
            <w:tcW w:type="dxa" w:w="2583"/>
            <w:shd w:val="clear" w:color="auto" w:fill="D9E2F3"/>
          </w:tcPr>
          <w:p>
            <w:pPr>
              <w:spacing w:after="20" w:before="20" w:line="240" w:lineRule="auto"/>
              <w:jc w:val="left"/>
            </w:pPr>
            <w:r/>
            <w:r>
              <w:rPr>
                <w:b/>
                <w:sz w:val="20"/>
              </w:rPr>
              <w:t>Part des transactions</w:t>
            </w:r>
          </w:p>
        </w:tc>
        <w:tc>
          <w:tcPr>
            <w:tcW w:type="dxa" w:w="2537"/>
            <w:shd w:val="clear" w:color="auto" w:fill="D9E2F3"/>
          </w:tcPr>
          <w:p>
            <w:pPr>
              <w:spacing w:after="20" w:before="20" w:line="240" w:lineRule="auto"/>
              <w:jc w:val="left"/>
            </w:pPr>
            <w:r/>
            <w:r>
              <w:rPr>
                <w:b/>
                <w:sz w:val="20"/>
              </w:rPr>
              <w:t>Taux de fraude</w:t>
            </w:r>
          </w:p>
        </w:tc>
      </w:tr>
      <w:tr>
        <w:trPr>
          <w:cantSplit w:val="true"/>
        </w:trPr>
        <w:tc>
          <w:tcPr>
            <w:tcW w:type="dxa" w:w="4269"/>
          </w:tcPr>
          <w:p>
            <w:pPr>
              <w:spacing w:after="20" w:before="20" w:line="240" w:lineRule="auto"/>
              <w:jc w:val="left"/>
            </w:pPr>
            <w:r/>
            <w:r>
              <w:rPr>
                <w:sz w:val="20"/>
              </w:rPr>
              <w:t>Canal : Mobile Money / Visa virtuelle</w:t>
            </w:r>
          </w:p>
        </w:tc>
        <w:tc>
          <w:tcPr>
            <w:tcW w:type="dxa" w:w="2583"/>
          </w:tcPr>
          <w:p>
            <w:pPr>
              <w:spacing w:after="20" w:before="20" w:line="240" w:lineRule="auto"/>
              <w:jc w:val="left"/>
            </w:pPr>
            <w:r/>
            <w:r>
              <w:rPr>
                <w:sz w:val="20"/>
              </w:rPr>
              <w:t>94,7 % / 5,3 %</w:t>
            </w:r>
          </w:p>
        </w:tc>
        <w:tc>
          <w:tcPr>
            <w:tcW w:type="dxa" w:w="2537"/>
          </w:tcPr>
          <w:p>
            <w:pPr>
              <w:spacing w:after="20" w:before="20" w:line="240" w:lineRule="auto"/>
              <w:jc w:val="left"/>
            </w:pPr>
            <w:r/>
            <w:r>
              <w:rPr>
                <w:sz w:val="20"/>
              </w:rPr>
              <w:t>1,24 % / 3,06 %</w:t>
            </w:r>
          </w:p>
        </w:tc>
      </w:tr>
      <w:tr>
        <w:trPr>
          <w:cantSplit w:val="true"/>
        </w:trPr>
        <w:tc>
          <w:tcPr>
            <w:tcW w:type="dxa" w:w="4269"/>
          </w:tcPr>
          <w:p>
            <w:pPr>
              <w:spacing w:after="20" w:before="20" w:line="240" w:lineRule="auto"/>
              <w:jc w:val="left"/>
            </w:pPr>
            <w:r/>
            <w:r>
              <w:rPr>
                <w:sz w:val="20"/>
              </w:rPr>
              <w:t>Opérateur : Vodacom / Airtel / Orange</w:t>
            </w:r>
          </w:p>
        </w:tc>
        <w:tc>
          <w:tcPr>
            <w:tcW w:type="dxa" w:w="2583"/>
          </w:tcPr>
          <w:p>
            <w:pPr>
              <w:spacing w:after="20" w:before="20" w:line="240" w:lineRule="auto"/>
              <w:jc w:val="left"/>
            </w:pPr>
            <w:r/>
            <w:r>
              <w:rPr>
                <w:sz w:val="20"/>
              </w:rPr>
              <w:t>50,6 % / 28,6 % / 20,9 %</w:t>
            </w:r>
          </w:p>
        </w:tc>
        <w:tc>
          <w:tcPr>
            <w:tcW w:type="dxa" w:w="2537"/>
          </w:tcPr>
          <w:p>
            <w:pPr>
              <w:spacing w:after="20" w:before="20" w:line="240" w:lineRule="auto"/>
              <w:jc w:val="left"/>
            </w:pPr>
            <w:r/>
            <w:r>
              <w:rPr>
                <w:sz w:val="20"/>
              </w:rPr>
              <w:t>1,46 % / 1,22 % / 1,19 %</w:t>
            </w:r>
          </w:p>
        </w:tc>
      </w:tr>
      <w:tr>
        <w:trPr>
          <w:cantSplit w:val="true"/>
        </w:trPr>
        <w:tc>
          <w:tcPr>
            <w:tcW w:type="dxa" w:w="4269"/>
          </w:tcPr>
          <w:p>
            <w:pPr>
              <w:spacing w:after="20" w:before="20" w:line="240" w:lineRule="auto"/>
              <w:jc w:val="left"/>
            </w:pPr>
            <w:r/>
            <w:r>
              <w:rPr>
                <w:sz w:val="20"/>
              </w:rPr>
              <w:t>Accès : USSD / application / agent</w:t>
            </w:r>
          </w:p>
        </w:tc>
        <w:tc>
          <w:tcPr>
            <w:tcW w:type="dxa" w:w="2583"/>
          </w:tcPr>
          <w:p>
            <w:pPr>
              <w:spacing w:after="20" w:before="20" w:line="240" w:lineRule="auto"/>
              <w:jc w:val="left"/>
            </w:pPr>
            <w:r/>
            <w:r>
              <w:rPr>
                <w:sz w:val="20"/>
              </w:rPr>
              <w:t>39,5 % / 30,7 % / 29,9 %</w:t>
            </w:r>
          </w:p>
        </w:tc>
        <w:tc>
          <w:tcPr>
            <w:tcW w:type="dxa" w:w="2537"/>
          </w:tcPr>
          <w:p>
            <w:pPr>
              <w:spacing w:after="20" w:before="20" w:line="240" w:lineRule="auto"/>
              <w:jc w:val="left"/>
            </w:pPr>
            <w:r/>
            <w:r>
              <w:rPr>
                <w:sz w:val="20"/>
              </w:rPr>
              <w:t>1,16 % / 2,08 % / 0,80 %</w:t>
            </w:r>
          </w:p>
        </w:tc>
      </w:tr>
      <w:tr>
        <w:trPr>
          <w:cantSplit w:val="true"/>
        </w:trPr>
        <w:tc>
          <w:tcPr>
            <w:tcW w:type="dxa" w:w="4269"/>
          </w:tcPr>
          <w:p>
            <w:pPr>
              <w:spacing w:after="20" w:before="20" w:line="240" w:lineRule="auto"/>
              <w:jc w:val="left"/>
            </w:pPr>
            <w:r/>
            <w:r>
              <w:rPr>
                <w:sz w:val="20"/>
              </w:rPr>
              <w:t>Type : envoi / réception</w:t>
            </w:r>
          </w:p>
        </w:tc>
        <w:tc>
          <w:tcPr>
            <w:tcW w:type="dxa" w:w="2583"/>
          </w:tcPr>
          <w:p>
            <w:pPr>
              <w:spacing w:after="20" w:before="20" w:line="240" w:lineRule="auto"/>
              <w:jc w:val="left"/>
            </w:pPr>
            <w:r/>
            <w:r>
              <w:rPr>
                <w:sz w:val="20"/>
              </w:rPr>
              <w:t>21,2 % / 22,3 %</w:t>
            </w:r>
          </w:p>
        </w:tc>
        <w:tc>
          <w:tcPr>
            <w:tcW w:type="dxa" w:w="2537"/>
          </w:tcPr>
          <w:p>
            <w:pPr>
              <w:spacing w:after="20" w:before="20" w:line="240" w:lineRule="auto"/>
              <w:jc w:val="left"/>
            </w:pPr>
            <w:r/>
            <w:r>
              <w:rPr>
                <w:sz w:val="20"/>
              </w:rPr>
              <w:t>3,05 % / 1,05 %</w:t>
            </w:r>
          </w:p>
        </w:tc>
      </w:tr>
      <w:tr>
        <w:trPr>
          <w:cantSplit w:val="true"/>
        </w:trPr>
        <w:tc>
          <w:tcPr>
            <w:tcW w:type="dxa" w:w="4269"/>
          </w:tcPr>
          <w:p>
            <w:pPr>
              <w:spacing w:after="20" w:before="20" w:line="240" w:lineRule="auto"/>
              <w:jc w:val="left"/>
            </w:pPr>
            <w:r/>
            <w:r>
              <w:rPr>
                <w:sz w:val="20"/>
              </w:rPr>
              <w:t>Type : retrait / dépôt</w:t>
            </w:r>
          </w:p>
        </w:tc>
        <w:tc>
          <w:tcPr>
            <w:tcW w:type="dxa" w:w="2583"/>
          </w:tcPr>
          <w:p>
            <w:pPr>
              <w:spacing w:after="20" w:before="20" w:line="240" w:lineRule="auto"/>
              <w:jc w:val="left"/>
            </w:pPr>
            <w:r/>
            <w:r>
              <w:rPr>
                <w:sz w:val="20"/>
              </w:rPr>
              <w:t>14,5 % / 15,3 %</w:t>
            </w:r>
          </w:p>
        </w:tc>
        <w:tc>
          <w:tcPr>
            <w:tcW w:type="dxa" w:w="2537"/>
          </w:tcPr>
          <w:p>
            <w:pPr>
              <w:spacing w:after="20" w:before="20" w:line="240" w:lineRule="auto"/>
              <w:jc w:val="left"/>
            </w:pPr>
            <w:r/>
            <w:r>
              <w:rPr>
                <w:sz w:val="20"/>
              </w:rPr>
              <w:t>1,63 % / 0,00 %</w:t>
            </w:r>
          </w:p>
        </w:tc>
      </w:tr>
      <w:tr>
        <w:trPr>
          <w:cantSplit w:val="true"/>
        </w:trPr>
        <w:tc>
          <w:tcPr>
            <w:tcW w:type="dxa" w:w="4269"/>
          </w:tcPr>
          <w:p>
            <w:pPr>
              <w:spacing w:after="20" w:before="20" w:line="240" w:lineRule="auto"/>
              <w:jc w:val="left"/>
            </w:pPr>
            <w:r/>
            <w:r>
              <w:rPr>
                <w:sz w:val="20"/>
              </w:rPr>
              <w:t>Type : paiement marchand / achat par carte</w:t>
            </w:r>
          </w:p>
        </w:tc>
        <w:tc>
          <w:tcPr>
            <w:tcW w:type="dxa" w:w="2583"/>
          </w:tcPr>
          <w:p>
            <w:pPr>
              <w:spacing w:after="20" w:before="20" w:line="240" w:lineRule="auto"/>
              <w:jc w:val="left"/>
            </w:pPr>
            <w:r/>
            <w:r>
              <w:rPr>
                <w:sz w:val="20"/>
              </w:rPr>
              <w:t>8,3 % / 3,0 %</w:t>
            </w:r>
          </w:p>
        </w:tc>
        <w:tc>
          <w:tcPr>
            <w:tcW w:type="dxa" w:w="2537"/>
          </w:tcPr>
          <w:p>
            <w:pPr>
              <w:spacing w:after="20" w:before="20" w:line="240" w:lineRule="auto"/>
              <w:jc w:val="left"/>
            </w:pPr>
            <w:r/>
            <w:r>
              <w:rPr>
                <w:sz w:val="20"/>
              </w:rPr>
              <w:t>0,63 % / 4,94 %</w:t>
            </w:r>
          </w:p>
        </w:tc>
      </w:tr>
      <w:tr>
        <w:trPr>
          <w:cantSplit w:val="true"/>
        </w:trPr>
        <w:tc>
          <w:tcPr>
            <w:tcW w:type="dxa" w:w="4269"/>
          </w:tcPr>
          <w:p>
            <w:pPr>
              <w:spacing w:after="20" w:before="20" w:line="240" w:lineRule="auto"/>
              <w:jc w:val="left"/>
            </w:pPr>
            <w:r/>
            <w:r>
              <w:rPr>
                <w:sz w:val="20"/>
              </w:rPr>
              <w:t>Type : recharge de carte</w:t>
            </w:r>
          </w:p>
        </w:tc>
        <w:tc>
          <w:tcPr>
            <w:tcW w:type="dxa" w:w="2583"/>
          </w:tcPr>
          <w:p>
            <w:pPr>
              <w:spacing w:after="20" w:before="20" w:line="240" w:lineRule="auto"/>
              <w:jc w:val="left"/>
            </w:pPr>
            <w:r/>
            <w:r>
              <w:rPr>
                <w:sz w:val="20"/>
              </w:rPr>
              <w:t>2,3 %</w:t>
            </w:r>
          </w:p>
        </w:tc>
        <w:tc>
          <w:tcPr>
            <w:tcW w:type="dxa" w:w="2537"/>
          </w:tcPr>
          <w:p>
            <w:pPr>
              <w:spacing w:after="20" w:before="20" w:line="240" w:lineRule="auto"/>
              <w:jc w:val="left"/>
            </w:pPr>
            <w:r/>
            <w:r>
              <w:rPr>
                <w:sz w:val="20"/>
              </w:rPr>
              <w:t>0,57 %</w:t>
            </w:r>
          </w:p>
        </w:tc>
      </w:tr>
      <w:tr>
        <w:trPr>
          <w:cantSplit w:val="true"/>
        </w:trPr>
        <w:tc>
          <w:tcPr>
            <w:tcW w:type="dxa" w:w="4269"/>
          </w:tcPr>
          <w:p>
            <w:pPr>
              <w:spacing w:after="20" w:before="20" w:line="240" w:lineRule="auto"/>
              <w:jc w:val="left"/>
            </w:pPr>
            <w:r/>
            <w:r>
              <w:rPr>
                <w:sz w:val="20"/>
              </w:rPr>
              <w:t>Téléphone : smartphone / simple</w:t>
            </w:r>
          </w:p>
        </w:tc>
        <w:tc>
          <w:tcPr>
            <w:tcW w:type="dxa" w:w="2583"/>
          </w:tcPr>
          <w:p>
            <w:pPr>
              <w:spacing w:after="20" w:before="20" w:line="240" w:lineRule="auto"/>
              <w:jc w:val="left"/>
            </w:pPr>
            <w:r/>
            <w:r>
              <w:rPr>
                <w:sz w:val="20"/>
              </w:rPr>
              <w:t>57,8 % / 42,2 %</w:t>
            </w:r>
          </w:p>
        </w:tc>
        <w:tc>
          <w:tcPr>
            <w:tcW w:type="dxa" w:w="2537"/>
          </w:tcPr>
          <w:p>
            <w:pPr>
              <w:spacing w:after="20" w:before="20" w:line="240" w:lineRule="auto"/>
              <w:jc w:val="left"/>
            </w:pPr>
            <w:r/>
            <w:r>
              <w:rPr>
                <w:sz w:val="20"/>
              </w:rPr>
              <w:t>1,43 % / 1,20 %</w:t>
            </w:r>
          </w:p>
        </w:tc>
      </w:tr>
      <w:tr>
        <w:trPr>
          <w:cantSplit w:val="true"/>
        </w:trPr>
        <w:tc>
          <w:tcPr>
            <w:tcW w:type="dxa" w:w="4269"/>
          </w:tcPr>
          <w:p>
            <w:pPr>
              <w:spacing w:after="20" w:before="20" w:line="240" w:lineRule="auto"/>
              <w:jc w:val="left"/>
            </w:pPr>
            <w:r/>
            <w:r>
              <w:rPr>
                <w:sz w:val="20"/>
              </w:rPr>
              <w:t>Niveau KYC : 1 / 2 / 3</w:t>
            </w:r>
          </w:p>
        </w:tc>
        <w:tc>
          <w:tcPr>
            <w:tcW w:type="dxa" w:w="2583"/>
          </w:tcPr>
          <w:p>
            <w:pPr>
              <w:spacing w:after="20" w:before="20" w:line="240" w:lineRule="auto"/>
              <w:jc w:val="left"/>
            </w:pPr>
            <w:r/>
            <w:r>
              <w:rPr>
                <w:sz w:val="20"/>
              </w:rPr>
              <w:t>36,2 % / 48,2 % / 15,6 %</w:t>
            </w:r>
          </w:p>
        </w:tc>
        <w:tc>
          <w:tcPr>
            <w:tcW w:type="dxa" w:w="2537"/>
          </w:tcPr>
          <w:p>
            <w:pPr>
              <w:spacing w:after="20" w:before="20" w:line="240" w:lineRule="auto"/>
              <w:jc w:val="left"/>
            </w:pPr>
            <w:r/>
            <w:r>
              <w:rPr>
                <w:sz w:val="20"/>
              </w:rPr>
              <w:t>1,50 % / 1,19 % / 1,37 %</w:t>
            </w:r>
          </w:p>
        </w:tc>
      </w:tr>
    </w:tbl>
    <w:p>
      <w:pPr>
        <w:spacing w:after="120"/>
      </w:pPr>
    </w:p>
    <w:p>
      <w:pPr>
        <w:keepNext/>
        <w:spacing w:before="160" w:after="40"/>
        <w:jc w:val="center"/>
      </w:pPr>
      <w:r>
        <w:drawing>
          <wp:inline xmlns:a="http://schemas.openxmlformats.org/drawingml/2006/main" xmlns:pic="http://schemas.openxmlformats.org/drawingml/2006/picture">
            <wp:extent cx="5580000" cy="2082773"/>
            <wp:docPr id="44" name="Picture 44"/>
            <wp:cNvGraphicFramePr>
              <a:graphicFrameLocks noChangeAspect="1"/>
            </wp:cNvGraphicFramePr>
            <a:graphic>
              <a:graphicData uri="http://schemas.openxmlformats.org/drawingml/2006/picture">
                <pic:pic>
                  <pic:nvPicPr>
                    <pic:cNvPr id="0" name="fig_III_05_type_acces.png"/>
                    <pic:cNvPicPr/>
                  </pic:nvPicPr>
                  <pic:blipFill>
                    <a:blip r:embed="rId18"/>
                    <a:stretch>
                      <a:fillRect/>
                    </a:stretch>
                  </pic:blipFill>
                  <pic:spPr>
                    <a:xfrm>
                      <a:off x="0" y="0"/>
                      <a:ext cx="5580000" cy="2082773"/>
                    </a:xfrm>
                    <a:prstGeom prst="rect"/>
                  </pic:spPr>
                </pic:pic>
              </a:graphicData>
            </a:graphic>
          </wp:inline>
        </w:drawing>
      </w:r>
    </w:p>
    <w:p>
      <w:pPr>
        <w:pStyle w:val="Légendefigure"/>
        <w:spacing w:before="40" w:after="240"/>
        <w:jc w:val="center"/>
      </w:pPr>
      <w:r>
        <w:rPr>
          <w:i/>
          <w:sz w:val="20"/>
        </w:rPr>
        <w:t>Figure III.3 — Taux de fraude par type d'opération et par canal d'accès.</w:t>
      </w:r>
    </w:p>
    <w:p>
      <w:pPr>
        <w:spacing w:before="0" w:after="120" w:line="360" w:lineRule="auto"/>
        <w:jc w:val="both"/>
      </w:pPr>
      <w:r>
        <w:rPr>
          <w:b/>
          <w:sz w:val="24"/>
        </w:rPr>
        <w:t>Par province et par segment.</w:t>
      </w:r>
      <w:r>
        <w:rPr>
          <w:sz w:val="24"/>
        </w:rPr>
        <w:t xml:space="preserve"> Kinshasa (236 916 opérations), le Haut-Katanga (106 121) et le Nord-Kivu (82 468) concentrent l'activité, conformément au classement des sources officielles. Les taux de fraude les plus élevés se trouvent au Kasaï-Oriental (2,09 %) et dans le Kongo-Central (1,76 %), mais ils portent sur de faibles volumes. Les segments diffèrent davantage : les commerçants, très actifs, ont le taux le plus bas (0,64 %), alors que les agriculteurs (2,19 %), les bénéficiaires de la diaspora (2,09 %), les étudiants (1,84 %) et le secteur informel (1,86 %) sont plus exposés (figure III.4).</w:t>
      </w:r>
    </w:p>
    <w:p>
      <w:pPr>
        <w:keepNext/>
        <w:spacing w:before="160" w:after="40"/>
        <w:jc w:val="center"/>
      </w:pPr>
      <w:r>
        <w:drawing>
          <wp:inline xmlns:a="http://schemas.openxmlformats.org/drawingml/2006/main" xmlns:pic="http://schemas.openxmlformats.org/drawingml/2006/picture">
            <wp:extent cx="5580000" cy="2333017"/>
            <wp:docPr id="45" name="Picture 45"/>
            <wp:cNvGraphicFramePr>
              <a:graphicFrameLocks noChangeAspect="1"/>
            </wp:cNvGraphicFramePr>
            <a:graphic>
              <a:graphicData uri="http://schemas.openxmlformats.org/drawingml/2006/picture">
                <pic:pic>
                  <pic:nvPicPr>
                    <pic:cNvPr id="0" name="fig_III_06_province_segment.png"/>
                    <pic:cNvPicPr/>
                  </pic:nvPicPr>
                  <pic:blipFill>
                    <a:blip r:embed="rId19"/>
                    <a:stretch>
                      <a:fillRect/>
                    </a:stretch>
                  </pic:blipFill>
                  <pic:spPr>
                    <a:xfrm>
                      <a:off x="0" y="0"/>
                      <a:ext cx="5580000" cy="2333017"/>
                    </a:xfrm>
                    <a:prstGeom prst="rect"/>
                  </pic:spPr>
                </pic:pic>
              </a:graphicData>
            </a:graphic>
          </wp:inline>
        </w:drawing>
      </w:r>
    </w:p>
    <w:p>
      <w:pPr>
        <w:pStyle w:val="Légendefigure"/>
        <w:spacing w:before="40" w:after="240"/>
        <w:jc w:val="center"/>
      </w:pPr>
      <w:r>
        <w:rPr>
          <w:i/>
          <w:sz w:val="20"/>
        </w:rPr>
        <w:t>Figure III.4 — Volume par province (12 premières) et taux de fraude par segment de clientèle.</w:t>
      </w:r>
    </w:p>
    <w:p>
      <w:pPr>
        <w:pStyle w:val="Titre4"/>
        <w:keepNext/>
        <w:numPr>
          <w:numId w:val="0"/>
        </w:numPr>
        <w:spacing w:before="200" w:after="120"/>
        <w:ind w:left="0" w:firstLine="0"/>
        <w:jc w:val="left"/>
      </w:pPr>
      <w:r>
        <w:rPr>
          <w:b/>
          <w:i/>
          <w:color w:val="000000"/>
          <w:sz w:val="25"/>
        </w:rPr>
        <w:t>1.4 Distribution des montants</w:t>
      </w:r>
    </w:p>
    <w:p>
      <w:pPr>
        <w:spacing w:before="0" w:after="120" w:line="360" w:lineRule="auto"/>
        <w:jc w:val="both"/>
      </w:pPr>
      <w:r>
        <w:rPr>
          <w:sz w:val="24"/>
        </w:rPr>
        <w:t xml:space="preserve">Les montants sont très asymétriques : en Mobile Money, la médiane des opérations légitimes est de 24,11 USD pour une moyenne de 44,06 USD, un 99ᵉ centile de 276 USD et une asymétrie (coefficient de Fisher) de 4,63. Après passage au logarithme, l'asymétrie tombe à </w:t>
      </w:r>
      <m:oMath>
        <m:r>
          <m:t>−0,14</m:t>
        </m:r>
      </m:oMath>
      <w:r>
        <w:rPr>
          <w:sz w:val="24"/>
        </w:rPr>
        <w:t xml:space="preserve">, ce qui justifie de travailler sur </w:t>
      </w:r>
      <m:oMath>
        <m:r>
          <m:rPr>
            <m:sty m:val="p"/>
          </m:rPr>
          <m:t>ln</m:t>
        </m:r>
        <m:r>
          <m:t>(1+a)</m:t>
        </m:r>
      </m:oMath>
      <w:r>
        <w:rPr>
          <w:sz w:val="24"/>
        </w:rPr>
        <w:t xml:space="preserve"> dans les variables de montant (figure III.5). Les fraudes Mobile Money sont nettement plus grosses (médiane 95 USD, moyenne 259,56 USD), avec un plafond visible à 1 500 USD, valeur du plafond KYC du niveau 2. À l'inverse, les fraudes sur la carte Visa sont plutôt de petits montants (médiane 5,98 USD contre 20,08 USD en légitime), signature des tests de carte, avec une longue traîne jusqu'à 5 000 USD pour les vidages.</w:t>
      </w:r>
    </w:p>
    <w:p>
      <w:pPr>
        <w:keepNext/>
        <w:spacing w:before="160" w:after="40"/>
        <w:jc w:val="center"/>
      </w:pPr>
      <w:r>
        <w:drawing>
          <wp:inline xmlns:a="http://schemas.openxmlformats.org/drawingml/2006/main" xmlns:pic="http://schemas.openxmlformats.org/drawingml/2006/picture">
            <wp:extent cx="5580000" cy="2262299"/>
            <wp:docPr id="46" name="Picture 46"/>
            <wp:cNvGraphicFramePr>
              <a:graphicFrameLocks noChangeAspect="1"/>
            </wp:cNvGraphicFramePr>
            <a:graphic>
              <a:graphicData uri="http://schemas.openxmlformats.org/drawingml/2006/picture">
                <pic:pic>
                  <pic:nvPicPr>
                    <pic:cNvPr id="0" name="fig_III_03_montants.png"/>
                    <pic:cNvPicPr/>
                  </pic:nvPicPr>
                  <pic:blipFill>
                    <a:blip r:embed="rId20"/>
                    <a:stretch>
                      <a:fillRect/>
                    </a:stretch>
                  </pic:blipFill>
                  <pic:spPr>
                    <a:xfrm>
                      <a:off x="0" y="0"/>
                      <a:ext cx="5580000" cy="2262299"/>
                    </a:xfrm>
                    <a:prstGeom prst="rect"/>
                  </pic:spPr>
                </pic:pic>
              </a:graphicData>
            </a:graphic>
          </wp:inline>
        </w:drawing>
      </w:r>
    </w:p>
    <w:p>
      <w:pPr>
        <w:pStyle w:val="Légendefigure"/>
        <w:spacing w:before="40" w:after="240"/>
        <w:jc w:val="center"/>
      </w:pPr>
      <w:r>
        <w:rPr>
          <w:i/>
          <w:sz w:val="20"/>
        </w:rPr>
        <w:t>Figure III.5 — Distribution des montants (échelle logarithmique) des opérations légitimes et frauduleuses, par canal.</w:t>
      </w:r>
    </w:p>
    <w:p>
      <w:pPr>
        <w:pStyle w:val="Légendetableau"/>
        <w:keepNext/>
        <w:spacing w:before="200" w:after="80"/>
        <w:jc w:val="center"/>
      </w:pPr>
      <w:r>
        <w:rPr>
          <w:b/>
          <w:sz w:val="20"/>
        </w:rPr>
        <w:t>Tableau III.5 — Montants en USD selon le canal et la classe.</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3511"/>
        <w:gridCol w:w="1371"/>
        <w:gridCol w:w="1371"/>
        <w:gridCol w:w="1567"/>
        <w:gridCol w:w="1567"/>
      </w:tblGrid>
      <w:tr>
        <w:trPr>
          <w:tblHeader w:val="true"/>
        </w:trPr>
        <w:tc>
          <w:tcPr>
            <w:tcW w:type="dxa" w:w="3511"/>
            <w:shd w:val="clear" w:color="auto" w:fill="D9E2F3"/>
          </w:tcPr>
          <w:p>
            <w:pPr>
              <w:spacing w:after="20" w:before="20" w:line="240" w:lineRule="auto"/>
              <w:jc w:val="left"/>
            </w:pPr>
            <w:r/>
            <w:r>
              <w:rPr>
                <w:b/>
                <w:sz w:val="18"/>
              </w:rPr>
              <w:t>Canal et classe</w:t>
            </w:r>
          </w:p>
        </w:tc>
        <w:tc>
          <w:tcPr>
            <w:tcW w:type="dxa" w:w="1371"/>
            <w:shd w:val="clear" w:color="auto" w:fill="D9E2F3"/>
          </w:tcPr>
          <w:p>
            <w:pPr>
              <w:spacing w:after="20" w:before="20" w:line="240" w:lineRule="auto"/>
              <w:jc w:val="left"/>
            </w:pPr>
            <w:r/>
            <w:r>
              <w:rPr>
                <w:b/>
                <w:sz w:val="18"/>
              </w:rPr>
              <w:t>Médiane</w:t>
            </w:r>
          </w:p>
        </w:tc>
        <w:tc>
          <w:tcPr>
            <w:tcW w:type="dxa" w:w="1371"/>
            <w:shd w:val="clear" w:color="auto" w:fill="D9E2F3"/>
          </w:tcPr>
          <w:p>
            <w:pPr>
              <w:spacing w:after="20" w:before="20" w:line="240" w:lineRule="auto"/>
              <w:jc w:val="left"/>
            </w:pPr>
            <w:r/>
            <w:r>
              <w:rPr>
                <w:b/>
                <w:sz w:val="18"/>
              </w:rPr>
              <w:t>Moyenne</w:t>
            </w:r>
          </w:p>
        </w:tc>
        <w:tc>
          <w:tcPr>
            <w:tcW w:type="dxa" w:w="1567"/>
            <w:shd w:val="clear" w:color="auto" w:fill="D9E2F3"/>
          </w:tcPr>
          <w:p>
            <w:pPr>
              <w:spacing w:after="20" w:before="20" w:line="240" w:lineRule="auto"/>
              <w:jc w:val="left"/>
            </w:pPr>
            <w:r/>
            <w:r>
              <w:rPr>
                <w:b/>
                <w:sz w:val="18"/>
              </w:rPr>
              <w:t>99ᵉ centile</w:t>
            </w:r>
          </w:p>
        </w:tc>
        <w:tc>
          <w:tcPr>
            <w:tcW w:type="dxa" w:w="1567"/>
            <w:shd w:val="clear" w:color="auto" w:fill="D9E2F3"/>
          </w:tcPr>
          <w:p>
            <w:pPr>
              <w:spacing w:after="20" w:before="20" w:line="240" w:lineRule="auto"/>
              <w:jc w:val="left"/>
            </w:pPr>
            <w:r/>
            <w:r>
              <w:rPr>
                <w:b/>
                <w:sz w:val="18"/>
              </w:rPr>
              <w:t>Maximum</w:t>
            </w:r>
          </w:p>
        </w:tc>
      </w:tr>
      <w:tr>
        <w:trPr>
          <w:cantSplit w:val="true"/>
        </w:trPr>
        <w:tc>
          <w:tcPr>
            <w:tcW w:type="dxa" w:w="3511"/>
          </w:tcPr>
          <w:p>
            <w:pPr>
              <w:spacing w:after="20" w:before="20" w:line="240" w:lineRule="auto"/>
              <w:jc w:val="left"/>
            </w:pPr>
            <w:r/>
            <w:r>
              <w:rPr>
                <w:sz w:val="18"/>
              </w:rPr>
              <w:t>Mobile Money, légitime</w:t>
            </w:r>
          </w:p>
        </w:tc>
        <w:tc>
          <w:tcPr>
            <w:tcW w:type="dxa" w:w="1371"/>
          </w:tcPr>
          <w:p>
            <w:pPr>
              <w:spacing w:after="20" w:before="20" w:line="240" w:lineRule="auto"/>
              <w:jc w:val="left"/>
            </w:pPr>
            <w:r/>
            <w:r>
              <w:rPr>
                <w:sz w:val="18"/>
              </w:rPr>
              <w:t>24,11</w:t>
            </w:r>
          </w:p>
        </w:tc>
        <w:tc>
          <w:tcPr>
            <w:tcW w:type="dxa" w:w="1371"/>
          </w:tcPr>
          <w:p>
            <w:pPr>
              <w:spacing w:after="20" w:before="20" w:line="240" w:lineRule="auto"/>
              <w:jc w:val="left"/>
            </w:pPr>
            <w:r/>
            <w:r>
              <w:rPr>
                <w:sz w:val="18"/>
              </w:rPr>
              <w:t>44,06</w:t>
            </w:r>
          </w:p>
        </w:tc>
        <w:tc>
          <w:tcPr>
            <w:tcW w:type="dxa" w:w="1567"/>
          </w:tcPr>
          <w:p>
            <w:pPr>
              <w:spacing w:after="20" w:before="20" w:line="240" w:lineRule="auto"/>
              <w:jc w:val="left"/>
            </w:pPr>
            <w:r/>
            <w:r>
              <w:rPr>
                <w:sz w:val="18"/>
              </w:rPr>
              <w:t>276,00</w:t>
            </w:r>
          </w:p>
        </w:tc>
        <w:tc>
          <w:tcPr>
            <w:tcW w:type="dxa" w:w="1567"/>
          </w:tcPr>
          <w:p>
            <w:pPr>
              <w:spacing w:after="20" w:before="20" w:line="240" w:lineRule="auto"/>
              <w:jc w:val="left"/>
            </w:pPr>
            <w:r/>
            <w:r>
              <w:rPr>
                <w:sz w:val="18"/>
              </w:rPr>
              <w:t>1 988,42</w:t>
            </w:r>
          </w:p>
        </w:tc>
      </w:tr>
      <w:tr>
        <w:trPr>
          <w:cantSplit w:val="true"/>
        </w:trPr>
        <w:tc>
          <w:tcPr>
            <w:tcW w:type="dxa" w:w="3511"/>
          </w:tcPr>
          <w:p>
            <w:pPr>
              <w:spacing w:after="20" w:before="20" w:line="240" w:lineRule="auto"/>
              <w:jc w:val="left"/>
            </w:pPr>
            <w:r/>
            <w:r>
              <w:rPr>
                <w:sz w:val="18"/>
              </w:rPr>
              <w:t>Mobile Money, fraude</w:t>
            </w:r>
          </w:p>
        </w:tc>
        <w:tc>
          <w:tcPr>
            <w:tcW w:type="dxa" w:w="1371"/>
          </w:tcPr>
          <w:p>
            <w:pPr>
              <w:spacing w:after="20" w:before="20" w:line="240" w:lineRule="auto"/>
              <w:jc w:val="left"/>
            </w:pPr>
            <w:r/>
            <w:r>
              <w:rPr>
                <w:sz w:val="18"/>
              </w:rPr>
              <w:t>95,00</w:t>
            </w:r>
          </w:p>
        </w:tc>
        <w:tc>
          <w:tcPr>
            <w:tcW w:type="dxa" w:w="1371"/>
          </w:tcPr>
          <w:p>
            <w:pPr>
              <w:spacing w:after="20" w:before="20" w:line="240" w:lineRule="auto"/>
              <w:jc w:val="left"/>
            </w:pPr>
            <w:r/>
            <w:r>
              <w:rPr>
                <w:sz w:val="18"/>
              </w:rPr>
              <w:t>259,56</w:t>
            </w:r>
          </w:p>
        </w:tc>
        <w:tc>
          <w:tcPr>
            <w:tcW w:type="dxa" w:w="1567"/>
          </w:tcPr>
          <w:p>
            <w:pPr>
              <w:spacing w:after="20" w:before="20" w:line="240" w:lineRule="auto"/>
              <w:jc w:val="left"/>
            </w:pPr>
            <w:r/>
            <w:r>
              <w:rPr>
                <w:sz w:val="18"/>
              </w:rPr>
              <w:t>1 500,00</w:t>
            </w:r>
          </w:p>
        </w:tc>
        <w:tc>
          <w:tcPr>
            <w:tcW w:type="dxa" w:w="1567"/>
          </w:tcPr>
          <w:p>
            <w:pPr>
              <w:spacing w:after="20" w:before="20" w:line="240" w:lineRule="auto"/>
              <w:jc w:val="left"/>
            </w:pPr>
            <w:r/>
            <w:r>
              <w:rPr>
                <w:sz w:val="18"/>
              </w:rPr>
              <w:t>5 000,00</w:t>
            </w:r>
          </w:p>
        </w:tc>
      </w:tr>
      <w:tr>
        <w:trPr>
          <w:cantSplit w:val="true"/>
        </w:trPr>
        <w:tc>
          <w:tcPr>
            <w:tcW w:type="dxa" w:w="3511"/>
          </w:tcPr>
          <w:p>
            <w:pPr>
              <w:spacing w:after="20" w:before="20" w:line="240" w:lineRule="auto"/>
              <w:jc w:val="left"/>
            </w:pPr>
            <w:r/>
            <w:r>
              <w:rPr>
                <w:sz w:val="18"/>
              </w:rPr>
              <w:t>Visa virtuelle, légitime</w:t>
            </w:r>
          </w:p>
        </w:tc>
        <w:tc>
          <w:tcPr>
            <w:tcW w:type="dxa" w:w="1371"/>
          </w:tcPr>
          <w:p>
            <w:pPr>
              <w:spacing w:after="20" w:before="20" w:line="240" w:lineRule="auto"/>
              <w:jc w:val="left"/>
            </w:pPr>
            <w:r/>
            <w:r>
              <w:rPr>
                <w:sz w:val="18"/>
              </w:rPr>
              <w:t>20,08</w:t>
            </w:r>
          </w:p>
        </w:tc>
        <w:tc>
          <w:tcPr>
            <w:tcW w:type="dxa" w:w="1371"/>
          </w:tcPr>
          <w:p>
            <w:pPr>
              <w:spacing w:after="20" w:before="20" w:line="240" w:lineRule="auto"/>
              <w:jc w:val="left"/>
            </w:pPr>
            <w:r/>
            <w:r>
              <w:rPr>
                <w:sz w:val="18"/>
              </w:rPr>
              <w:t>42,17</w:t>
            </w:r>
          </w:p>
        </w:tc>
        <w:tc>
          <w:tcPr>
            <w:tcW w:type="dxa" w:w="1567"/>
          </w:tcPr>
          <w:p>
            <w:pPr>
              <w:spacing w:after="20" w:before="20" w:line="240" w:lineRule="auto"/>
              <w:jc w:val="left"/>
            </w:pPr>
            <w:r/>
            <w:r>
              <w:rPr>
                <w:sz w:val="18"/>
              </w:rPr>
              <w:t>335,12</w:t>
            </w:r>
          </w:p>
        </w:tc>
        <w:tc>
          <w:tcPr>
            <w:tcW w:type="dxa" w:w="1567"/>
          </w:tcPr>
          <w:p>
            <w:pPr>
              <w:spacing w:after="20" w:before="20" w:line="240" w:lineRule="auto"/>
              <w:jc w:val="left"/>
            </w:pPr>
            <w:r/>
            <w:r>
              <w:rPr>
                <w:sz w:val="18"/>
              </w:rPr>
              <w:t>1 313,00</w:t>
            </w:r>
          </w:p>
        </w:tc>
      </w:tr>
      <w:tr>
        <w:trPr>
          <w:cantSplit w:val="true"/>
        </w:trPr>
        <w:tc>
          <w:tcPr>
            <w:tcW w:type="dxa" w:w="3511"/>
          </w:tcPr>
          <w:p>
            <w:pPr>
              <w:spacing w:after="20" w:before="20" w:line="240" w:lineRule="auto"/>
              <w:jc w:val="left"/>
            </w:pPr>
            <w:r/>
            <w:r>
              <w:rPr>
                <w:sz w:val="18"/>
              </w:rPr>
              <w:t>Visa virtuelle, fraude</w:t>
            </w:r>
          </w:p>
        </w:tc>
        <w:tc>
          <w:tcPr>
            <w:tcW w:type="dxa" w:w="1371"/>
          </w:tcPr>
          <w:p>
            <w:pPr>
              <w:spacing w:after="20" w:before="20" w:line="240" w:lineRule="auto"/>
              <w:jc w:val="left"/>
            </w:pPr>
            <w:r/>
            <w:r>
              <w:rPr>
                <w:sz w:val="18"/>
              </w:rPr>
              <w:t>5,98</w:t>
            </w:r>
          </w:p>
        </w:tc>
        <w:tc>
          <w:tcPr>
            <w:tcW w:type="dxa" w:w="1371"/>
          </w:tcPr>
          <w:p>
            <w:pPr>
              <w:spacing w:after="20" w:before="20" w:line="240" w:lineRule="auto"/>
              <w:jc w:val="left"/>
            </w:pPr>
            <w:r/>
            <w:r>
              <w:rPr>
                <w:sz w:val="18"/>
              </w:rPr>
              <w:t>178,48</w:t>
            </w:r>
          </w:p>
        </w:tc>
        <w:tc>
          <w:tcPr>
            <w:tcW w:type="dxa" w:w="1567"/>
          </w:tcPr>
          <w:p>
            <w:pPr>
              <w:spacing w:after="20" w:before="20" w:line="240" w:lineRule="auto"/>
              <w:jc w:val="left"/>
            </w:pPr>
            <w:r/>
            <w:r>
              <w:rPr>
                <w:sz w:val="18"/>
              </w:rPr>
              <w:t>2 206,25</w:t>
            </w:r>
          </w:p>
        </w:tc>
        <w:tc>
          <w:tcPr>
            <w:tcW w:type="dxa" w:w="1567"/>
          </w:tcPr>
          <w:p>
            <w:pPr>
              <w:spacing w:after="20" w:before="20" w:line="240" w:lineRule="auto"/>
              <w:jc w:val="left"/>
            </w:pPr>
            <w:r/>
            <w:r>
              <w:rPr>
                <w:sz w:val="18"/>
              </w:rPr>
              <w:t>5 000,00</w:t>
            </w:r>
          </w:p>
        </w:tc>
      </w:tr>
    </w:tbl>
    <w:p>
      <w:pPr>
        <w:spacing w:after="120"/>
      </w:pPr>
    </w:p>
    <w:p>
      <w:pPr>
        <w:pStyle w:val="Titre4"/>
        <w:keepNext/>
        <w:numPr>
          <w:numId w:val="0"/>
        </w:numPr>
        <w:spacing w:before="200" w:after="120"/>
        <w:ind w:left="0" w:firstLine="0"/>
        <w:jc w:val="left"/>
      </w:pPr>
      <w:r>
        <w:rPr>
          <w:b/>
          <w:i/>
          <w:color w:val="000000"/>
          <w:sz w:val="25"/>
        </w:rPr>
        <w:t>1.5 Profil horaire</w:t>
      </w:r>
    </w:p>
    <w:p>
      <w:pPr>
        <w:spacing w:before="0" w:after="120" w:line="360" w:lineRule="auto"/>
        <w:jc w:val="both"/>
      </w:pPr>
      <w:r>
        <w:rPr>
          <w:sz w:val="24"/>
        </w:rPr>
        <w:t xml:space="preserve">Les opérations légitimes suivent un profil diurne marqué : 3,4 % seulement ont lieu entre minuit et 5 h. Les fraudes sont réparties de façon beaucoup plus uniforme sur la journée, et 29,1 % se produisent la nuit, soit plus de huit fois plus (figure III.6). Comme il y a très peu d'activité légitime la nuit, le </w:t>
      </w:r>
      <w:r>
        <w:rPr>
          <w:b/>
          <w:sz w:val="24"/>
        </w:rPr>
        <w:t>taux de fraude</w:t>
      </w:r>
      <w:r>
        <w:rPr>
          <w:sz w:val="24"/>
        </w:rPr>
        <w:t xml:space="preserve"> y atteint 13 à 18 % entre 2 h et 4 h, contre moins de 1 % en journée. Aucune variation notable n'apparaît selon le jour de la semaine (1,2 % à 1,4 %).</w:t>
      </w:r>
    </w:p>
    <w:p>
      <w:pPr>
        <w:keepNext/>
        <w:spacing w:before="160" w:after="40"/>
        <w:jc w:val="center"/>
      </w:pPr>
      <w:r>
        <w:drawing>
          <wp:inline xmlns:a="http://schemas.openxmlformats.org/drawingml/2006/main" xmlns:pic="http://schemas.openxmlformats.org/drawingml/2006/picture">
            <wp:extent cx="5580000" cy="2249583"/>
            <wp:docPr id="47" name="Picture 47"/>
            <wp:cNvGraphicFramePr>
              <a:graphicFrameLocks noChangeAspect="1"/>
            </wp:cNvGraphicFramePr>
            <a:graphic>
              <a:graphicData uri="http://schemas.openxmlformats.org/drawingml/2006/picture">
                <pic:pic>
                  <pic:nvPicPr>
                    <pic:cNvPr id="0" name="fig_III_04_horaires.png"/>
                    <pic:cNvPicPr/>
                  </pic:nvPicPr>
                  <pic:blipFill>
                    <a:blip r:embed="rId21"/>
                    <a:stretch>
                      <a:fillRect/>
                    </a:stretch>
                  </pic:blipFill>
                  <pic:spPr>
                    <a:xfrm>
                      <a:off x="0" y="0"/>
                      <a:ext cx="5580000" cy="2249583"/>
                    </a:xfrm>
                    <a:prstGeom prst="rect"/>
                  </pic:spPr>
                </pic:pic>
              </a:graphicData>
            </a:graphic>
          </wp:inline>
        </w:drawing>
      </w:r>
    </w:p>
    <w:p>
      <w:pPr>
        <w:pStyle w:val="Légendefigure"/>
        <w:spacing w:before="40" w:after="240"/>
        <w:jc w:val="center"/>
      </w:pPr>
      <w:r>
        <w:rPr>
          <w:i/>
          <w:sz w:val="20"/>
        </w:rPr>
        <w:t>Figure III.6 — Répartition des opérations par heure et taux de fraude par heure.</w:t>
      </w:r>
    </w:p>
    <w:p>
      <w:pPr>
        <w:pStyle w:val="Titre4"/>
        <w:keepNext/>
        <w:numPr>
          <w:numId w:val="0"/>
        </w:numPr>
        <w:spacing w:before="200" w:after="120"/>
        <w:ind w:left="0" w:firstLine="0"/>
        <w:jc w:val="left"/>
      </w:pPr>
      <w:r>
        <w:rPr>
          <w:b/>
          <w:i/>
          <w:color w:val="000000"/>
          <w:sz w:val="25"/>
        </w:rPr>
        <w:t>1.6 Structure par client et par contrepartie</w:t>
      </w:r>
    </w:p>
    <w:p>
      <w:pPr>
        <w:spacing w:before="0" w:after="120" w:line="360" w:lineRule="auto"/>
        <w:jc w:val="both"/>
      </w:pPr>
      <w:r>
        <w:rPr>
          <w:sz w:val="24"/>
        </w:rPr>
        <w:t>Les 500 clients effectuent de 20 à 15 013 opérations, 861 en médiane ; la distribution est très étalée, ce qui impose de normaliser par client. Un fait doit être signalé : 461 des 500 clients (92 %) subissent au moins un épisode de fraude, avec une médiane de 13 opérations frauduleuses par victime. Cette densité est bien supérieure à celle d'un portefeuille réel et vient du faible nombre de clients simulés ; elle limite la portée des conclusions, notamment pour le bootstrap par client, qui repose sur 500 unités.</w:t>
      </w:r>
    </w:p>
    <w:p>
      <w:pPr>
        <w:spacing w:before="0" w:after="120" w:line="360" w:lineRule="auto"/>
        <w:jc w:val="both"/>
      </w:pPr>
      <w:r>
        <w:rPr>
          <w:sz w:val="24"/>
        </w:rPr>
        <w:t>Côté contreparties, 18 396 portefeuilles reçoivent ou envoient des transferts, dont 13 096 sont partagés par au moins deux clients ; 400 de ces portefeuilles partagés ont reçu de l'argent frauduleux : ce sont les comptes mules, que l'analyse de réseau cherchera à relier.</w:t>
      </w:r>
    </w:p>
    <w:p>
      <w:pPr>
        <w:pStyle w:val="Titre4"/>
        <w:keepNext/>
        <w:numPr>
          <w:numId w:val="0"/>
        </w:numPr>
        <w:spacing w:before="200" w:after="120"/>
        <w:ind w:left="0" w:firstLine="0"/>
        <w:jc w:val="left"/>
      </w:pPr>
      <w:r>
        <w:rPr>
          <w:b/>
          <w:i/>
          <w:color w:val="000000"/>
          <w:sz w:val="25"/>
        </w:rPr>
        <w:t>1.7 Relations entre variables</w:t>
      </w:r>
    </w:p>
    <w:p>
      <w:pPr>
        <w:spacing w:before="0" w:after="120" w:line="360" w:lineRule="auto"/>
        <w:jc w:val="both"/>
      </w:pPr>
      <w:r>
        <w:rPr>
          <w:sz w:val="24"/>
        </w:rPr>
        <w:t>Sur un échantillon de 200 000 opérations, les variables les plus corrélées à la fraude sont le nombre de clients partageant l'appareil (corrélation de 0,70), la nouveauté de l'appareil (0,47), le nombre passé d'utilisations de l'appareil (</w:t>
      </w:r>
      <m:oMath>
        <m:r>
          <m:t>−0,29</m:t>
        </m:r>
      </m:oMath>
      <w:r>
        <w:rPr>
          <w:sz w:val="24"/>
        </w:rPr>
        <w:t>), l'adresse IP étrangère (0,26), le nombre de débits sur une heure (0,22), le rapport au montant habituel (0,19) et la nouveauté du destinataire (0,19) (tableau III.6, figure III.7).</w:t>
      </w:r>
    </w:p>
    <w:p>
      <w:pPr>
        <w:pStyle w:val="Légendetableau"/>
        <w:keepNext/>
        <w:spacing w:before="200" w:after="80"/>
        <w:jc w:val="center"/>
      </w:pPr>
      <w:r>
        <w:rPr>
          <w:b/>
          <w:sz w:val="20"/>
        </w:rPr>
        <w:t>Tableau III.6 — Variables les plus corrélées à la cible (corrélation de Pearson).</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6723"/>
        <w:gridCol w:w="2666"/>
      </w:tblGrid>
      <w:tr>
        <w:trPr>
          <w:tblHeader w:val="true"/>
        </w:trPr>
        <w:tc>
          <w:tcPr>
            <w:tcW w:type="dxa" w:w="6723"/>
            <w:shd w:val="clear" w:color="auto" w:fill="D9E2F3"/>
          </w:tcPr>
          <w:p>
            <w:pPr>
              <w:spacing w:after="20" w:before="20" w:line="240" w:lineRule="auto"/>
              <w:jc w:val="left"/>
            </w:pPr>
            <w:r/>
            <w:r>
              <w:rPr>
                <w:b/>
                <w:sz w:val="20"/>
              </w:rPr>
              <w:t>Variable</w:t>
            </w:r>
          </w:p>
        </w:tc>
        <w:tc>
          <w:tcPr>
            <w:tcW w:type="dxa" w:w="2666"/>
            <w:shd w:val="clear" w:color="auto" w:fill="D9E2F3"/>
          </w:tcPr>
          <w:p>
            <w:pPr>
              <w:spacing w:after="20" w:before="20" w:line="240" w:lineRule="auto"/>
              <w:jc w:val="left"/>
            </w:pPr>
            <w:r/>
            <w:r>
              <w:rPr>
                <w:b/>
                <w:sz w:val="20"/>
              </w:rPr>
              <w:t>Corrélation avec la fraude</w:t>
            </w:r>
          </w:p>
        </w:tc>
      </w:tr>
      <w:tr>
        <w:trPr>
          <w:cantSplit w:val="true"/>
        </w:trPr>
        <w:tc>
          <w:tcPr>
            <w:tcW w:type="dxa" w:w="6723"/>
          </w:tcPr>
          <w:p>
            <w:pPr>
              <w:spacing w:after="20" w:before="20" w:line="240" w:lineRule="auto"/>
              <w:jc w:val="left"/>
            </w:pPr>
            <w:r/>
            <w:r>
              <w:rPr>
                <w:rFonts w:ascii="Courier New" w:hAnsi="Courier New"/>
                <w:b w:val="0"/>
                <w:sz w:val="16"/>
              </w:rPr>
              <w:t>device_n_users</w:t>
            </w:r>
            <w:r>
              <w:rPr>
                <w:sz w:val="20"/>
              </w:rPr>
              <w:t xml:space="preserve"> (clients partageant l'appareil)</w:t>
            </w:r>
          </w:p>
        </w:tc>
        <w:tc>
          <w:tcPr>
            <w:tcW w:type="dxa" w:w="2666"/>
          </w:tcPr>
          <w:p>
            <w:pPr>
              <w:spacing w:after="20" w:before="20" w:line="240" w:lineRule="auto"/>
              <w:jc w:val="left"/>
            </w:pPr>
            <w:r/>
            <w:r>
              <w:rPr>
                <w:sz w:val="20"/>
              </w:rPr>
              <w:t>0,70</w:t>
            </w:r>
          </w:p>
        </w:tc>
      </w:tr>
      <w:tr>
        <w:trPr>
          <w:cantSplit w:val="true"/>
        </w:trPr>
        <w:tc>
          <w:tcPr>
            <w:tcW w:type="dxa" w:w="6723"/>
          </w:tcPr>
          <w:p>
            <w:pPr>
              <w:spacing w:after="20" w:before="20" w:line="240" w:lineRule="auto"/>
              <w:jc w:val="left"/>
            </w:pPr>
            <w:r/>
            <w:r>
              <w:rPr>
                <w:rFonts w:ascii="Courier New" w:hAnsi="Courier New"/>
                <w:b w:val="0"/>
                <w:sz w:val="16"/>
              </w:rPr>
              <w:t>is_new_device</w:t>
            </w:r>
          </w:p>
        </w:tc>
        <w:tc>
          <w:tcPr>
            <w:tcW w:type="dxa" w:w="2666"/>
          </w:tcPr>
          <w:p>
            <w:pPr>
              <w:spacing w:after="20" w:before="20" w:line="240" w:lineRule="auto"/>
              <w:jc w:val="left"/>
            </w:pPr>
            <w:r/>
            <w:r>
              <w:rPr>
                <w:sz w:val="20"/>
              </w:rPr>
              <w:t>0,47</w:t>
            </w:r>
          </w:p>
        </w:tc>
      </w:tr>
      <w:tr>
        <w:trPr>
          <w:cantSplit w:val="true"/>
        </w:trPr>
        <w:tc>
          <w:tcPr>
            <w:tcW w:type="dxa" w:w="6723"/>
          </w:tcPr>
          <w:p>
            <w:pPr>
              <w:spacing w:after="20" w:before="20" w:line="240" w:lineRule="auto"/>
              <w:jc w:val="left"/>
            </w:pPr>
            <w:r/>
            <w:r>
              <w:rPr>
                <w:rFonts w:ascii="Courier New" w:hAnsi="Courier New"/>
                <w:b w:val="0"/>
                <w:sz w:val="16"/>
              </w:rPr>
              <w:t>log_device_prior_uses</w:t>
            </w:r>
          </w:p>
        </w:tc>
        <w:tc>
          <w:tcPr>
            <w:tcW w:type="dxa" w:w="2666"/>
          </w:tcPr>
          <w:p>
            <w:pPr>
              <w:spacing w:after="20" w:before="20" w:line="240" w:lineRule="auto"/>
              <w:jc w:val="left"/>
            </w:pPr>
            <w:r/>
            <w:r>
              <w:rPr>
                <w:sz w:val="20"/>
              </w:rPr>
              <w:t>−0,29</w:t>
            </w:r>
          </w:p>
        </w:tc>
      </w:tr>
      <w:tr>
        <w:trPr>
          <w:cantSplit w:val="true"/>
        </w:trPr>
        <w:tc>
          <w:tcPr>
            <w:tcW w:type="dxa" w:w="6723"/>
          </w:tcPr>
          <w:p>
            <w:pPr>
              <w:spacing w:after="20" w:before="20" w:line="240" w:lineRule="auto"/>
              <w:jc w:val="left"/>
            </w:pPr>
            <w:r/>
            <w:r>
              <w:rPr>
                <w:rFonts w:ascii="Courier New" w:hAnsi="Courier New"/>
                <w:b w:val="0"/>
                <w:sz w:val="16"/>
              </w:rPr>
              <w:t>is_foreign_ip</w:t>
            </w:r>
          </w:p>
        </w:tc>
        <w:tc>
          <w:tcPr>
            <w:tcW w:type="dxa" w:w="2666"/>
          </w:tcPr>
          <w:p>
            <w:pPr>
              <w:spacing w:after="20" w:before="20" w:line="240" w:lineRule="auto"/>
              <w:jc w:val="left"/>
            </w:pPr>
            <w:r/>
            <w:r>
              <w:rPr>
                <w:sz w:val="20"/>
              </w:rPr>
              <w:t>0,26</w:t>
            </w:r>
          </w:p>
        </w:tc>
      </w:tr>
      <w:tr>
        <w:trPr>
          <w:cantSplit w:val="true"/>
        </w:trPr>
        <w:tc>
          <w:tcPr>
            <w:tcW w:type="dxa" w:w="6723"/>
          </w:tcPr>
          <w:p>
            <w:pPr>
              <w:spacing w:after="20" w:before="20" w:line="240" w:lineRule="auto"/>
              <w:jc w:val="left"/>
            </w:pPr>
            <w:r/>
            <w:r>
              <w:rPr>
                <w:rFonts w:ascii="Courier New" w:hAnsi="Courier New"/>
                <w:b w:val="0"/>
                <w:sz w:val="16"/>
              </w:rPr>
              <w:t>debit_count_1h</w:t>
            </w:r>
          </w:p>
        </w:tc>
        <w:tc>
          <w:tcPr>
            <w:tcW w:type="dxa" w:w="2666"/>
          </w:tcPr>
          <w:p>
            <w:pPr>
              <w:spacing w:after="20" w:before="20" w:line="240" w:lineRule="auto"/>
              <w:jc w:val="left"/>
            </w:pPr>
            <w:r/>
            <w:r>
              <w:rPr>
                <w:sz w:val="20"/>
              </w:rPr>
              <w:t>0,22</w:t>
            </w:r>
          </w:p>
        </w:tc>
      </w:tr>
      <w:tr>
        <w:trPr>
          <w:cantSplit w:val="true"/>
        </w:trPr>
        <w:tc>
          <w:tcPr>
            <w:tcW w:type="dxa" w:w="6723"/>
          </w:tcPr>
          <w:p>
            <w:pPr>
              <w:spacing w:after="20" w:before="20" w:line="240" w:lineRule="auto"/>
              <w:jc w:val="left"/>
            </w:pPr>
            <w:r/>
            <w:r>
              <w:rPr>
                <w:rFonts w:ascii="Courier New" w:hAnsi="Courier New"/>
                <w:b w:val="0"/>
                <w:sz w:val="16"/>
              </w:rPr>
              <w:t>tx_count_1h</w:t>
            </w:r>
          </w:p>
        </w:tc>
        <w:tc>
          <w:tcPr>
            <w:tcW w:type="dxa" w:w="2666"/>
          </w:tcPr>
          <w:p>
            <w:pPr>
              <w:spacing w:after="20" w:before="20" w:line="240" w:lineRule="auto"/>
              <w:jc w:val="left"/>
            </w:pPr>
            <w:r/>
            <w:r>
              <w:rPr>
                <w:sz w:val="20"/>
              </w:rPr>
              <w:t>0,20</w:t>
            </w:r>
          </w:p>
        </w:tc>
      </w:tr>
      <w:tr>
        <w:trPr>
          <w:cantSplit w:val="true"/>
        </w:trPr>
        <w:tc>
          <w:tcPr>
            <w:tcW w:type="dxa" w:w="6723"/>
          </w:tcPr>
          <w:p>
            <w:pPr>
              <w:spacing w:after="20" w:before="20" w:line="240" w:lineRule="auto"/>
              <w:jc w:val="left"/>
            </w:pPr>
            <w:r/>
            <w:r>
              <w:rPr>
                <w:rFonts w:ascii="Courier New" w:hAnsi="Courier New"/>
                <w:b w:val="0"/>
                <w:sz w:val="16"/>
              </w:rPr>
              <w:t>amount_ratio_user_mean</w:t>
            </w:r>
          </w:p>
        </w:tc>
        <w:tc>
          <w:tcPr>
            <w:tcW w:type="dxa" w:w="2666"/>
          </w:tcPr>
          <w:p>
            <w:pPr>
              <w:spacing w:after="20" w:before="20" w:line="240" w:lineRule="auto"/>
              <w:jc w:val="left"/>
            </w:pPr>
            <w:r/>
            <w:r>
              <w:rPr>
                <w:sz w:val="20"/>
              </w:rPr>
              <w:t>0,19</w:t>
            </w:r>
          </w:p>
        </w:tc>
      </w:tr>
      <w:tr>
        <w:trPr>
          <w:cantSplit w:val="true"/>
        </w:trPr>
        <w:tc>
          <w:tcPr>
            <w:tcW w:type="dxa" w:w="6723"/>
          </w:tcPr>
          <w:p>
            <w:pPr>
              <w:spacing w:after="20" w:before="20" w:line="240" w:lineRule="auto"/>
              <w:jc w:val="left"/>
            </w:pPr>
            <w:r/>
            <w:r>
              <w:rPr>
                <w:rFonts w:ascii="Courier New" w:hAnsi="Courier New"/>
                <w:b w:val="0"/>
                <w:sz w:val="16"/>
              </w:rPr>
              <w:t>is_new_counterparty</w:t>
            </w:r>
          </w:p>
        </w:tc>
        <w:tc>
          <w:tcPr>
            <w:tcW w:type="dxa" w:w="2666"/>
          </w:tcPr>
          <w:p>
            <w:pPr>
              <w:spacing w:after="20" w:before="20" w:line="240" w:lineRule="auto"/>
              <w:jc w:val="left"/>
            </w:pPr>
            <w:r/>
            <w:r>
              <w:rPr>
                <w:sz w:val="20"/>
              </w:rPr>
              <w:t>0,19</w:t>
            </w:r>
          </w:p>
        </w:tc>
      </w:tr>
      <w:tr>
        <w:trPr>
          <w:cantSplit w:val="true"/>
        </w:trPr>
        <w:tc>
          <w:tcPr>
            <w:tcW w:type="dxa" w:w="6723"/>
          </w:tcPr>
          <w:p>
            <w:pPr>
              <w:spacing w:after="20" w:before="20" w:line="240" w:lineRule="auto"/>
              <w:jc w:val="left"/>
            </w:pPr>
            <w:r/>
            <w:r>
              <w:rPr>
                <w:rFonts w:ascii="Courier New" w:hAnsi="Courier New"/>
                <w:b w:val="0"/>
                <w:sz w:val="16"/>
              </w:rPr>
              <w:t>counterparty_n_users</w:t>
            </w:r>
          </w:p>
        </w:tc>
        <w:tc>
          <w:tcPr>
            <w:tcW w:type="dxa" w:w="2666"/>
          </w:tcPr>
          <w:p>
            <w:pPr>
              <w:spacing w:after="20" w:before="20" w:line="240" w:lineRule="auto"/>
              <w:jc w:val="left"/>
            </w:pPr>
            <w:r/>
            <w:r>
              <w:rPr>
                <w:sz w:val="20"/>
              </w:rPr>
              <w:t>0,16</w:t>
            </w:r>
          </w:p>
        </w:tc>
      </w:tr>
      <w:tr>
        <w:trPr>
          <w:cantSplit w:val="true"/>
        </w:trPr>
        <w:tc>
          <w:tcPr>
            <w:tcW w:type="dxa" w:w="6723"/>
          </w:tcPr>
          <w:p>
            <w:pPr>
              <w:spacing w:after="20" w:before="20" w:line="240" w:lineRule="auto"/>
              <w:jc w:val="left"/>
            </w:pPr>
            <w:r/>
            <w:r>
              <w:rPr>
                <w:rFonts w:ascii="Courier New" w:hAnsi="Courier New"/>
                <w:b w:val="0"/>
                <w:sz w:val="16"/>
              </w:rPr>
              <w:t>amount_to_kyc_limit</w:t>
            </w:r>
          </w:p>
        </w:tc>
        <w:tc>
          <w:tcPr>
            <w:tcW w:type="dxa" w:w="2666"/>
          </w:tcPr>
          <w:p>
            <w:pPr>
              <w:spacing w:after="20" w:before="20" w:line="240" w:lineRule="auto"/>
              <w:jc w:val="left"/>
            </w:pPr>
            <w:r/>
            <w:r>
              <w:rPr>
                <w:sz w:val="20"/>
              </w:rPr>
              <w:t>0,16</w:t>
            </w:r>
          </w:p>
        </w:tc>
      </w:tr>
    </w:tbl>
    <w:p>
      <w:pPr>
        <w:spacing w:after="120"/>
      </w:pPr>
    </w:p>
    <w:p>
      <w:pPr>
        <w:keepNext/>
        <w:spacing w:before="160" w:after="40"/>
        <w:jc w:val="center"/>
      </w:pPr>
      <w:r>
        <w:drawing>
          <wp:inline xmlns:a="http://schemas.openxmlformats.org/drawingml/2006/main" xmlns:pic="http://schemas.openxmlformats.org/drawingml/2006/picture">
            <wp:extent cx="5580000" cy="4869709"/>
            <wp:docPr id="48" name="Picture 48"/>
            <wp:cNvGraphicFramePr>
              <a:graphicFrameLocks noChangeAspect="1"/>
            </wp:cNvGraphicFramePr>
            <a:graphic>
              <a:graphicData uri="http://schemas.openxmlformats.org/drawingml/2006/picture">
                <pic:pic>
                  <pic:nvPicPr>
                    <pic:cNvPr id="0" name="fig_III_07_correlations.png"/>
                    <pic:cNvPicPr/>
                  </pic:nvPicPr>
                  <pic:blipFill>
                    <a:blip r:embed="rId22"/>
                    <a:stretch>
                      <a:fillRect/>
                    </a:stretch>
                  </pic:blipFill>
                  <pic:spPr>
                    <a:xfrm>
                      <a:off x="0" y="0"/>
                      <a:ext cx="5580000" cy="4869709"/>
                    </a:xfrm>
                    <a:prstGeom prst="rect"/>
                  </pic:spPr>
                </pic:pic>
              </a:graphicData>
            </a:graphic>
          </wp:inline>
        </w:drawing>
      </w:r>
    </w:p>
    <w:p>
      <w:pPr>
        <w:pStyle w:val="Légendefigure"/>
        <w:spacing w:before="40" w:after="240"/>
        <w:jc w:val="center"/>
      </w:pPr>
      <w:r>
        <w:rPr>
          <w:i/>
          <w:sz w:val="20"/>
        </w:rPr>
        <w:t>Figure III.7 — Corrélations entre les 16 variables les plus liées à la fraude.</w:t>
      </w:r>
    </w:p>
    <w:p>
      <w:pPr>
        <w:spacing w:before="0" w:after="120" w:line="360" w:lineRule="auto"/>
        <w:jc w:val="both"/>
      </w:pPr>
      <w:r>
        <w:rPr>
          <w:sz w:val="24"/>
        </w:rPr>
        <w:t xml:space="preserve">La carte révèle aussi de la </w:t>
      </w:r>
      <w:r>
        <w:rPr>
          <w:b/>
          <w:sz w:val="24"/>
        </w:rPr>
        <w:t>redondance</w:t>
      </w:r>
      <w:r>
        <w:rPr>
          <w:sz w:val="24"/>
        </w:rPr>
        <w:t xml:space="preserve"> : </w:t>
      </w:r>
      <w:r>
        <w:rPr>
          <w:rFonts w:ascii="Courier New" w:hAnsi="Courier New"/>
          <w:b w:val="0"/>
          <w:sz w:val="20"/>
        </w:rPr>
        <w:t>night_unusual</w:t>
      </w:r>
      <w:r>
        <w:rPr>
          <w:sz w:val="24"/>
        </w:rPr>
        <w:t xml:space="preserve"> et </w:t>
      </w:r>
      <w:r>
        <w:rPr>
          <w:rFonts w:ascii="Courier New" w:hAnsi="Courier New"/>
          <w:b w:val="0"/>
          <w:sz w:val="20"/>
        </w:rPr>
        <w:t>is_night</w:t>
      </w:r>
      <w:r>
        <w:rPr>
          <w:sz w:val="24"/>
        </w:rPr>
        <w:t xml:space="preserve"> sont quasi identiques (0,999) ; </w:t>
      </w:r>
      <w:r>
        <w:rPr>
          <w:rFonts w:ascii="Courier New" w:hAnsi="Courier New"/>
          <w:b w:val="0"/>
          <w:sz w:val="20"/>
        </w:rPr>
        <w:t>amount_ratio_user_mean</w:t>
      </w:r>
      <w:r>
        <w:rPr>
          <w:sz w:val="24"/>
        </w:rPr>
        <w:t xml:space="preserve"> et </w:t>
      </w:r>
      <w:r>
        <w:rPr>
          <w:rFonts w:ascii="Courier New" w:hAnsi="Courier New"/>
          <w:b w:val="0"/>
          <w:sz w:val="20"/>
        </w:rPr>
        <w:t>amount_zscore_user</w:t>
      </w:r>
      <w:r>
        <w:rPr>
          <w:sz w:val="24"/>
        </w:rPr>
        <w:t xml:space="preserve"> mesurent presque la même chose (0,94) ; le nombre de débits et le nombre d'opérations sur une heure sont corrélés à 0,84. Cette redondance explique qu'en ablation, retirer toute une famille de variables temporelles coûte peu, d'autres variables compensant.</w:t>
      </w:r>
    </w:p>
    <w:p>
      <w:pPr>
        <w:pStyle w:val="Titre4"/>
        <w:keepNext/>
        <w:numPr>
          <w:numId w:val="0"/>
        </w:numPr>
        <w:spacing w:before="200" w:after="120"/>
        <w:ind w:left="0" w:firstLine="0"/>
        <w:jc w:val="left"/>
      </w:pPr>
      <w:r>
        <w:rPr>
          <w:b/>
          <w:i/>
          <w:color w:val="000000"/>
          <w:sz w:val="25"/>
        </w:rPr>
        <w:t>1.8 Enseignements pour la modélisation</w:t>
      </w:r>
    </w:p>
    <w:p>
      <w:pPr>
        <w:spacing w:before="0" w:after="120" w:line="360" w:lineRule="auto"/>
        <w:jc w:val="both"/>
      </w:pPr>
      <w:r>
        <w:rPr>
          <w:sz w:val="24"/>
        </w:rPr>
        <w:t xml:space="preserve">L'analyse exploratoire conduit à cinq décisions de conception, toutes déjà prises dans la méthodologie : (1) la PR-AUC plutôt que l'exactitude, à cause du déséquilibre de 74 pour 1 ; (2) le logarithme des montants, à cause de leur asymétrie ; (3) des variables relatives au profil de chaque client, à cause de l'hétérogénéité des clients ; (4) des variables d'horaire cyclique et de nuit inhabituelle, à cause du profil diurne de l'activité légitime ; (5) un découpage chronologique, à cause de la dérive des typologies. Elle signale aussi une </w:t>
      </w:r>
      <w:r>
        <w:rPr>
          <w:b/>
          <w:sz w:val="24"/>
        </w:rPr>
        <w:t>précaution</w:t>
      </w:r>
      <w:r>
        <w:rPr>
          <w:sz w:val="24"/>
        </w:rPr>
        <w:t xml:space="preserve"> : la variable la plus corrélée à la fraude, le nombre de clients par appareil, bénéficie du fait que le générateur réutilise un nombre fini d'appareils de fraudeurs (150) sur de nombreuses victimes. Une partie de sa force est donc propre à la simulation.</w:t>
      </w:r>
    </w:p>
    <w:p>
      <w:pPr>
        <w:pStyle w:val="Titre3"/>
        <w:keepNext/>
        <w:numPr>
          <w:numId w:val="0"/>
        </w:numPr>
        <w:spacing w:before="280" w:after="120"/>
        <w:ind w:left="0" w:firstLine="0"/>
        <w:jc w:val="left"/>
      </w:pPr>
      <w:r>
        <w:rPr>
          <w:b/>
          <w:color w:val="1F2A44"/>
          <w:sz w:val="28"/>
        </w:rPr>
        <w:t>2. Résultats des modèles</w:t>
      </w:r>
    </w:p>
    <w:p>
      <w:pPr>
        <w:pStyle w:val="Titre4"/>
        <w:keepNext/>
        <w:numPr>
          <w:numId w:val="0"/>
        </w:numPr>
        <w:spacing w:before="200" w:after="120"/>
        <w:ind w:left="0" w:firstLine="0"/>
        <w:jc w:val="left"/>
      </w:pPr>
      <w:r>
        <w:rPr>
          <w:b/>
          <w:i/>
          <w:color w:val="000000"/>
          <w:sz w:val="25"/>
        </w:rPr>
        <w:t>2.1 Comparaison des huit méthodes</w:t>
      </w:r>
    </w:p>
    <w:p>
      <w:pPr>
        <w:spacing w:before="0" w:after="120" w:line="360" w:lineRule="auto"/>
        <w:jc w:val="both"/>
      </w:pPr>
      <w:r>
        <w:rPr>
          <w:sz w:val="24"/>
        </w:rPr>
        <w:t>Les huit méthodes sont évaluées sur le même jeu de test (13/12/2024 au 31/12/2025 : 183 240 transactions dont 2 437 fraudes, jamais vues pendant l'apprentissage), avec les mêmes 58 variables et un seuil fixé sur la validation (tableau III.7).</w:t>
      </w:r>
    </w:p>
    <w:p>
      <w:pPr>
        <w:pStyle w:val="Légendetableau"/>
        <w:keepNext/>
        <w:spacing w:before="200" w:after="80"/>
        <w:jc w:val="center"/>
      </w:pPr>
      <w:r>
        <w:rPr>
          <w:b/>
          <w:sz w:val="20"/>
        </w:rPr>
        <w:t>Tableau III.7 — Performances des méthodes sur le jeu de test.</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2390"/>
        <w:gridCol w:w="1024"/>
        <w:gridCol w:w="1195"/>
        <w:gridCol w:w="1536"/>
        <w:gridCol w:w="1024"/>
        <w:gridCol w:w="853"/>
        <w:gridCol w:w="1365"/>
      </w:tblGrid>
      <w:tr>
        <w:trPr>
          <w:tblHeader w:val="true"/>
        </w:trPr>
        <w:tc>
          <w:tcPr>
            <w:tcW w:type="dxa" w:w="2390"/>
            <w:shd w:val="clear" w:color="auto" w:fill="D9E2F3"/>
          </w:tcPr>
          <w:p>
            <w:pPr>
              <w:spacing w:after="20" w:before="20" w:line="240" w:lineRule="auto"/>
              <w:jc w:val="left"/>
            </w:pPr>
            <w:r/>
            <w:r>
              <w:rPr>
                <w:b/>
                <w:sz w:val="16"/>
              </w:rPr>
              <w:t>Méthode</w:t>
            </w:r>
          </w:p>
        </w:tc>
        <w:tc>
          <w:tcPr>
            <w:tcW w:type="dxa" w:w="1024"/>
            <w:shd w:val="clear" w:color="auto" w:fill="D9E2F3"/>
          </w:tcPr>
          <w:p>
            <w:pPr>
              <w:spacing w:after="20" w:before="20" w:line="240" w:lineRule="auto"/>
              <w:jc w:val="left"/>
            </w:pPr>
            <w:r/>
            <w:r>
              <w:rPr>
                <w:b/>
                <w:sz w:val="16"/>
              </w:rPr>
              <w:t>PR-AUC</w:t>
            </w:r>
          </w:p>
        </w:tc>
        <w:tc>
          <w:tcPr>
            <w:tcW w:type="dxa" w:w="1195"/>
            <w:shd w:val="clear" w:color="auto" w:fill="D9E2F3"/>
          </w:tcPr>
          <w:p>
            <w:pPr>
              <w:spacing w:after="20" w:before="20" w:line="240" w:lineRule="auto"/>
              <w:jc w:val="left"/>
            </w:pPr>
            <w:r/>
            <w:r>
              <w:rPr>
                <w:b/>
                <w:sz w:val="16"/>
              </w:rPr>
              <w:t>ROC-AUC</w:t>
            </w:r>
          </w:p>
        </w:tc>
        <w:tc>
          <w:tcPr>
            <w:tcW w:type="dxa" w:w="1536"/>
            <w:shd w:val="clear" w:color="auto" w:fill="D9E2F3"/>
          </w:tcPr>
          <w:p>
            <w:pPr>
              <w:spacing w:after="20" w:before="20" w:line="240" w:lineRule="auto"/>
              <w:jc w:val="left"/>
            </w:pPr>
            <w:r/>
            <w:r>
              <w:rPr>
                <w:b/>
                <w:sz w:val="16"/>
              </w:rPr>
              <w:t>Précision</w:t>
            </w:r>
          </w:p>
        </w:tc>
        <w:tc>
          <w:tcPr>
            <w:tcW w:type="dxa" w:w="1024"/>
            <w:shd w:val="clear" w:color="auto" w:fill="D9E2F3"/>
          </w:tcPr>
          <w:p>
            <w:pPr>
              <w:spacing w:after="20" w:before="20" w:line="240" w:lineRule="auto"/>
              <w:jc w:val="left"/>
            </w:pPr>
            <w:r/>
            <w:r>
              <w:rPr>
                <w:b/>
                <w:sz w:val="16"/>
              </w:rPr>
              <w:t>Rappel</w:t>
            </w:r>
          </w:p>
        </w:tc>
        <w:tc>
          <w:tcPr>
            <w:tcW w:type="dxa" w:w="853"/>
            <w:shd w:val="clear" w:color="auto" w:fill="D9E2F3"/>
          </w:tcPr>
          <w:p>
            <w:pPr>
              <w:spacing w:after="20" w:before="20" w:line="240" w:lineRule="auto"/>
              <w:jc w:val="left"/>
            </w:pPr>
            <w:r/>
            <w:r>
              <w:rPr>
                <w:b/>
                <w:sz w:val="16"/>
              </w:rPr>
              <w:t>F1</w:t>
            </w:r>
          </w:p>
        </w:tc>
        <w:tc>
          <w:tcPr>
            <w:tcW w:type="dxa" w:w="1365"/>
            <w:shd w:val="clear" w:color="auto" w:fill="D9E2F3"/>
          </w:tcPr>
          <w:p>
            <w:pPr>
              <w:spacing w:after="20" w:before="20" w:line="240" w:lineRule="auto"/>
              <w:jc w:val="left"/>
            </w:pPr>
            <w:r/>
            <w:r>
              <w:rPr>
                <w:b/>
                <w:sz w:val="16"/>
              </w:rPr>
              <w:t>Taux de faux positifs</w:t>
            </w:r>
          </w:p>
        </w:tc>
      </w:tr>
      <w:tr>
        <w:trPr>
          <w:cantSplit w:val="true"/>
        </w:trPr>
        <w:tc>
          <w:tcPr>
            <w:tcW w:type="dxa" w:w="2390"/>
          </w:tcPr>
          <w:p>
            <w:pPr>
              <w:spacing w:after="20" w:before="20" w:line="240" w:lineRule="auto"/>
              <w:jc w:val="left"/>
            </w:pPr>
            <w:r/>
            <w:r>
              <w:rPr>
                <w:b/>
                <w:sz w:val="16"/>
              </w:rPr>
              <w:t>Hybride</w:t>
            </w:r>
          </w:p>
        </w:tc>
        <w:tc>
          <w:tcPr>
            <w:tcW w:type="dxa" w:w="1024"/>
          </w:tcPr>
          <w:p>
            <w:pPr>
              <w:spacing w:after="20" w:before="20" w:line="240" w:lineRule="auto"/>
              <w:jc w:val="left"/>
            </w:pPr>
            <w:r/>
            <w:r>
              <w:rPr>
                <w:b/>
                <w:sz w:val="16"/>
              </w:rPr>
              <w:t>0,9955</w:t>
            </w:r>
          </w:p>
        </w:tc>
        <w:tc>
          <w:tcPr>
            <w:tcW w:type="dxa" w:w="1195"/>
          </w:tcPr>
          <w:p>
            <w:pPr>
              <w:spacing w:after="20" w:before="20" w:line="240" w:lineRule="auto"/>
              <w:jc w:val="left"/>
            </w:pPr>
            <w:r/>
            <w:r>
              <w:rPr>
                <w:sz w:val="16"/>
              </w:rPr>
              <w:t>0,9999</w:t>
            </w:r>
          </w:p>
        </w:tc>
        <w:tc>
          <w:tcPr>
            <w:tcW w:type="dxa" w:w="1536"/>
          </w:tcPr>
          <w:p>
            <w:pPr>
              <w:spacing w:after="20" w:before="20" w:line="240" w:lineRule="auto"/>
              <w:jc w:val="left"/>
            </w:pPr>
            <w:r/>
            <w:r>
              <w:rPr>
                <w:b/>
                <w:sz w:val="16"/>
              </w:rPr>
              <w:t>0,951</w:t>
            </w:r>
          </w:p>
        </w:tc>
        <w:tc>
          <w:tcPr>
            <w:tcW w:type="dxa" w:w="1024"/>
          </w:tcPr>
          <w:p>
            <w:pPr>
              <w:spacing w:after="20" w:before="20" w:line="240" w:lineRule="auto"/>
              <w:jc w:val="left"/>
            </w:pPr>
            <w:r/>
            <w:r>
              <w:rPr>
                <w:b/>
                <w:sz w:val="16"/>
              </w:rPr>
              <w:t>0,978</w:t>
            </w:r>
          </w:p>
        </w:tc>
        <w:tc>
          <w:tcPr>
            <w:tcW w:type="dxa" w:w="853"/>
          </w:tcPr>
          <w:p>
            <w:pPr>
              <w:spacing w:after="20" w:before="20" w:line="240" w:lineRule="auto"/>
              <w:jc w:val="left"/>
            </w:pPr>
            <w:r/>
            <w:r>
              <w:rPr>
                <w:b/>
                <w:sz w:val="16"/>
              </w:rPr>
              <w:t>0,964</w:t>
            </w:r>
          </w:p>
        </w:tc>
        <w:tc>
          <w:tcPr>
            <w:tcW w:type="dxa" w:w="1365"/>
          </w:tcPr>
          <w:p>
            <w:pPr>
              <w:spacing w:after="20" w:before="20" w:line="240" w:lineRule="auto"/>
              <w:jc w:val="left"/>
            </w:pPr>
            <w:r/>
            <w:r>
              <w:rPr>
                <w:sz w:val="16"/>
              </w:rPr>
              <w:t>0,067 %</w:t>
            </w:r>
          </w:p>
        </w:tc>
      </w:tr>
      <w:tr>
        <w:trPr>
          <w:cantSplit w:val="true"/>
        </w:trPr>
        <w:tc>
          <w:tcPr>
            <w:tcW w:type="dxa" w:w="2390"/>
          </w:tcPr>
          <w:p>
            <w:pPr>
              <w:spacing w:after="20" w:before="20" w:line="240" w:lineRule="auto"/>
              <w:jc w:val="left"/>
            </w:pPr>
            <w:r/>
            <w:r>
              <w:rPr>
                <w:sz w:val="16"/>
              </w:rPr>
              <w:t>XGBoost seul</w:t>
            </w:r>
          </w:p>
        </w:tc>
        <w:tc>
          <w:tcPr>
            <w:tcW w:type="dxa" w:w="1024"/>
          </w:tcPr>
          <w:p>
            <w:pPr>
              <w:spacing w:after="20" w:before="20" w:line="240" w:lineRule="auto"/>
              <w:jc w:val="left"/>
            </w:pPr>
            <w:r/>
            <w:r>
              <w:rPr>
                <w:sz w:val="16"/>
              </w:rPr>
              <w:t>0,9895</w:t>
            </w:r>
          </w:p>
        </w:tc>
        <w:tc>
          <w:tcPr>
            <w:tcW w:type="dxa" w:w="1195"/>
          </w:tcPr>
          <w:p>
            <w:pPr>
              <w:spacing w:after="20" w:before="20" w:line="240" w:lineRule="auto"/>
              <w:jc w:val="left"/>
            </w:pPr>
            <w:r/>
            <w:r>
              <w:rPr>
                <w:sz w:val="16"/>
              </w:rPr>
              <w:t>0,9998</w:t>
            </w:r>
          </w:p>
        </w:tc>
        <w:tc>
          <w:tcPr>
            <w:tcW w:type="dxa" w:w="1536"/>
          </w:tcPr>
          <w:p>
            <w:pPr>
              <w:spacing w:after="20" w:before="20" w:line="240" w:lineRule="auto"/>
              <w:jc w:val="left"/>
            </w:pPr>
            <w:r/>
            <w:r>
              <w:rPr>
                <w:sz w:val="16"/>
              </w:rPr>
              <w:t>0,918</w:t>
            </w:r>
          </w:p>
        </w:tc>
        <w:tc>
          <w:tcPr>
            <w:tcW w:type="dxa" w:w="1024"/>
          </w:tcPr>
          <w:p>
            <w:pPr>
              <w:spacing w:after="20" w:before="20" w:line="240" w:lineRule="auto"/>
              <w:jc w:val="left"/>
            </w:pPr>
            <w:r/>
            <w:r>
              <w:rPr>
                <w:sz w:val="16"/>
              </w:rPr>
              <w:t>0,959</w:t>
            </w:r>
          </w:p>
        </w:tc>
        <w:tc>
          <w:tcPr>
            <w:tcW w:type="dxa" w:w="853"/>
          </w:tcPr>
          <w:p>
            <w:pPr>
              <w:spacing w:after="20" w:before="20" w:line="240" w:lineRule="auto"/>
              <w:jc w:val="left"/>
            </w:pPr>
            <w:r/>
            <w:r>
              <w:rPr>
                <w:sz w:val="16"/>
              </w:rPr>
              <w:t>0,938</w:t>
            </w:r>
          </w:p>
        </w:tc>
        <w:tc>
          <w:tcPr>
            <w:tcW w:type="dxa" w:w="1365"/>
          </w:tcPr>
          <w:p>
            <w:pPr>
              <w:spacing w:after="20" w:before="20" w:line="240" w:lineRule="auto"/>
              <w:jc w:val="left"/>
            </w:pPr>
            <w:r/>
            <w:r>
              <w:rPr>
                <w:sz w:val="16"/>
              </w:rPr>
              <w:t>0,116 %</w:t>
            </w:r>
          </w:p>
        </w:tc>
      </w:tr>
      <w:tr>
        <w:trPr>
          <w:cantSplit w:val="true"/>
        </w:trPr>
        <w:tc>
          <w:tcPr>
            <w:tcW w:type="dxa" w:w="2390"/>
          </w:tcPr>
          <w:p>
            <w:pPr>
              <w:spacing w:after="20" w:before="20" w:line="240" w:lineRule="auto"/>
              <w:jc w:val="left"/>
            </w:pPr>
            <w:r/>
            <w:r>
              <w:rPr>
                <w:sz w:val="16"/>
              </w:rPr>
              <w:t>LSTM-attention seul</w:t>
            </w:r>
          </w:p>
        </w:tc>
        <w:tc>
          <w:tcPr>
            <w:tcW w:type="dxa" w:w="1024"/>
          </w:tcPr>
          <w:p>
            <w:pPr>
              <w:spacing w:after="20" w:before="20" w:line="240" w:lineRule="auto"/>
              <w:jc w:val="left"/>
            </w:pPr>
            <w:r/>
            <w:r>
              <w:rPr>
                <w:sz w:val="16"/>
              </w:rPr>
              <w:t>0,9894</w:t>
            </w:r>
          </w:p>
        </w:tc>
        <w:tc>
          <w:tcPr>
            <w:tcW w:type="dxa" w:w="1195"/>
          </w:tcPr>
          <w:p>
            <w:pPr>
              <w:spacing w:after="20" w:before="20" w:line="240" w:lineRule="auto"/>
              <w:jc w:val="left"/>
            </w:pPr>
            <w:r/>
            <w:r>
              <w:rPr>
                <w:sz w:val="16"/>
              </w:rPr>
              <w:t>0,9998</w:t>
            </w:r>
          </w:p>
        </w:tc>
        <w:tc>
          <w:tcPr>
            <w:tcW w:type="dxa" w:w="1536"/>
          </w:tcPr>
          <w:p>
            <w:pPr>
              <w:spacing w:after="20" w:before="20" w:line="240" w:lineRule="auto"/>
              <w:jc w:val="left"/>
            </w:pPr>
            <w:r/>
            <w:r>
              <w:rPr>
                <w:sz w:val="16"/>
              </w:rPr>
              <w:t>0,930</w:t>
            </w:r>
          </w:p>
        </w:tc>
        <w:tc>
          <w:tcPr>
            <w:tcW w:type="dxa" w:w="1024"/>
          </w:tcPr>
          <w:p>
            <w:pPr>
              <w:spacing w:after="20" w:before="20" w:line="240" w:lineRule="auto"/>
              <w:jc w:val="left"/>
            </w:pPr>
            <w:r/>
            <w:r>
              <w:rPr>
                <w:sz w:val="16"/>
              </w:rPr>
              <w:t>0,967</w:t>
            </w:r>
          </w:p>
        </w:tc>
        <w:tc>
          <w:tcPr>
            <w:tcW w:type="dxa" w:w="853"/>
          </w:tcPr>
          <w:p>
            <w:pPr>
              <w:spacing w:after="20" w:before="20" w:line="240" w:lineRule="auto"/>
              <w:jc w:val="left"/>
            </w:pPr>
            <w:r/>
            <w:r>
              <w:rPr>
                <w:sz w:val="16"/>
              </w:rPr>
              <w:t>0,948</w:t>
            </w:r>
          </w:p>
        </w:tc>
        <w:tc>
          <w:tcPr>
            <w:tcW w:type="dxa" w:w="1365"/>
          </w:tcPr>
          <w:p>
            <w:pPr>
              <w:spacing w:after="20" w:before="20" w:line="240" w:lineRule="auto"/>
              <w:jc w:val="left"/>
            </w:pPr>
            <w:r/>
            <w:r>
              <w:rPr>
                <w:sz w:val="16"/>
              </w:rPr>
              <w:t>0,098 %</w:t>
            </w:r>
          </w:p>
        </w:tc>
      </w:tr>
      <w:tr>
        <w:trPr>
          <w:cantSplit w:val="true"/>
        </w:trPr>
        <w:tc>
          <w:tcPr>
            <w:tcW w:type="dxa" w:w="2390"/>
          </w:tcPr>
          <w:p>
            <w:pPr>
              <w:spacing w:after="20" w:before="20" w:line="240" w:lineRule="auto"/>
              <w:jc w:val="left"/>
            </w:pPr>
            <w:r/>
            <w:r>
              <w:rPr>
                <w:sz w:val="16"/>
              </w:rPr>
              <w:t>Random Forest</w:t>
            </w:r>
          </w:p>
        </w:tc>
        <w:tc>
          <w:tcPr>
            <w:tcW w:type="dxa" w:w="1024"/>
          </w:tcPr>
          <w:p>
            <w:pPr>
              <w:spacing w:after="20" w:before="20" w:line="240" w:lineRule="auto"/>
              <w:jc w:val="left"/>
            </w:pPr>
            <w:r/>
            <w:r>
              <w:rPr>
                <w:sz w:val="16"/>
              </w:rPr>
              <w:t>0,9842</w:t>
            </w:r>
          </w:p>
        </w:tc>
        <w:tc>
          <w:tcPr>
            <w:tcW w:type="dxa" w:w="1195"/>
          </w:tcPr>
          <w:p>
            <w:pPr>
              <w:spacing w:after="20" w:before="20" w:line="240" w:lineRule="auto"/>
              <w:jc w:val="left"/>
            </w:pPr>
            <w:r/>
            <w:r>
              <w:rPr>
                <w:sz w:val="16"/>
              </w:rPr>
              <w:t>0,9998</w:t>
            </w:r>
          </w:p>
        </w:tc>
        <w:tc>
          <w:tcPr>
            <w:tcW w:type="dxa" w:w="1536"/>
          </w:tcPr>
          <w:p>
            <w:pPr>
              <w:spacing w:after="20" w:before="20" w:line="240" w:lineRule="auto"/>
              <w:jc w:val="left"/>
            </w:pPr>
            <w:r/>
            <w:r>
              <w:rPr>
                <w:sz w:val="16"/>
              </w:rPr>
              <w:t>0,934</w:t>
            </w:r>
          </w:p>
        </w:tc>
        <w:tc>
          <w:tcPr>
            <w:tcW w:type="dxa" w:w="1024"/>
          </w:tcPr>
          <w:p>
            <w:pPr>
              <w:spacing w:after="20" w:before="20" w:line="240" w:lineRule="auto"/>
              <w:jc w:val="left"/>
            </w:pPr>
            <w:r/>
            <w:r>
              <w:rPr>
                <w:sz w:val="16"/>
              </w:rPr>
              <w:t>0,929</w:t>
            </w:r>
          </w:p>
        </w:tc>
        <w:tc>
          <w:tcPr>
            <w:tcW w:type="dxa" w:w="853"/>
          </w:tcPr>
          <w:p>
            <w:pPr>
              <w:spacing w:after="20" w:before="20" w:line="240" w:lineRule="auto"/>
              <w:jc w:val="left"/>
            </w:pPr>
            <w:r/>
            <w:r>
              <w:rPr>
                <w:sz w:val="16"/>
              </w:rPr>
              <w:t>0,932</w:t>
            </w:r>
          </w:p>
        </w:tc>
        <w:tc>
          <w:tcPr>
            <w:tcW w:type="dxa" w:w="1365"/>
          </w:tcPr>
          <w:p>
            <w:pPr>
              <w:spacing w:after="20" w:before="20" w:line="240" w:lineRule="auto"/>
              <w:jc w:val="left"/>
            </w:pPr>
            <w:r/>
            <w:r>
              <w:rPr>
                <w:sz w:val="16"/>
              </w:rPr>
              <w:t>0,088 %</w:t>
            </w:r>
          </w:p>
        </w:tc>
      </w:tr>
      <w:tr>
        <w:trPr>
          <w:cantSplit w:val="true"/>
        </w:trPr>
        <w:tc>
          <w:tcPr>
            <w:tcW w:type="dxa" w:w="2390"/>
          </w:tcPr>
          <w:p>
            <w:pPr>
              <w:spacing w:after="20" w:before="20" w:line="240" w:lineRule="auto"/>
              <w:jc w:val="left"/>
            </w:pPr>
            <w:r/>
            <w:r>
              <w:rPr>
                <w:sz w:val="16"/>
              </w:rPr>
              <w:t>Régression logistique</w:t>
            </w:r>
          </w:p>
        </w:tc>
        <w:tc>
          <w:tcPr>
            <w:tcW w:type="dxa" w:w="1024"/>
          </w:tcPr>
          <w:p>
            <w:pPr>
              <w:spacing w:after="20" w:before="20" w:line="240" w:lineRule="auto"/>
              <w:jc w:val="left"/>
            </w:pPr>
            <w:r/>
            <w:r>
              <w:rPr>
                <w:sz w:val="16"/>
              </w:rPr>
              <w:t>0,9513</w:t>
            </w:r>
          </w:p>
        </w:tc>
        <w:tc>
          <w:tcPr>
            <w:tcW w:type="dxa" w:w="1195"/>
          </w:tcPr>
          <w:p>
            <w:pPr>
              <w:spacing w:after="20" w:before="20" w:line="240" w:lineRule="auto"/>
              <w:jc w:val="left"/>
            </w:pPr>
            <w:r/>
            <w:r>
              <w:rPr>
                <w:sz w:val="16"/>
              </w:rPr>
              <w:t>0,9989</w:t>
            </w:r>
          </w:p>
        </w:tc>
        <w:tc>
          <w:tcPr>
            <w:tcW w:type="dxa" w:w="1536"/>
          </w:tcPr>
          <w:p>
            <w:pPr>
              <w:spacing w:after="20" w:before="20" w:line="240" w:lineRule="auto"/>
              <w:jc w:val="left"/>
            </w:pPr>
            <w:r/>
            <w:r>
              <w:rPr>
                <w:sz w:val="16"/>
              </w:rPr>
              <w:t>0,882</w:t>
            </w:r>
          </w:p>
        </w:tc>
        <w:tc>
          <w:tcPr>
            <w:tcW w:type="dxa" w:w="1024"/>
          </w:tcPr>
          <w:p>
            <w:pPr>
              <w:spacing w:after="20" w:before="20" w:line="240" w:lineRule="auto"/>
              <w:jc w:val="left"/>
            </w:pPr>
            <w:r/>
            <w:r>
              <w:rPr>
                <w:sz w:val="16"/>
              </w:rPr>
              <w:t>0,868</w:t>
            </w:r>
          </w:p>
        </w:tc>
        <w:tc>
          <w:tcPr>
            <w:tcW w:type="dxa" w:w="853"/>
          </w:tcPr>
          <w:p>
            <w:pPr>
              <w:spacing w:after="20" w:before="20" w:line="240" w:lineRule="auto"/>
              <w:jc w:val="left"/>
            </w:pPr>
            <w:r/>
            <w:r>
              <w:rPr>
                <w:sz w:val="16"/>
              </w:rPr>
              <w:t>0,875</w:t>
            </w:r>
          </w:p>
        </w:tc>
        <w:tc>
          <w:tcPr>
            <w:tcW w:type="dxa" w:w="1365"/>
          </w:tcPr>
          <w:p>
            <w:pPr>
              <w:spacing w:after="20" w:before="20" w:line="240" w:lineRule="auto"/>
              <w:jc w:val="left"/>
            </w:pPr>
            <w:r/>
            <w:r>
              <w:rPr>
                <w:sz w:val="16"/>
              </w:rPr>
              <w:t>0,157 %</w:t>
            </w:r>
          </w:p>
        </w:tc>
      </w:tr>
      <w:tr>
        <w:trPr>
          <w:cantSplit w:val="true"/>
        </w:trPr>
        <w:tc>
          <w:tcPr>
            <w:tcW w:type="dxa" w:w="2390"/>
          </w:tcPr>
          <w:p>
            <w:pPr>
              <w:spacing w:after="20" w:before="20" w:line="240" w:lineRule="auto"/>
              <w:jc w:val="left"/>
            </w:pPr>
            <w:r/>
            <w:r>
              <w:rPr>
                <w:sz w:val="16"/>
              </w:rPr>
              <w:t>Autoencodeur seul</w:t>
            </w:r>
          </w:p>
        </w:tc>
        <w:tc>
          <w:tcPr>
            <w:tcW w:type="dxa" w:w="1024"/>
          </w:tcPr>
          <w:p>
            <w:pPr>
              <w:spacing w:after="20" w:before="20" w:line="240" w:lineRule="auto"/>
              <w:jc w:val="left"/>
            </w:pPr>
            <w:r/>
            <w:r>
              <w:rPr>
                <w:sz w:val="16"/>
              </w:rPr>
              <w:t>0,7094</w:t>
            </w:r>
          </w:p>
        </w:tc>
        <w:tc>
          <w:tcPr>
            <w:tcW w:type="dxa" w:w="1195"/>
          </w:tcPr>
          <w:p>
            <w:pPr>
              <w:spacing w:after="20" w:before="20" w:line="240" w:lineRule="auto"/>
              <w:jc w:val="left"/>
            </w:pPr>
            <w:r/>
            <w:r>
              <w:rPr>
                <w:sz w:val="16"/>
              </w:rPr>
              <w:t>0,9708</w:t>
            </w:r>
          </w:p>
        </w:tc>
        <w:tc>
          <w:tcPr>
            <w:tcW w:type="dxa" w:w="1536"/>
          </w:tcPr>
          <w:p>
            <w:pPr>
              <w:spacing w:after="20" w:before="20" w:line="240" w:lineRule="auto"/>
              <w:jc w:val="left"/>
            </w:pPr>
            <w:r/>
            <w:r>
              <w:rPr>
                <w:sz w:val="16"/>
              </w:rPr>
              <w:t>0,959</w:t>
            </w:r>
          </w:p>
        </w:tc>
        <w:tc>
          <w:tcPr>
            <w:tcW w:type="dxa" w:w="1024"/>
          </w:tcPr>
          <w:p>
            <w:pPr>
              <w:spacing w:after="20" w:before="20" w:line="240" w:lineRule="auto"/>
              <w:jc w:val="left"/>
            </w:pPr>
            <w:r/>
            <w:r>
              <w:rPr>
                <w:sz w:val="16"/>
              </w:rPr>
              <w:t>0,616</w:t>
            </w:r>
          </w:p>
        </w:tc>
        <w:tc>
          <w:tcPr>
            <w:tcW w:type="dxa" w:w="853"/>
          </w:tcPr>
          <w:p>
            <w:pPr>
              <w:spacing w:after="20" w:before="20" w:line="240" w:lineRule="auto"/>
              <w:jc w:val="left"/>
            </w:pPr>
            <w:r/>
            <w:r>
              <w:rPr>
                <w:sz w:val="16"/>
              </w:rPr>
              <w:t>0,750</w:t>
            </w:r>
          </w:p>
        </w:tc>
        <w:tc>
          <w:tcPr>
            <w:tcW w:type="dxa" w:w="1365"/>
          </w:tcPr>
          <w:p>
            <w:pPr>
              <w:spacing w:after="20" w:before="20" w:line="240" w:lineRule="auto"/>
              <w:jc w:val="left"/>
            </w:pPr>
            <w:r/>
            <w:r>
              <w:rPr>
                <w:sz w:val="16"/>
              </w:rPr>
              <w:t>0,035 %</w:t>
            </w:r>
          </w:p>
        </w:tc>
      </w:tr>
      <w:tr>
        <w:trPr>
          <w:cantSplit w:val="true"/>
        </w:trPr>
        <w:tc>
          <w:tcPr>
            <w:tcW w:type="dxa" w:w="2390"/>
          </w:tcPr>
          <w:p>
            <w:pPr>
              <w:spacing w:after="20" w:before="20" w:line="240" w:lineRule="auto"/>
              <w:jc w:val="left"/>
            </w:pPr>
            <w:r/>
            <w:r>
              <w:rPr>
                <w:sz w:val="16"/>
              </w:rPr>
              <w:t>Isolation Forest</w:t>
            </w:r>
          </w:p>
        </w:tc>
        <w:tc>
          <w:tcPr>
            <w:tcW w:type="dxa" w:w="1024"/>
          </w:tcPr>
          <w:p>
            <w:pPr>
              <w:spacing w:after="20" w:before="20" w:line="240" w:lineRule="auto"/>
              <w:jc w:val="left"/>
            </w:pPr>
            <w:r/>
            <w:r>
              <w:rPr>
                <w:sz w:val="16"/>
              </w:rPr>
              <w:t>0,3913</w:t>
            </w:r>
          </w:p>
        </w:tc>
        <w:tc>
          <w:tcPr>
            <w:tcW w:type="dxa" w:w="1195"/>
          </w:tcPr>
          <w:p>
            <w:pPr>
              <w:spacing w:after="20" w:before="20" w:line="240" w:lineRule="auto"/>
              <w:jc w:val="left"/>
            </w:pPr>
            <w:r/>
            <w:r>
              <w:rPr>
                <w:sz w:val="16"/>
              </w:rPr>
              <w:t>0,9487</w:t>
            </w:r>
          </w:p>
        </w:tc>
        <w:tc>
          <w:tcPr>
            <w:tcW w:type="dxa" w:w="1536"/>
          </w:tcPr>
          <w:p>
            <w:pPr>
              <w:spacing w:after="20" w:before="20" w:line="240" w:lineRule="auto"/>
              <w:jc w:val="left"/>
            </w:pPr>
            <w:r/>
            <w:r>
              <w:rPr>
                <w:sz w:val="16"/>
              </w:rPr>
              <w:t>0,428</w:t>
            </w:r>
          </w:p>
        </w:tc>
        <w:tc>
          <w:tcPr>
            <w:tcW w:type="dxa" w:w="1024"/>
          </w:tcPr>
          <w:p>
            <w:pPr>
              <w:spacing w:after="20" w:before="20" w:line="240" w:lineRule="auto"/>
              <w:jc w:val="left"/>
            </w:pPr>
            <w:r/>
            <w:r>
              <w:rPr>
                <w:sz w:val="16"/>
              </w:rPr>
              <w:t>0,395</w:t>
            </w:r>
          </w:p>
        </w:tc>
        <w:tc>
          <w:tcPr>
            <w:tcW w:type="dxa" w:w="853"/>
          </w:tcPr>
          <w:p>
            <w:pPr>
              <w:spacing w:after="20" w:before="20" w:line="240" w:lineRule="auto"/>
              <w:jc w:val="left"/>
            </w:pPr>
            <w:r/>
            <w:r>
              <w:rPr>
                <w:sz w:val="16"/>
              </w:rPr>
              <w:t>0,411</w:t>
            </w:r>
          </w:p>
        </w:tc>
        <w:tc>
          <w:tcPr>
            <w:tcW w:type="dxa" w:w="1365"/>
          </w:tcPr>
          <w:p>
            <w:pPr>
              <w:spacing w:after="20" w:before="20" w:line="240" w:lineRule="auto"/>
              <w:jc w:val="left"/>
            </w:pPr>
            <w:r/>
            <w:r>
              <w:rPr>
                <w:sz w:val="16"/>
              </w:rPr>
              <w:t>0,710 %</w:t>
            </w:r>
          </w:p>
        </w:tc>
      </w:tr>
      <w:tr>
        <w:trPr>
          <w:cantSplit w:val="true"/>
        </w:trPr>
        <w:tc>
          <w:tcPr>
            <w:tcW w:type="dxa" w:w="2390"/>
          </w:tcPr>
          <w:p>
            <w:pPr>
              <w:spacing w:after="20" w:before="20" w:line="240" w:lineRule="auto"/>
              <w:jc w:val="left"/>
            </w:pPr>
            <w:r/>
            <w:r>
              <w:rPr>
                <w:sz w:val="16"/>
              </w:rPr>
              <w:t>Règles métier</w:t>
            </w:r>
          </w:p>
        </w:tc>
        <w:tc>
          <w:tcPr>
            <w:tcW w:type="dxa" w:w="1024"/>
          </w:tcPr>
          <w:p>
            <w:pPr>
              <w:spacing w:after="20" w:before="20" w:line="240" w:lineRule="auto"/>
              <w:jc w:val="left"/>
            </w:pPr>
            <w:r/>
            <w:r>
              <w:rPr>
                <w:sz w:val="16"/>
              </w:rPr>
              <w:t>0,2755</w:t>
            </w:r>
          </w:p>
        </w:tc>
        <w:tc>
          <w:tcPr>
            <w:tcW w:type="dxa" w:w="1195"/>
          </w:tcPr>
          <w:p>
            <w:pPr>
              <w:spacing w:after="20" w:before="20" w:line="240" w:lineRule="auto"/>
              <w:jc w:val="left"/>
            </w:pPr>
            <w:r/>
            <w:r>
              <w:rPr>
                <w:sz w:val="16"/>
              </w:rPr>
              <w:t>0,7841</w:t>
            </w:r>
          </w:p>
        </w:tc>
        <w:tc>
          <w:tcPr>
            <w:tcW w:type="dxa" w:w="1536"/>
          </w:tcPr>
          <w:p>
            <w:pPr>
              <w:spacing w:after="20" w:before="20" w:line="240" w:lineRule="auto"/>
              <w:jc w:val="left"/>
            </w:pPr>
            <w:r/>
            <w:r>
              <w:rPr>
                <w:sz w:val="16"/>
              </w:rPr>
              <w:t>0,371</w:t>
            </w:r>
          </w:p>
        </w:tc>
        <w:tc>
          <w:tcPr>
            <w:tcW w:type="dxa" w:w="1024"/>
          </w:tcPr>
          <w:p>
            <w:pPr>
              <w:spacing w:after="20" w:before="20" w:line="240" w:lineRule="auto"/>
              <w:jc w:val="left"/>
            </w:pPr>
            <w:r/>
            <w:r>
              <w:rPr>
                <w:sz w:val="16"/>
              </w:rPr>
              <w:t>0,357</w:t>
            </w:r>
          </w:p>
        </w:tc>
        <w:tc>
          <w:tcPr>
            <w:tcW w:type="dxa" w:w="853"/>
          </w:tcPr>
          <w:p>
            <w:pPr>
              <w:spacing w:after="20" w:before="20" w:line="240" w:lineRule="auto"/>
              <w:jc w:val="left"/>
            </w:pPr>
            <w:r/>
            <w:r>
              <w:rPr>
                <w:sz w:val="16"/>
              </w:rPr>
              <w:t>0,364</w:t>
            </w:r>
          </w:p>
        </w:tc>
        <w:tc>
          <w:tcPr>
            <w:tcW w:type="dxa" w:w="1365"/>
          </w:tcPr>
          <w:p>
            <w:pPr>
              <w:spacing w:after="20" w:before="20" w:line="240" w:lineRule="auto"/>
              <w:jc w:val="left"/>
            </w:pPr>
            <w:r/>
            <w:r>
              <w:rPr>
                <w:sz w:val="16"/>
              </w:rPr>
              <w:t>0,815 %</w:t>
            </w:r>
          </w:p>
        </w:tc>
      </w:tr>
    </w:tbl>
    <w:p>
      <w:pPr>
        <w:spacing w:after="120"/>
      </w:pPr>
    </w:p>
    <w:p>
      <w:pPr>
        <w:keepNext/>
        <w:spacing w:before="160" w:after="40"/>
        <w:jc w:val="center"/>
      </w:pPr>
      <w:r>
        <w:drawing>
          <wp:inline xmlns:a="http://schemas.openxmlformats.org/drawingml/2006/main" xmlns:pic="http://schemas.openxmlformats.org/drawingml/2006/picture">
            <wp:extent cx="5580000" cy="3208500"/>
            <wp:docPr id="49" name="Picture 49"/>
            <wp:cNvGraphicFramePr>
              <a:graphicFrameLocks noChangeAspect="1"/>
            </wp:cNvGraphicFramePr>
            <a:graphic>
              <a:graphicData uri="http://schemas.openxmlformats.org/drawingml/2006/picture">
                <pic:pic>
                  <pic:nvPicPr>
                    <pic:cNvPr id="0" name="comparaison_modeles.png"/>
                    <pic:cNvPicPr/>
                  </pic:nvPicPr>
                  <pic:blipFill>
                    <a:blip r:embed="rId23"/>
                    <a:stretch>
                      <a:fillRect/>
                    </a:stretch>
                  </pic:blipFill>
                  <pic:spPr>
                    <a:xfrm>
                      <a:off x="0" y="0"/>
                      <a:ext cx="5580000" cy="3208500"/>
                    </a:xfrm>
                    <a:prstGeom prst="rect"/>
                  </pic:spPr>
                </pic:pic>
              </a:graphicData>
            </a:graphic>
          </wp:inline>
        </w:drawing>
      </w:r>
    </w:p>
    <w:p>
      <w:pPr>
        <w:pStyle w:val="Légendefigure"/>
        <w:spacing w:before="40" w:after="240"/>
        <w:jc w:val="center"/>
      </w:pPr>
      <w:r>
        <w:rPr>
          <w:i/>
          <w:sz w:val="20"/>
        </w:rPr>
        <w:t>Figure III.8 — PR-AUC et F1 des méthodes comparées.</w:t>
      </w:r>
    </w:p>
    <w:p>
      <w:pPr>
        <w:spacing w:before="0" w:after="120" w:line="360" w:lineRule="auto"/>
        <w:jc w:val="both"/>
      </w:pPr>
      <w:r>
        <w:rPr>
          <w:sz w:val="24"/>
        </w:rPr>
        <w:t xml:space="preserve">La ROC-AUC est très élevée pour presque toutes les méthodes (0,95 ou plus), même pour l'Isolation Forest qui ne détecte pourtant que 39 % des fraudes : c'est la confirmation pratique du choix de la PR-AUC. Les méthodes se répartissent en trois groupes. Les </w:t>
      </w:r>
      <w:r>
        <w:rPr>
          <w:b/>
          <w:sz w:val="24"/>
        </w:rPr>
        <w:t>méthodes non supervisées et les règles</w:t>
      </w:r>
      <w:r>
        <w:rPr>
          <w:sz w:val="24"/>
        </w:rPr>
        <w:t xml:space="preserve"> (Isolation Forest, règles métier, autoencodeur seul) sont nettement insuffisantes. Les </w:t>
      </w:r>
      <w:r>
        <w:rPr>
          <w:b/>
          <w:sz w:val="24"/>
        </w:rPr>
        <w:t>méthodes supervisées</w:t>
      </w:r>
      <w:r>
        <w:rPr>
          <w:sz w:val="24"/>
        </w:rPr>
        <w:t xml:space="preserve"> (régression logistique, Random Forest, XGBoost, LSTM) atteignent de très bonnes performances, ce qui montre la valeur des variables comportementales. L'</w:t>
      </w:r>
      <w:r>
        <w:rPr>
          <w:b/>
          <w:sz w:val="24"/>
        </w:rPr>
        <w:t>hybride</w:t>
      </w:r>
      <w:r>
        <w:rPr>
          <w:sz w:val="24"/>
        </w:rPr>
        <w:t xml:space="preserve"> obtient les meilleurs résultats sur toutes les mesures principales.</w:t>
      </w:r>
    </w:p>
    <w:p>
      <w:pPr>
        <w:pStyle w:val="Titre4"/>
        <w:keepNext/>
        <w:numPr>
          <w:numId w:val="0"/>
        </w:numPr>
        <w:spacing w:before="200" w:after="120"/>
        <w:ind w:left="0" w:firstLine="0"/>
        <w:jc w:val="left"/>
      </w:pPr>
      <w:r>
        <w:rPr>
          <w:b/>
          <w:i/>
          <w:color w:val="000000"/>
          <w:sz w:val="25"/>
        </w:rPr>
        <w:t>2.2 Significativité des écarts</w:t>
      </w:r>
    </w:p>
    <w:p>
      <w:pPr>
        <w:spacing w:before="0" w:after="120" w:line="360" w:lineRule="auto"/>
        <w:jc w:val="both"/>
      </w:pPr>
      <w:r>
        <w:rPr>
          <w:sz w:val="24"/>
        </w:rPr>
        <w:t>Les écarts entre l'hybride, XGBoost et le LSTM semblent faibles en PR-AUC (environ 0,006). Les tests du protocole établissent qu'ils ne sont pas dus au hasard (tableau III.8).</w:t>
      </w:r>
    </w:p>
    <w:p>
      <w:pPr>
        <w:pStyle w:val="Légendetableau"/>
        <w:keepNext/>
        <w:spacing w:before="200" w:after="80"/>
        <w:jc w:val="center"/>
      </w:pPr>
      <w:r>
        <w:rPr>
          <w:b/>
          <w:sz w:val="20"/>
        </w:rPr>
        <w:t>Tableau III.8 — Significativité des écarts (bootstrap apparié par usager, 1 000 tirages ; McNemar exact au seuil retenu).</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2075"/>
        <w:gridCol w:w="2594"/>
        <w:gridCol w:w="1800"/>
        <w:gridCol w:w="2919"/>
      </w:tblGrid>
      <w:tr>
        <w:trPr>
          <w:tblHeader w:val="true"/>
        </w:trPr>
        <w:tc>
          <w:tcPr>
            <w:tcW w:type="dxa" w:w="2075"/>
            <w:shd w:val="clear" w:color="auto" w:fill="D9E2F3"/>
          </w:tcPr>
          <w:p>
            <w:pPr>
              <w:spacing w:after="20" w:before="20" w:line="240" w:lineRule="auto"/>
              <w:jc w:val="left"/>
            </w:pPr>
            <w:r/>
            <w:r>
              <w:rPr>
                <w:b/>
                <w:sz w:val="18"/>
              </w:rPr>
              <w:t>Comparaison</w:t>
            </w:r>
          </w:p>
        </w:tc>
        <w:tc>
          <w:tcPr>
            <w:tcW w:type="dxa" w:w="2594"/>
            <w:shd w:val="clear" w:color="auto" w:fill="D9E2F3"/>
          </w:tcPr>
          <w:p>
            <w:pPr>
              <w:spacing w:after="20" w:before="20" w:line="240" w:lineRule="auto"/>
              <w:jc w:val="left"/>
            </w:pPr>
            <w:r/>
            <w:r>
              <w:rPr>
                <w:b/>
                <w:sz w:val="18"/>
              </w:rPr>
              <w:t>Écart de PR-AUC [IC 95 %]</w:t>
            </w:r>
          </w:p>
        </w:tc>
        <w:tc>
          <w:tcPr>
            <w:tcW w:type="dxa" w:w="1800"/>
            <w:shd w:val="clear" w:color="auto" w:fill="D9E2F3"/>
          </w:tcPr>
          <w:p>
            <w:pPr>
              <w:spacing w:after="20" w:before="20" w:line="240" w:lineRule="auto"/>
              <w:jc w:val="left"/>
            </w:pPr>
            <w:r/>
            <w:r>
              <w:rPr>
                <w:b/>
                <w:sz w:val="18"/>
              </w:rPr>
              <w:t>Test de McNemar</w:t>
            </w:r>
          </w:p>
        </w:tc>
        <w:tc>
          <w:tcPr>
            <w:tcW w:type="dxa" w:w="2919"/>
            <w:shd w:val="clear" w:color="auto" w:fill="D9E2F3"/>
          </w:tcPr>
          <w:p>
            <w:pPr>
              <w:spacing w:after="20" w:before="20" w:line="240" w:lineRule="auto"/>
              <w:jc w:val="left"/>
            </w:pPr>
            <w:r/>
            <w:r>
              <w:rPr>
                <w:b/>
                <w:sz w:val="18"/>
              </w:rPr>
              <w:t>Conclusion</w:t>
            </w:r>
          </w:p>
        </w:tc>
      </w:tr>
      <w:tr>
        <w:trPr>
          <w:cantSplit w:val="true"/>
        </w:trPr>
        <w:tc>
          <w:tcPr>
            <w:tcW w:type="dxa" w:w="2075"/>
          </w:tcPr>
          <w:p>
            <w:pPr>
              <w:spacing w:after="20" w:before="20" w:line="240" w:lineRule="auto"/>
              <w:jc w:val="left"/>
            </w:pPr>
            <w:r/>
            <w:r>
              <w:rPr>
                <w:sz w:val="18"/>
              </w:rPr>
              <w:t>Hybride − XGBoost</w:t>
            </w:r>
          </w:p>
        </w:tc>
        <w:tc>
          <w:tcPr>
            <w:tcW w:type="dxa" w:w="2594"/>
          </w:tcPr>
          <w:p>
            <w:pPr>
              <w:spacing w:after="20" w:before="20" w:line="240" w:lineRule="auto"/>
              <w:jc w:val="left"/>
            </w:pPr>
            <w:r/>
            <w:r>
              <w:rPr>
                <w:sz w:val="18"/>
              </w:rPr>
              <w:t>+0,0060 [+0,0044 ; +0,0079]</w:t>
            </w:r>
          </w:p>
        </w:tc>
        <w:tc>
          <w:tcPr>
            <w:tcW w:type="dxa" w:w="1800"/>
          </w:tcPr>
          <w:p>
            <w:pPr>
              <w:spacing w:after="20" w:before="20" w:line="240" w:lineRule="auto"/>
              <w:jc w:val="left"/>
            </w:pPr>
            <w:r/>
            <w:r>
              <w:rPr>
                <w:sz w:val="18"/>
              </w:rPr>
              <w:t>156 contre 23 ; p = 1,8 × 10⁻²⁵</w:t>
            </w:r>
          </w:p>
        </w:tc>
        <w:tc>
          <w:tcPr>
            <w:tcW w:type="dxa" w:w="2919"/>
          </w:tcPr>
          <w:p>
            <w:pPr>
              <w:spacing w:after="20" w:before="20" w:line="240" w:lineRule="auto"/>
              <w:jc w:val="left"/>
            </w:pPr>
            <w:r/>
            <w:r>
              <w:rPr>
                <w:sz w:val="18"/>
              </w:rPr>
              <w:t>Hybride significativement meilleur</w:t>
            </w:r>
          </w:p>
        </w:tc>
      </w:tr>
      <w:tr>
        <w:trPr>
          <w:cantSplit w:val="true"/>
        </w:trPr>
        <w:tc>
          <w:tcPr>
            <w:tcW w:type="dxa" w:w="2075"/>
          </w:tcPr>
          <w:p>
            <w:pPr>
              <w:spacing w:after="20" w:before="20" w:line="240" w:lineRule="auto"/>
              <w:jc w:val="left"/>
            </w:pPr>
            <w:r/>
            <w:r>
              <w:rPr>
                <w:sz w:val="18"/>
              </w:rPr>
              <w:t>Hybride − LSTM-attention</w:t>
            </w:r>
          </w:p>
        </w:tc>
        <w:tc>
          <w:tcPr>
            <w:tcW w:type="dxa" w:w="2594"/>
          </w:tcPr>
          <w:p>
            <w:pPr>
              <w:spacing w:after="20" w:before="20" w:line="240" w:lineRule="auto"/>
              <w:jc w:val="left"/>
            </w:pPr>
            <w:r/>
            <w:r>
              <w:rPr>
                <w:sz w:val="18"/>
              </w:rPr>
              <w:t>+0,0061 [+0,0045 ; +0,0078]</w:t>
            </w:r>
          </w:p>
        </w:tc>
        <w:tc>
          <w:tcPr>
            <w:tcW w:type="dxa" w:w="1800"/>
          </w:tcPr>
          <w:p>
            <w:pPr>
              <w:spacing w:after="20" w:before="20" w:line="240" w:lineRule="auto"/>
              <w:jc w:val="left"/>
            </w:pPr>
            <w:r/>
            <w:r>
              <w:rPr>
                <w:sz w:val="18"/>
              </w:rPr>
              <w:t>157 contre 75 ; p = 7,8 × 10⁻⁸</w:t>
            </w:r>
          </w:p>
        </w:tc>
        <w:tc>
          <w:tcPr>
            <w:tcW w:type="dxa" w:w="2919"/>
          </w:tcPr>
          <w:p>
            <w:pPr>
              <w:spacing w:after="20" w:before="20" w:line="240" w:lineRule="auto"/>
              <w:jc w:val="left"/>
            </w:pPr>
            <w:r/>
            <w:r>
              <w:rPr>
                <w:sz w:val="18"/>
              </w:rPr>
              <w:t>Hybride significativement meilleur</w:t>
            </w:r>
          </w:p>
        </w:tc>
      </w:tr>
      <w:tr>
        <w:trPr>
          <w:cantSplit w:val="true"/>
        </w:trPr>
        <w:tc>
          <w:tcPr>
            <w:tcW w:type="dxa" w:w="2075"/>
          </w:tcPr>
          <w:p>
            <w:pPr>
              <w:spacing w:after="20" w:before="20" w:line="240" w:lineRule="auto"/>
              <w:jc w:val="left"/>
            </w:pPr>
            <w:r/>
            <w:r>
              <w:rPr>
                <w:sz w:val="18"/>
              </w:rPr>
              <w:t>Hybride − autoencodeur</w:t>
            </w:r>
          </w:p>
        </w:tc>
        <w:tc>
          <w:tcPr>
            <w:tcW w:type="dxa" w:w="2594"/>
          </w:tcPr>
          <w:p>
            <w:pPr>
              <w:spacing w:after="20" w:before="20" w:line="240" w:lineRule="auto"/>
              <w:jc w:val="left"/>
            </w:pPr>
            <w:r/>
            <w:r>
              <w:rPr>
                <w:sz w:val="18"/>
              </w:rPr>
              <w:t>+0,2861 [+0,2306 ; +0,3417]</w:t>
            </w:r>
          </w:p>
        </w:tc>
        <w:tc>
          <w:tcPr>
            <w:tcW w:type="dxa" w:w="1800"/>
          </w:tcPr>
          <w:p>
            <w:pPr>
              <w:spacing w:after="20" w:before="20" w:line="240" w:lineRule="auto"/>
              <w:jc w:val="left"/>
            </w:pPr>
            <w:r/>
            <w:r>
              <w:rPr>
                <w:sz w:val="18"/>
              </w:rPr>
              <w:t>943 contre 118 ; p = 2,5 × 10⁻¹⁶⁰</w:t>
            </w:r>
          </w:p>
        </w:tc>
        <w:tc>
          <w:tcPr>
            <w:tcW w:type="dxa" w:w="2919"/>
          </w:tcPr>
          <w:p>
            <w:pPr>
              <w:spacing w:after="20" w:before="20" w:line="240" w:lineRule="auto"/>
              <w:jc w:val="left"/>
            </w:pPr>
            <w:r/>
            <w:r>
              <w:rPr>
                <w:sz w:val="18"/>
              </w:rPr>
              <w:t>Hybride significativement meilleur</w:t>
            </w:r>
          </w:p>
        </w:tc>
      </w:tr>
      <w:tr>
        <w:trPr>
          <w:cantSplit w:val="true"/>
        </w:trPr>
        <w:tc>
          <w:tcPr>
            <w:tcW w:type="dxa" w:w="2075"/>
          </w:tcPr>
          <w:p>
            <w:pPr>
              <w:spacing w:after="20" w:before="20" w:line="240" w:lineRule="auto"/>
              <w:jc w:val="left"/>
            </w:pPr>
            <w:r/>
            <w:r>
              <w:rPr>
                <w:sz w:val="18"/>
              </w:rPr>
              <w:t>XGBoost − Random Forest</w:t>
            </w:r>
          </w:p>
        </w:tc>
        <w:tc>
          <w:tcPr>
            <w:tcW w:type="dxa" w:w="2594"/>
          </w:tcPr>
          <w:p>
            <w:pPr>
              <w:spacing w:after="20" w:before="20" w:line="240" w:lineRule="auto"/>
              <w:jc w:val="left"/>
            </w:pPr>
            <w:r/>
            <w:r>
              <w:rPr>
                <w:sz w:val="18"/>
              </w:rPr>
              <w:t>+0,0104 [+0,0079 ; +0,0135]</w:t>
            </w:r>
          </w:p>
        </w:tc>
        <w:tc>
          <w:tcPr>
            <w:tcW w:type="dxa" w:w="1800"/>
          </w:tcPr>
          <w:p>
            <w:pPr>
              <w:spacing w:after="20" w:before="20" w:line="240" w:lineRule="auto"/>
              <w:jc w:val="left"/>
            </w:pPr>
            <w:r/>
            <w:r>
              <w:rPr>
                <w:sz w:val="18"/>
              </w:rPr>
              <w:t>—</w:t>
            </w:r>
          </w:p>
        </w:tc>
        <w:tc>
          <w:tcPr>
            <w:tcW w:type="dxa" w:w="2919"/>
          </w:tcPr>
          <w:p>
            <w:pPr>
              <w:spacing w:after="20" w:before="20" w:line="240" w:lineRule="auto"/>
              <w:jc w:val="left"/>
            </w:pPr>
            <w:r/>
            <w:r>
              <w:rPr>
                <w:sz w:val="18"/>
              </w:rPr>
              <w:t>XGBoost significativement meilleur</w:t>
            </w:r>
          </w:p>
        </w:tc>
      </w:tr>
      <w:tr>
        <w:trPr>
          <w:cantSplit w:val="true"/>
        </w:trPr>
        <w:tc>
          <w:tcPr>
            <w:tcW w:type="dxa" w:w="2075"/>
          </w:tcPr>
          <w:p>
            <w:pPr>
              <w:spacing w:after="20" w:before="20" w:line="240" w:lineRule="auto"/>
              <w:jc w:val="left"/>
            </w:pPr>
            <w:r/>
            <w:r>
              <w:rPr>
                <w:sz w:val="18"/>
              </w:rPr>
              <w:t>XGBoost − régression logistique</w:t>
            </w:r>
          </w:p>
        </w:tc>
        <w:tc>
          <w:tcPr>
            <w:tcW w:type="dxa" w:w="2594"/>
          </w:tcPr>
          <w:p>
            <w:pPr>
              <w:spacing w:after="20" w:before="20" w:line="240" w:lineRule="auto"/>
              <w:jc w:val="left"/>
            </w:pPr>
            <w:r/>
            <w:r>
              <w:rPr>
                <w:sz w:val="18"/>
              </w:rPr>
              <w:t>+0,0450 [+0,0340 ; +0,0591]</w:t>
            </w:r>
          </w:p>
        </w:tc>
        <w:tc>
          <w:tcPr>
            <w:tcW w:type="dxa" w:w="1800"/>
          </w:tcPr>
          <w:p>
            <w:pPr>
              <w:spacing w:after="20" w:before="20" w:line="240" w:lineRule="auto"/>
              <w:jc w:val="left"/>
            </w:pPr>
            <w:r/>
            <w:r>
              <w:rPr>
                <w:sz w:val="18"/>
              </w:rPr>
              <w:t>—</w:t>
            </w:r>
          </w:p>
        </w:tc>
        <w:tc>
          <w:tcPr>
            <w:tcW w:type="dxa" w:w="2919"/>
          </w:tcPr>
          <w:p>
            <w:pPr>
              <w:spacing w:after="20" w:before="20" w:line="240" w:lineRule="auto"/>
              <w:jc w:val="left"/>
            </w:pPr>
            <w:r/>
            <w:r>
              <w:rPr>
                <w:sz w:val="18"/>
              </w:rPr>
              <w:t>XGBoost significativement meilleur</w:t>
            </w:r>
          </w:p>
        </w:tc>
      </w:tr>
    </w:tbl>
    <w:p>
      <w:pPr>
        <w:spacing w:after="120"/>
      </w:pPr>
    </w:p>
    <w:p>
      <w:pPr>
        <w:spacing w:before="0" w:after="120" w:line="360" w:lineRule="auto"/>
        <w:jc w:val="both"/>
      </w:pPr>
      <w:r>
        <w:rPr>
          <w:sz w:val="24"/>
        </w:rPr>
        <w:t xml:space="preserve">Dans le test de McNemar, « 156 contre 23 » signifie que, sur les opérations où l'hybride et XGBoost ne sont pas d'accord, l'hybride a raison 156 fois et XGBoost 23 fois. Aucun intervalle de confiance ne contient 0. Les conséquences pratiques d'un écart de PR-AUC de 0,006 sont importantes (tableau III.9) : par rapport à XGBoost seul, l'hybride réduit les </w:t>
      </w:r>
      <w:r>
        <w:rPr>
          <w:b/>
          <w:sz w:val="24"/>
        </w:rPr>
        <w:t>fausses alertes de 42 %</w:t>
      </w:r>
      <w:r>
        <w:rPr>
          <w:sz w:val="24"/>
        </w:rPr>
        <w:t xml:space="preserve"> (210 à 122) et les </w:t>
      </w:r>
      <w:r>
        <w:rPr>
          <w:b/>
          <w:sz w:val="24"/>
        </w:rPr>
        <w:t>fraudes manquées de 45 %</w:t>
      </w:r>
      <w:r>
        <w:rPr>
          <w:sz w:val="24"/>
        </w:rPr>
        <w:t xml:space="preserve"> (99 à 54).</w:t>
      </w:r>
    </w:p>
    <w:p>
      <w:pPr>
        <w:pStyle w:val="Légendetableau"/>
        <w:keepNext/>
        <w:spacing w:before="200" w:after="80"/>
        <w:jc w:val="center"/>
      </w:pPr>
      <w:r>
        <w:rPr>
          <w:b/>
          <w:sz w:val="20"/>
        </w:rPr>
        <w:t>Tableau III.9 — Erreurs au seuil retenu sur le test.</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4533"/>
        <w:gridCol w:w="2266"/>
        <w:gridCol w:w="2590"/>
      </w:tblGrid>
      <w:tr>
        <w:trPr>
          <w:tblHeader w:val="true"/>
        </w:trPr>
        <w:tc>
          <w:tcPr>
            <w:tcW w:type="dxa" w:w="4533"/>
            <w:shd w:val="clear" w:color="auto" w:fill="D9E2F3"/>
          </w:tcPr>
          <w:p>
            <w:pPr>
              <w:spacing w:after="20" w:before="20" w:line="240" w:lineRule="auto"/>
              <w:jc w:val="left"/>
            </w:pPr>
            <w:r/>
            <w:r>
              <w:rPr>
                <w:b/>
                <w:sz w:val="20"/>
              </w:rPr>
              <w:t>Méthode</w:t>
            </w:r>
          </w:p>
        </w:tc>
        <w:tc>
          <w:tcPr>
            <w:tcW w:type="dxa" w:w="2266"/>
            <w:shd w:val="clear" w:color="auto" w:fill="D9E2F3"/>
          </w:tcPr>
          <w:p>
            <w:pPr>
              <w:spacing w:after="20" w:before="20" w:line="240" w:lineRule="auto"/>
              <w:jc w:val="left"/>
            </w:pPr>
            <w:r/>
            <w:r>
              <w:rPr>
                <w:b/>
                <w:sz w:val="20"/>
              </w:rPr>
              <w:t>Fausses alertes</w:t>
            </w:r>
          </w:p>
        </w:tc>
        <w:tc>
          <w:tcPr>
            <w:tcW w:type="dxa" w:w="2590"/>
            <w:shd w:val="clear" w:color="auto" w:fill="D9E2F3"/>
          </w:tcPr>
          <w:p>
            <w:pPr>
              <w:spacing w:after="20" w:before="20" w:line="240" w:lineRule="auto"/>
              <w:jc w:val="left"/>
            </w:pPr>
            <w:r/>
            <w:r>
              <w:rPr>
                <w:b/>
                <w:sz w:val="20"/>
              </w:rPr>
              <w:t>Fraudes manquées</w:t>
            </w:r>
          </w:p>
        </w:tc>
      </w:tr>
      <w:tr>
        <w:trPr>
          <w:cantSplit w:val="true"/>
        </w:trPr>
        <w:tc>
          <w:tcPr>
            <w:tcW w:type="dxa" w:w="4533"/>
          </w:tcPr>
          <w:p>
            <w:pPr>
              <w:spacing w:after="20" w:before="20" w:line="240" w:lineRule="auto"/>
              <w:jc w:val="left"/>
            </w:pPr>
            <w:r/>
            <w:r>
              <w:rPr>
                <w:b/>
                <w:sz w:val="20"/>
              </w:rPr>
              <w:t>Hybride</w:t>
            </w:r>
          </w:p>
        </w:tc>
        <w:tc>
          <w:tcPr>
            <w:tcW w:type="dxa" w:w="2266"/>
          </w:tcPr>
          <w:p>
            <w:pPr>
              <w:spacing w:after="20" w:before="20" w:line="240" w:lineRule="auto"/>
              <w:jc w:val="left"/>
            </w:pPr>
            <w:r/>
            <w:r>
              <w:rPr>
                <w:b/>
                <w:sz w:val="20"/>
              </w:rPr>
              <w:t>122</w:t>
            </w:r>
          </w:p>
        </w:tc>
        <w:tc>
          <w:tcPr>
            <w:tcW w:type="dxa" w:w="2590"/>
          </w:tcPr>
          <w:p>
            <w:pPr>
              <w:spacing w:after="20" w:before="20" w:line="240" w:lineRule="auto"/>
              <w:jc w:val="left"/>
            </w:pPr>
            <w:r/>
            <w:r>
              <w:rPr>
                <w:b/>
                <w:sz w:val="20"/>
              </w:rPr>
              <w:t>54</w:t>
            </w:r>
          </w:p>
        </w:tc>
      </w:tr>
      <w:tr>
        <w:trPr>
          <w:cantSplit w:val="true"/>
        </w:trPr>
        <w:tc>
          <w:tcPr>
            <w:tcW w:type="dxa" w:w="4533"/>
          </w:tcPr>
          <w:p>
            <w:pPr>
              <w:spacing w:after="20" w:before="20" w:line="240" w:lineRule="auto"/>
              <w:jc w:val="left"/>
            </w:pPr>
            <w:r/>
            <w:r>
              <w:rPr>
                <w:sz w:val="20"/>
              </w:rPr>
              <w:t>XGBoost seul</w:t>
            </w:r>
          </w:p>
        </w:tc>
        <w:tc>
          <w:tcPr>
            <w:tcW w:type="dxa" w:w="2266"/>
          </w:tcPr>
          <w:p>
            <w:pPr>
              <w:spacing w:after="20" w:before="20" w:line="240" w:lineRule="auto"/>
              <w:jc w:val="left"/>
            </w:pPr>
            <w:r/>
            <w:r>
              <w:rPr>
                <w:sz w:val="20"/>
              </w:rPr>
              <w:t>210</w:t>
            </w:r>
          </w:p>
        </w:tc>
        <w:tc>
          <w:tcPr>
            <w:tcW w:type="dxa" w:w="2590"/>
          </w:tcPr>
          <w:p>
            <w:pPr>
              <w:spacing w:after="20" w:before="20" w:line="240" w:lineRule="auto"/>
              <w:jc w:val="left"/>
            </w:pPr>
            <w:r/>
            <w:r>
              <w:rPr>
                <w:sz w:val="20"/>
              </w:rPr>
              <w:t>99</w:t>
            </w:r>
          </w:p>
        </w:tc>
      </w:tr>
      <w:tr>
        <w:trPr>
          <w:cantSplit w:val="true"/>
        </w:trPr>
        <w:tc>
          <w:tcPr>
            <w:tcW w:type="dxa" w:w="4533"/>
          </w:tcPr>
          <w:p>
            <w:pPr>
              <w:spacing w:after="20" w:before="20" w:line="240" w:lineRule="auto"/>
              <w:jc w:val="left"/>
            </w:pPr>
            <w:r/>
            <w:r>
              <w:rPr>
                <w:sz w:val="20"/>
              </w:rPr>
              <w:t>LSTM-attention seul</w:t>
            </w:r>
          </w:p>
        </w:tc>
        <w:tc>
          <w:tcPr>
            <w:tcW w:type="dxa" w:w="2266"/>
          </w:tcPr>
          <w:p>
            <w:pPr>
              <w:spacing w:after="20" w:before="20" w:line="240" w:lineRule="auto"/>
              <w:jc w:val="left"/>
            </w:pPr>
            <w:r/>
            <w:r>
              <w:rPr>
                <w:sz w:val="20"/>
              </w:rPr>
              <w:t>178</w:t>
            </w:r>
          </w:p>
        </w:tc>
        <w:tc>
          <w:tcPr>
            <w:tcW w:type="dxa" w:w="2590"/>
          </w:tcPr>
          <w:p>
            <w:pPr>
              <w:spacing w:after="20" w:before="20" w:line="240" w:lineRule="auto"/>
              <w:jc w:val="left"/>
            </w:pPr>
            <w:r/>
            <w:r>
              <w:rPr>
                <w:sz w:val="20"/>
              </w:rPr>
              <w:t>80</w:t>
            </w:r>
          </w:p>
        </w:tc>
      </w:tr>
    </w:tbl>
    <w:p>
      <w:pPr>
        <w:spacing w:after="120"/>
      </w:pPr>
    </w:p>
    <w:p>
      <w:pPr>
        <w:pStyle w:val="Titre4"/>
        <w:keepNext/>
        <w:numPr>
          <w:numId w:val="0"/>
        </w:numPr>
        <w:spacing w:before="200" w:after="120"/>
        <w:ind w:left="0" w:firstLine="0"/>
        <w:jc w:val="left"/>
      </w:pPr>
      <w:r>
        <w:rPr>
          <w:b/>
          <w:i/>
          <w:color w:val="000000"/>
          <w:sz w:val="25"/>
        </w:rPr>
        <w:t>2.3 Métriques complètes et analyse graphique</w:t>
      </w:r>
    </w:p>
    <w:p>
      <w:pPr>
        <w:spacing w:before="0" w:after="120" w:line="360" w:lineRule="auto"/>
        <w:jc w:val="both"/>
      </w:pPr>
      <w:r>
        <w:rPr>
          <w:sz w:val="24"/>
        </w:rPr>
        <w:t>Le tableau III.10 donne la matrice de confusion et l'ensemble des métriques de classification au seuil retenu ; le tableau III.11 les intervalles de confiance de quatre d'entre elles.</w:t>
      </w:r>
    </w:p>
    <w:p>
      <w:pPr>
        <w:pStyle w:val="Légendetableau"/>
        <w:keepNext/>
        <w:spacing w:before="200" w:after="80"/>
        <w:jc w:val="center"/>
      </w:pPr>
      <w:r>
        <w:rPr>
          <w:b/>
          <w:sz w:val="20"/>
        </w:rPr>
        <w:t>Tableau III.10 — Métriques complètes au seuil retenu sur la validation (test : 183 240 opérations, dont 2 437 fraudes).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1424"/>
        <w:gridCol w:w="518"/>
        <w:gridCol w:w="518"/>
        <w:gridCol w:w="518"/>
        <w:gridCol w:w="712"/>
        <w:gridCol w:w="915"/>
        <w:gridCol w:w="610"/>
        <w:gridCol w:w="1119"/>
        <w:gridCol w:w="610"/>
        <w:gridCol w:w="610"/>
        <w:gridCol w:w="610"/>
        <w:gridCol w:w="610"/>
        <w:gridCol w:w="610"/>
      </w:tblGrid>
      <w:tr>
        <w:trPr>
          <w:tblHeader w:val="true"/>
        </w:trPr>
        <w:tc>
          <w:tcPr>
            <w:tcW w:type="dxa" w:w="1424"/>
            <w:shd w:val="clear" w:color="auto" w:fill="D9E2F3"/>
          </w:tcPr>
          <w:p>
            <w:pPr>
              <w:spacing w:after="20" w:before="20" w:line="240" w:lineRule="auto"/>
              <w:jc w:val="left"/>
            </w:pPr>
            <w:r/>
            <w:r>
              <w:rPr>
                <w:b/>
                <w:sz w:val="14"/>
              </w:rPr>
              <w:t>Méthode</w:t>
            </w:r>
          </w:p>
        </w:tc>
        <w:tc>
          <w:tcPr>
            <w:tcW w:type="dxa" w:w="518"/>
            <w:shd w:val="clear" w:color="auto" w:fill="D9E2F3"/>
          </w:tcPr>
          <w:p>
            <w:pPr>
              <w:spacing w:after="20" w:before="20" w:line="240" w:lineRule="auto"/>
              <w:jc w:val="left"/>
            </w:pPr>
            <w:r/>
            <w:r>
              <w:rPr>
                <w:b/>
                <w:sz w:val="14"/>
              </w:rPr>
              <w:t>VP</w:t>
            </w:r>
          </w:p>
        </w:tc>
        <w:tc>
          <w:tcPr>
            <w:tcW w:type="dxa" w:w="518"/>
            <w:shd w:val="clear" w:color="auto" w:fill="D9E2F3"/>
          </w:tcPr>
          <w:p>
            <w:pPr>
              <w:spacing w:after="20" w:before="20" w:line="240" w:lineRule="auto"/>
              <w:jc w:val="left"/>
            </w:pPr>
            <w:r/>
            <w:r>
              <w:rPr>
                <w:b/>
                <w:sz w:val="14"/>
              </w:rPr>
              <w:t>FP</w:t>
            </w:r>
          </w:p>
        </w:tc>
        <w:tc>
          <w:tcPr>
            <w:tcW w:type="dxa" w:w="518"/>
            <w:shd w:val="clear" w:color="auto" w:fill="D9E2F3"/>
          </w:tcPr>
          <w:p>
            <w:pPr>
              <w:spacing w:after="20" w:before="20" w:line="240" w:lineRule="auto"/>
              <w:jc w:val="left"/>
            </w:pPr>
            <w:r/>
            <w:r>
              <w:rPr>
                <w:b/>
                <w:sz w:val="14"/>
              </w:rPr>
              <w:t>FN</w:t>
            </w:r>
          </w:p>
        </w:tc>
        <w:tc>
          <w:tcPr>
            <w:tcW w:type="dxa" w:w="712"/>
            <w:shd w:val="clear" w:color="auto" w:fill="D9E2F3"/>
          </w:tcPr>
          <w:p>
            <w:pPr>
              <w:spacing w:after="20" w:before="20" w:line="240" w:lineRule="auto"/>
              <w:jc w:val="left"/>
            </w:pPr>
            <w:r/>
            <w:r>
              <w:rPr>
                <w:b/>
                <w:sz w:val="14"/>
              </w:rPr>
              <w:t>VN</w:t>
            </w:r>
          </w:p>
        </w:tc>
        <w:tc>
          <w:tcPr>
            <w:tcW w:type="dxa" w:w="915"/>
            <w:shd w:val="clear" w:color="auto" w:fill="D9E2F3"/>
          </w:tcPr>
          <w:p>
            <w:pPr>
              <w:spacing w:after="20" w:before="20" w:line="240" w:lineRule="auto"/>
              <w:jc w:val="left"/>
            </w:pPr>
            <w:r/>
            <w:r>
              <w:rPr>
                <w:b/>
                <w:sz w:val="14"/>
              </w:rPr>
              <w:t>Précision</w:t>
            </w:r>
          </w:p>
        </w:tc>
        <w:tc>
          <w:tcPr>
            <w:tcW w:type="dxa" w:w="610"/>
            <w:shd w:val="clear" w:color="auto" w:fill="D9E2F3"/>
          </w:tcPr>
          <w:p>
            <w:pPr>
              <w:spacing w:after="20" w:before="20" w:line="240" w:lineRule="auto"/>
              <w:jc w:val="left"/>
            </w:pPr>
            <w:r/>
            <w:r>
              <w:rPr>
                <w:b/>
                <w:sz w:val="14"/>
              </w:rPr>
              <w:t>Rappel</w:t>
            </w:r>
          </w:p>
        </w:tc>
        <w:tc>
          <w:tcPr>
            <w:tcW w:type="dxa" w:w="1119"/>
            <w:shd w:val="clear" w:color="auto" w:fill="D9E2F3"/>
          </w:tcPr>
          <w:p>
            <w:pPr>
              <w:spacing w:after="20" w:before="20" w:line="240" w:lineRule="auto"/>
              <w:jc w:val="left"/>
            </w:pPr>
            <w:r/>
            <w:r>
              <w:rPr>
                <w:b/>
                <w:sz w:val="14"/>
              </w:rPr>
              <w:t>Spécificité</w:t>
            </w:r>
          </w:p>
        </w:tc>
        <w:tc>
          <w:tcPr>
            <w:tcW w:type="dxa" w:w="610"/>
            <w:shd w:val="clear" w:color="auto" w:fill="D9E2F3"/>
          </w:tcPr>
          <w:p>
            <w:pPr>
              <w:spacing w:after="20" w:before="20" w:line="240" w:lineRule="auto"/>
              <w:jc w:val="left"/>
            </w:pPr>
            <w:r/>
            <w:r>
              <w:rPr>
                <w:b/>
                <w:sz w:val="14"/>
              </w:rPr>
              <w:t>F1</w:t>
            </w:r>
          </w:p>
        </w:tc>
        <w:tc>
          <w:tcPr>
            <w:tcW w:type="dxa" w:w="610"/>
            <w:shd w:val="clear" w:color="auto" w:fill="D9E2F3"/>
          </w:tcPr>
          <w:p>
            <w:pPr>
              <w:spacing w:after="20" w:before="20" w:line="240" w:lineRule="auto"/>
              <w:jc w:val="left"/>
            </w:pPr>
            <w:r/>
            <w:r>
              <w:rPr>
                <w:b/>
                <w:sz w:val="14"/>
              </w:rPr>
              <w:t>F2</w:t>
            </w:r>
          </w:p>
        </w:tc>
        <w:tc>
          <w:tcPr>
            <w:tcW w:type="dxa" w:w="610"/>
            <w:shd w:val="clear" w:color="auto" w:fill="D9E2F3"/>
          </w:tcPr>
          <w:p>
            <w:pPr>
              <w:spacing w:after="20" w:before="20" w:line="240" w:lineRule="auto"/>
              <w:jc w:val="left"/>
            </w:pPr>
            <w:r/>
            <w:r>
              <w:rPr>
                <w:b/>
                <w:sz w:val="14"/>
              </w:rPr>
              <w:t>MCC</w:t>
            </w:r>
          </w:p>
        </w:tc>
        <w:tc>
          <w:tcPr>
            <w:tcW w:type="dxa" w:w="610"/>
            <w:shd w:val="clear" w:color="auto" w:fill="D9E2F3"/>
          </w:tcPr>
          <w:p>
            <w:pPr>
              <w:spacing w:after="20" w:before="20" w:line="240" w:lineRule="auto"/>
              <w:jc w:val="left"/>
            </w:pPr>
            <w:r/>
            <w:r>
              <w:rPr>
                <w:b/>
                <w:sz w:val="14"/>
              </w:rPr>
              <w:t>Exact. équil.</w:t>
            </w:r>
          </w:p>
        </w:tc>
        <w:tc>
          <w:tcPr>
            <w:tcW w:type="dxa" w:w="610"/>
            <w:shd w:val="clear" w:color="auto" w:fill="D9E2F3"/>
          </w:tcPr>
          <w:p>
            <w:pPr>
              <w:spacing w:after="20" w:before="20" w:line="240" w:lineRule="auto"/>
              <w:jc w:val="left"/>
            </w:pPr>
            <w:r/>
            <w:r>
              <w:rPr>
                <w:b/>
                <w:sz w:val="14"/>
              </w:rPr>
              <w:t>Kappa</w:t>
            </w:r>
          </w:p>
        </w:tc>
      </w:tr>
      <w:tr>
        <w:trPr>
          <w:cantSplit w:val="true"/>
        </w:trPr>
        <w:tc>
          <w:tcPr>
            <w:tcW w:type="dxa" w:w="1424"/>
          </w:tcPr>
          <w:p>
            <w:pPr>
              <w:spacing w:after="20" w:before="20" w:line="240" w:lineRule="auto"/>
              <w:jc w:val="left"/>
            </w:pPr>
            <w:r/>
            <w:r>
              <w:rPr>
                <w:b/>
                <w:sz w:val="14"/>
              </w:rPr>
              <w:t>Hybride</w:t>
            </w:r>
          </w:p>
        </w:tc>
        <w:tc>
          <w:tcPr>
            <w:tcW w:type="dxa" w:w="518"/>
          </w:tcPr>
          <w:p>
            <w:pPr>
              <w:spacing w:after="20" w:before="20" w:line="240" w:lineRule="auto"/>
              <w:jc w:val="left"/>
            </w:pPr>
            <w:r/>
            <w:r>
              <w:rPr>
                <w:b/>
                <w:sz w:val="14"/>
              </w:rPr>
              <w:t>2 383</w:t>
            </w:r>
          </w:p>
        </w:tc>
        <w:tc>
          <w:tcPr>
            <w:tcW w:type="dxa" w:w="518"/>
          </w:tcPr>
          <w:p>
            <w:pPr>
              <w:spacing w:after="20" w:before="20" w:line="240" w:lineRule="auto"/>
              <w:jc w:val="left"/>
            </w:pPr>
            <w:r/>
            <w:r>
              <w:rPr>
                <w:sz w:val="14"/>
              </w:rPr>
              <w:t>122</w:t>
            </w:r>
          </w:p>
        </w:tc>
        <w:tc>
          <w:tcPr>
            <w:tcW w:type="dxa" w:w="518"/>
          </w:tcPr>
          <w:p>
            <w:pPr>
              <w:spacing w:after="20" w:before="20" w:line="240" w:lineRule="auto"/>
              <w:jc w:val="left"/>
            </w:pPr>
            <w:r/>
            <w:r>
              <w:rPr>
                <w:b/>
                <w:sz w:val="14"/>
              </w:rPr>
              <w:t>54</w:t>
            </w:r>
          </w:p>
        </w:tc>
        <w:tc>
          <w:tcPr>
            <w:tcW w:type="dxa" w:w="712"/>
          </w:tcPr>
          <w:p>
            <w:pPr>
              <w:spacing w:after="20" w:before="20" w:line="240" w:lineRule="auto"/>
              <w:jc w:val="left"/>
            </w:pPr>
            <w:r/>
            <w:r>
              <w:rPr>
                <w:sz w:val="14"/>
              </w:rPr>
              <w:t>180 681</w:t>
            </w:r>
          </w:p>
        </w:tc>
        <w:tc>
          <w:tcPr>
            <w:tcW w:type="dxa" w:w="915"/>
          </w:tcPr>
          <w:p>
            <w:pPr>
              <w:spacing w:after="20" w:before="20" w:line="240" w:lineRule="auto"/>
              <w:jc w:val="left"/>
            </w:pPr>
            <w:r/>
            <w:r>
              <w:rPr>
                <w:sz w:val="14"/>
              </w:rPr>
              <w:t>0,9513</w:t>
            </w:r>
          </w:p>
        </w:tc>
        <w:tc>
          <w:tcPr>
            <w:tcW w:type="dxa" w:w="610"/>
          </w:tcPr>
          <w:p>
            <w:pPr>
              <w:spacing w:after="20" w:before="20" w:line="240" w:lineRule="auto"/>
              <w:jc w:val="left"/>
            </w:pPr>
            <w:r/>
            <w:r>
              <w:rPr>
                <w:b/>
                <w:sz w:val="14"/>
              </w:rPr>
              <w:t>0,9778</w:t>
            </w:r>
          </w:p>
        </w:tc>
        <w:tc>
          <w:tcPr>
            <w:tcW w:type="dxa" w:w="1119"/>
          </w:tcPr>
          <w:p>
            <w:pPr>
              <w:spacing w:after="20" w:before="20" w:line="240" w:lineRule="auto"/>
              <w:jc w:val="left"/>
            </w:pPr>
            <w:r/>
            <w:r>
              <w:rPr>
                <w:sz w:val="14"/>
              </w:rPr>
              <w:t>0,9993</w:t>
            </w:r>
          </w:p>
        </w:tc>
        <w:tc>
          <w:tcPr>
            <w:tcW w:type="dxa" w:w="610"/>
          </w:tcPr>
          <w:p>
            <w:pPr>
              <w:spacing w:after="20" w:before="20" w:line="240" w:lineRule="auto"/>
              <w:jc w:val="left"/>
            </w:pPr>
            <w:r/>
            <w:r>
              <w:rPr>
                <w:b/>
                <w:sz w:val="14"/>
              </w:rPr>
              <w:t>0,9644</w:t>
            </w:r>
          </w:p>
        </w:tc>
        <w:tc>
          <w:tcPr>
            <w:tcW w:type="dxa" w:w="610"/>
          </w:tcPr>
          <w:p>
            <w:pPr>
              <w:spacing w:after="20" w:before="20" w:line="240" w:lineRule="auto"/>
              <w:jc w:val="left"/>
            </w:pPr>
            <w:r/>
            <w:r>
              <w:rPr>
                <w:b/>
                <w:sz w:val="14"/>
              </w:rPr>
              <w:t>0,9724</w:t>
            </w:r>
          </w:p>
        </w:tc>
        <w:tc>
          <w:tcPr>
            <w:tcW w:type="dxa" w:w="610"/>
          </w:tcPr>
          <w:p>
            <w:pPr>
              <w:spacing w:after="20" w:before="20" w:line="240" w:lineRule="auto"/>
              <w:jc w:val="left"/>
            </w:pPr>
            <w:r/>
            <w:r>
              <w:rPr>
                <w:b/>
                <w:sz w:val="14"/>
              </w:rPr>
              <w:t>0,9640</w:t>
            </w:r>
          </w:p>
        </w:tc>
        <w:tc>
          <w:tcPr>
            <w:tcW w:type="dxa" w:w="610"/>
          </w:tcPr>
          <w:p>
            <w:pPr>
              <w:spacing w:after="20" w:before="20" w:line="240" w:lineRule="auto"/>
              <w:jc w:val="left"/>
            </w:pPr>
            <w:r/>
            <w:r>
              <w:rPr>
                <w:b/>
                <w:sz w:val="14"/>
              </w:rPr>
              <w:t>0,9886</w:t>
            </w:r>
          </w:p>
        </w:tc>
        <w:tc>
          <w:tcPr>
            <w:tcW w:type="dxa" w:w="610"/>
          </w:tcPr>
          <w:p>
            <w:pPr>
              <w:spacing w:after="20" w:before="20" w:line="240" w:lineRule="auto"/>
              <w:jc w:val="left"/>
            </w:pPr>
            <w:r/>
            <w:r>
              <w:rPr>
                <w:b/>
                <w:sz w:val="14"/>
              </w:rPr>
              <w:t>0,9639</w:t>
            </w:r>
          </w:p>
        </w:tc>
      </w:tr>
      <w:tr>
        <w:trPr>
          <w:cantSplit w:val="true"/>
        </w:trPr>
        <w:tc>
          <w:tcPr>
            <w:tcW w:type="dxa" w:w="1424"/>
          </w:tcPr>
          <w:p>
            <w:pPr>
              <w:spacing w:after="20" w:before="20" w:line="240" w:lineRule="auto"/>
              <w:jc w:val="left"/>
            </w:pPr>
            <w:r/>
            <w:r>
              <w:rPr>
                <w:sz w:val="14"/>
              </w:rPr>
              <w:t>LSTM-attention</w:t>
            </w:r>
          </w:p>
        </w:tc>
        <w:tc>
          <w:tcPr>
            <w:tcW w:type="dxa" w:w="518"/>
          </w:tcPr>
          <w:p>
            <w:pPr>
              <w:spacing w:after="20" w:before="20" w:line="240" w:lineRule="auto"/>
              <w:jc w:val="left"/>
            </w:pPr>
            <w:r/>
            <w:r>
              <w:rPr>
                <w:sz w:val="14"/>
              </w:rPr>
              <w:t>2 357</w:t>
            </w:r>
          </w:p>
        </w:tc>
        <w:tc>
          <w:tcPr>
            <w:tcW w:type="dxa" w:w="518"/>
          </w:tcPr>
          <w:p>
            <w:pPr>
              <w:spacing w:after="20" w:before="20" w:line="240" w:lineRule="auto"/>
              <w:jc w:val="left"/>
            </w:pPr>
            <w:r/>
            <w:r>
              <w:rPr>
                <w:sz w:val="14"/>
              </w:rPr>
              <w:t>178</w:t>
            </w:r>
          </w:p>
        </w:tc>
        <w:tc>
          <w:tcPr>
            <w:tcW w:type="dxa" w:w="518"/>
          </w:tcPr>
          <w:p>
            <w:pPr>
              <w:spacing w:after="20" w:before="20" w:line="240" w:lineRule="auto"/>
              <w:jc w:val="left"/>
            </w:pPr>
            <w:r/>
            <w:r>
              <w:rPr>
                <w:sz w:val="14"/>
              </w:rPr>
              <w:t>80</w:t>
            </w:r>
          </w:p>
        </w:tc>
        <w:tc>
          <w:tcPr>
            <w:tcW w:type="dxa" w:w="712"/>
          </w:tcPr>
          <w:p>
            <w:pPr>
              <w:spacing w:after="20" w:before="20" w:line="240" w:lineRule="auto"/>
              <w:jc w:val="left"/>
            </w:pPr>
            <w:r/>
            <w:r>
              <w:rPr>
                <w:sz w:val="14"/>
              </w:rPr>
              <w:t>180 625</w:t>
            </w:r>
          </w:p>
        </w:tc>
        <w:tc>
          <w:tcPr>
            <w:tcW w:type="dxa" w:w="915"/>
          </w:tcPr>
          <w:p>
            <w:pPr>
              <w:spacing w:after="20" w:before="20" w:line="240" w:lineRule="auto"/>
              <w:jc w:val="left"/>
            </w:pPr>
            <w:r/>
            <w:r>
              <w:rPr>
                <w:sz w:val="14"/>
              </w:rPr>
              <w:t>0,9298</w:t>
            </w:r>
          </w:p>
        </w:tc>
        <w:tc>
          <w:tcPr>
            <w:tcW w:type="dxa" w:w="610"/>
          </w:tcPr>
          <w:p>
            <w:pPr>
              <w:spacing w:after="20" w:before="20" w:line="240" w:lineRule="auto"/>
              <w:jc w:val="left"/>
            </w:pPr>
            <w:r/>
            <w:r>
              <w:rPr>
                <w:sz w:val="14"/>
              </w:rPr>
              <w:t>0,9672</w:t>
            </w:r>
          </w:p>
        </w:tc>
        <w:tc>
          <w:tcPr>
            <w:tcW w:type="dxa" w:w="1119"/>
          </w:tcPr>
          <w:p>
            <w:pPr>
              <w:spacing w:after="20" w:before="20" w:line="240" w:lineRule="auto"/>
              <w:jc w:val="left"/>
            </w:pPr>
            <w:r/>
            <w:r>
              <w:rPr>
                <w:sz w:val="14"/>
              </w:rPr>
              <w:t>0,9990</w:t>
            </w:r>
          </w:p>
        </w:tc>
        <w:tc>
          <w:tcPr>
            <w:tcW w:type="dxa" w:w="610"/>
          </w:tcPr>
          <w:p>
            <w:pPr>
              <w:spacing w:after="20" w:before="20" w:line="240" w:lineRule="auto"/>
              <w:jc w:val="left"/>
            </w:pPr>
            <w:r/>
            <w:r>
              <w:rPr>
                <w:sz w:val="14"/>
              </w:rPr>
              <w:t>0,9481</w:t>
            </w:r>
          </w:p>
        </w:tc>
        <w:tc>
          <w:tcPr>
            <w:tcW w:type="dxa" w:w="610"/>
          </w:tcPr>
          <w:p>
            <w:pPr>
              <w:spacing w:after="20" w:before="20" w:line="240" w:lineRule="auto"/>
              <w:jc w:val="left"/>
            </w:pPr>
            <w:r/>
            <w:r>
              <w:rPr>
                <w:sz w:val="14"/>
              </w:rPr>
              <w:t>0,9595</w:t>
            </w:r>
          </w:p>
        </w:tc>
        <w:tc>
          <w:tcPr>
            <w:tcW w:type="dxa" w:w="610"/>
          </w:tcPr>
          <w:p>
            <w:pPr>
              <w:spacing w:after="20" w:before="20" w:line="240" w:lineRule="auto"/>
              <w:jc w:val="left"/>
            </w:pPr>
            <w:r/>
            <w:r>
              <w:rPr>
                <w:sz w:val="14"/>
              </w:rPr>
              <w:t>0,9476</w:t>
            </w:r>
          </w:p>
        </w:tc>
        <w:tc>
          <w:tcPr>
            <w:tcW w:type="dxa" w:w="610"/>
          </w:tcPr>
          <w:p>
            <w:pPr>
              <w:spacing w:after="20" w:before="20" w:line="240" w:lineRule="auto"/>
              <w:jc w:val="left"/>
            </w:pPr>
            <w:r/>
            <w:r>
              <w:rPr>
                <w:sz w:val="14"/>
              </w:rPr>
              <w:t>0,9831</w:t>
            </w:r>
          </w:p>
        </w:tc>
        <w:tc>
          <w:tcPr>
            <w:tcW w:type="dxa" w:w="610"/>
          </w:tcPr>
          <w:p>
            <w:pPr>
              <w:spacing w:after="20" w:before="20" w:line="240" w:lineRule="auto"/>
              <w:jc w:val="left"/>
            </w:pPr>
            <w:r/>
            <w:r>
              <w:rPr>
                <w:sz w:val="14"/>
              </w:rPr>
              <w:t>0,9474</w:t>
            </w:r>
          </w:p>
        </w:tc>
      </w:tr>
      <w:tr>
        <w:trPr>
          <w:cantSplit w:val="true"/>
        </w:trPr>
        <w:tc>
          <w:tcPr>
            <w:tcW w:type="dxa" w:w="1424"/>
          </w:tcPr>
          <w:p>
            <w:pPr>
              <w:spacing w:after="20" w:before="20" w:line="240" w:lineRule="auto"/>
              <w:jc w:val="left"/>
            </w:pPr>
            <w:r/>
            <w:r>
              <w:rPr>
                <w:sz w:val="14"/>
              </w:rPr>
              <w:t>XGBoost</w:t>
            </w:r>
          </w:p>
        </w:tc>
        <w:tc>
          <w:tcPr>
            <w:tcW w:type="dxa" w:w="518"/>
          </w:tcPr>
          <w:p>
            <w:pPr>
              <w:spacing w:after="20" w:before="20" w:line="240" w:lineRule="auto"/>
              <w:jc w:val="left"/>
            </w:pPr>
            <w:r/>
            <w:r>
              <w:rPr>
                <w:sz w:val="14"/>
              </w:rPr>
              <w:t>2 338</w:t>
            </w:r>
          </w:p>
        </w:tc>
        <w:tc>
          <w:tcPr>
            <w:tcW w:type="dxa" w:w="518"/>
          </w:tcPr>
          <w:p>
            <w:pPr>
              <w:spacing w:after="20" w:before="20" w:line="240" w:lineRule="auto"/>
              <w:jc w:val="left"/>
            </w:pPr>
            <w:r/>
            <w:r>
              <w:rPr>
                <w:sz w:val="14"/>
              </w:rPr>
              <w:t>210</w:t>
            </w:r>
          </w:p>
        </w:tc>
        <w:tc>
          <w:tcPr>
            <w:tcW w:type="dxa" w:w="518"/>
          </w:tcPr>
          <w:p>
            <w:pPr>
              <w:spacing w:after="20" w:before="20" w:line="240" w:lineRule="auto"/>
              <w:jc w:val="left"/>
            </w:pPr>
            <w:r/>
            <w:r>
              <w:rPr>
                <w:sz w:val="14"/>
              </w:rPr>
              <w:t>99</w:t>
            </w:r>
          </w:p>
        </w:tc>
        <w:tc>
          <w:tcPr>
            <w:tcW w:type="dxa" w:w="712"/>
          </w:tcPr>
          <w:p>
            <w:pPr>
              <w:spacing w:after="20" w:before="20" w:line="240" w:lineRule="auto"/>
              <w:jc w:val="left"/>
            </w:pPr>
            <w:r/>
            <w:r>
              <w:rPr>
                <w:sz w:val="14"/>
              </w:rPr>
              <w:t>180 593</w:t>
            </w:r>
          </w:p>
        </w:tc>
        <w:tc>
          <w:tcPr>
            <w:tcW w:type="dxa" w:w="915"/>
          </w:tcPr>
          <w:p>
            <w:pPr>
              <w:spacing w:after="20" w:before="20" w:line="240" w:lineRule="auto"/>
              <w:jc w:val="left"/>
            </w:pPr>
            <w:r/>
            <w:r>
              <w:rPr>
                <w:sz w:val="14"/>
              </w:rPr>
              <w:t>0,9176</w:t>
            </w:r>
          </w:p>
        </w:tc>
        <w:tc>
          <w:tcPr>
            <w:tcW w:type="dxa" w:w="610"/>
          </w:tcPr>
          <w:p>
            <w:pPr>
              <w:spacing w:after="20" w:before="20" w:line="240" w:lineRule="auto"/>
              <w:jc w:val="left"/>
            </w:pPr>
            <w:r/>
            <w:r>
              <w:rPr>
                <w:sz w:val="14"/>
              </w:rPr>
              <w:t>0,9594</w:t>
            </w:r>
          </w:p>
        </w:tc>
        <w:tc>
          <w:tcPr>
            <w:tcW w:type="dxa" w:w="1119"/>
          </w:tcPr>
          <w:p>
            <w:pPr>
              <w:spacing w:after="20" w:before="20" w:line="240" w:lineRule="auto"/>
              <w:jc w:val="left"/>
            </w:pPr>
            <w:r/>
            <w:r>
              <w:rPr>
                <w:sz w:val="14"/>
              </w:rPr>
              <w:t>0,9988</w:t>
            </w:r>
          </w:p>
        </w:tc>
        <w:tc>
          <w:tcPr>
            <w:tcW w:type="dxa" w:w="610"/>
          </w:tcPr>
          <w:p>
            <w:pPr>
              <w:spacing w:after="20" w:before="20" w:line="240" w:lineRule="auto"/>
              <w:jc w:val="left"/>
            </w:pPr>
            <w:r/>
            <w:r>
              <w:rPr>
                <w:sz w:val="14"/>
              </w:rPr>
              <w:t>0,9380</w:t>
            </w:r>
          </w:p>
        </w:tc>
        <w:tc>
          <w:tcPr>
            <w:tcW w:type="dxa" w:w="610"/>
          </w:tcPr>
          <w:p>
            <w:pPr>
              <w:spacing w:after="20" w:before="20" w:line="240" w:lineRule="auto"/>
              <w:jc w:val="left"/>
            </w:pPr>
            <w:r/>
            <w:r>
              <w:rPr>
                <w:sz w:val="14"/>
              </w:rPr>
              <w:t>0,9507</w:t>
            </w:r>
          </w:p>
        </w:tc>
        <w:tc>
          <w:tcPr>
            <w:tcW w:type="dxa" w:w="610"/>
          </w:tcPr>
          <w:p>
            <w:pPr>
              <w:spacing w:after="20" w:before="20" w:line="240" w:lineRule="auto"/>
              <w:jc w:val="left"/>
            </w:pPr>
            <w:r/>
            <w:r>
              <w:rPr>
                <w:sz w:val="14"/>
              </w:rPr>
              <w:t>0,9374</w:t>
            </w:r>
          </w:p>
        </w:tc>
        <w:tc>
          <w:tcPr>
            <w:tcW w:type="dxa" w:w="610"/>
          </w:tcPr>
          <w:p>
            <w:pPr>
              <w:spacing w:after="20" w:before="20" w:line="240" w:lineRule="auto"/>
              <w:jc w:val="left"/>
            </w:pPr>
            <w:r/>
            <w:r>
              <w:rPr>
                <w:sz w:val="14"/>
              </w:rPr>
              <w:t>0,9791</w:t>
            </w:r>
          </w:p>
        </w:tc>
        <w:tc>
          <w:tcPr>
            <w:tcW w:type="dxa" w:w="610"/>
          </w:tcPr>
          <w:p>
            <w:pPr>
              <w:spacing w:after="20" w:before="20" w:line="240" w:lineRule="auto"/>
              <w:jc w:val="left"/>
            </w:pPr>
            <w:r/>
            <w:r>
              <w:rPr>
                <w:sz w:val="14"/>
              </w:rPr>
              <w:t>0,9372</w:t>
            </w:r>
          </w:p>
        </w:tc>
      </w:tr>
      <w:tr>
        <w:trPr>
          <w:cantSplit w:val="true"/>
        </w:trPr>
        <w:tc>
          <w:tcPr>
            <w:tcW w:type="dxa" w:w="1424"/>
          </w:tcPr>
          <w:p>
            <w:pPr>
              <w:spacing w:after="20" w:before="20" w:line="240" w:lineRule="auto"/>
              <w:jc w:val="left"/>
            </w:pPr>
            <w:r/>
            <w:r>
              <w:rPr>
                <w:sz w:val="14"/>
              </w:rPr>
              <w:t>Random Forest</w:t>
            </w:r>
          </w:p>
        </w:tc>
        <w:tc>
          <w:tcPr>
            <w:tcW w:type="dxa" w:w="518"/>
          </w:tcPr>
          <w:p>
            <w:pPr>
              <w:spacing w:after="20" w:before="20" w:line="240" w:lineRule="auto"/>
              <w:jc w:val="left"/>
            </w:pPr>
            <w:r/>
            <w:r>
              <w:rPr>
                <w:sz w:val="14"/>
              </w:rPr>
              <w:t>2 264</w:t>
            </w:r>
          </w:p>
        </w:tc>
        <w:tc>
          <w:tcPr>
            <w:tcW w:type="dxa" w:w="518"/>
          </w:tcPr>
          <w:p>
            <w:pPr>
              <w:spacing w:after="20" w:before="20" w:line="240" w:lineRule="auto"/>
              <w:jc w:val="left"/>
            </w:pPr>
            <w:r/>
            <w:r>
              <w:rPr>
                <w:sz w:val="14"/>
              </w:rPr>
              <w:t>160</w:t>
            </w:r>
          </w:p>
        </w:tc>
        <w:tc>
          <w:tcPr>
            <w:tcW w:type="dxa" w:w="518"/>
          </w:tcPr>
          <w:p>
            <w:pPr>
              <w:spacing w:after="20" w:before="20" w:line="240" w:lineRule="auto"/>
              <w:jc w:val="left"/>
            </w:pPr>
            <w:r/>
            <w:r>
              <w:rPr>
                <w:sz w:val="14"/>
              </w:rPr>
              <w:t>173</w:t>
            </w:r>
          </w:p>
        </w:tc>
        <w:tc>
          <w:tcPr>
            <w:tcW w:type="dxa" w:w="712"/>
          </w:tcPr>
          <w:p>
            <w:pPr>
              <w:spacing w:after="20" w:before="20" w:line="240" w:lineRule="auto"/>
              <w:jc w:val="left"/>
            </w:pPr>
            <w:r/>
            <w:r>
              <w:rPr>
                <w:sz w:val="14"/>
              </w:rPr>
              <w:t>180 643</w:t>
            </w:r>
          </w:p>
        </w:tc>
        <w:tc>
          <w:tcPr>
            <w:tcW w:type="dxa" w:w="915"/>
          </w:tcPr>
          <w:p>
            <w:pPr>
              <w:spacing w:after="20" w:before="20" w:line="240" w:lineRule="auto"/>
              <w:jc w:val="left"/>
            </w:pPr>
            <w:r/>
            <w:r>
              <w:rPr>
                <w:sz w:val="14"/>
              </w:rPr>
              <w:t>0,9340</w:t>
            </w:r>
          </w:p>
        </w:tc>
        <w:tc>
          <w:tcPr>
            <w:tcW w:type="dxa" w:w="610"/>
          </w:tcPr>
          <w:p>
            <w:pPr>
              <w:spacing w:after="20" w:before="20" w:line="240" w:lineRule="auto"/>
              <w:jc w:val="left"/>
            </w:pPr>
            <w:r/>
            <w:r>
              <w:rPr>
                <w:sz w:val="14"/>
              </w:rPr>
              <w:t>0,9290</w:t>
            </w:r>
          </w:p>
        </w:tc>
        <w:tc>
          <w:tcPr>
            <w:tcW w:type="dxa" w:w="1119"/>
          </w:tcPr>
          <w:p>
            <w:pPr>
              <w:spacing w:after="20" w:before="20" w:line="240" w:lineRule="auto"/>
              <w:jc w:val="left"/>
            </w:pPr>
            <w:r/>
            <w:r>
              <w:rPr>
                <w:sz w:val="14"/>
              </w:rPr>
              <w:t>0,9991</w:t>
            </w:r>
          </w:p>
        </w:tc>
        <w:tc>
          <w:tcPr>
            <w:tcW w:type="dxa" w:w="610"/>
          </w:tcPr>
          <w:p>
            <w:pPr>
              <w:spacing w:after="20" w:before="20" w:line="240" w:lineRule="auto"/>
              <w:jc w:val="left"/>
            </w:pPr>
            <w:r/>
            <w:r>
              <w:rPr>
                <w:sz w:val="14"/>
              </w:rPr>
              <w:t>0,9315</w:t>
            </w:r>
          </w:p>
        </w:tc>
        <w:tc>
          <w:tcPr>
            <w:tcW w:type="dxa" w:w="610"/>
          </w:tcPr>
          <w:p>
            <w:pPr>
              <w:spacing w:after="20" w:before="20" w:line="240" w:lineRule="auto"/>
              <w:jc w:val="left"/>
            </w:pPr>
            <w:r/>
            <w:r>
              <w:rPr>
                <w:sz w:val="14"/>
              </w:rPr>
              <w:t>0,9300</w:t>
            </w:r>
          </w:p>
        </w:tc>
        <w:tc>
          <w:tcPr>
            <w:tcW w:type="dxa" w:w="610"/>
          </w:tcPr>
          <w:p>
            <w:pPr>
              <w:spacing w:after="20" w:before="20" w:line="240" w:lineRule="auto"/>
              <w:jc w:val="left"/>
            </w:pPr>
            <w:r/>
            <w:r>
              <w:rPr>
                <w:sz w:val="14"/>
              </w:rPr>
              <w:t>0,9306</w:t>
            </w:r>
          </w:p>
        </w:tc>
        <w:tc>
          <w:tcPr>
            <w:tcW w:type="dxa" w:w="610"/>
          </w:tcPr>
          <w:p>
            <w:pPr>
              <w:spacing w:after="20" w:before="20" w:line="240" w:lineRule="auto"/>
              <w:jc w:val="left"/>
            </w:pPr>
            <w:r/>
            <w:r>
              <w:rPr>
                <w:sz w:val="14"/>
              </w:rPr>
              <w:t>0,9641</w:t>
            </w:r>
          </w:p>
        </w:tc>
        <w:tc>
          <w:tcPr>
            <w:tcW w:type="dxa" w:w="610"/>
          </w:tcPr>
          <w:p>
            <w:pPr>
              <w:spacing w:after="20" w:before="20" w:line="240" w:lineRule="auto"/>
              <w:jc w:val="left"/>
            </w:pPr>
            <w:r/>
            <w:r>
              <w:rPr>
                <w:sz w:val="14"/>
              </w:rPr>
              <w:t>0,9306</w:t>
            </w:r>
          </w:p>
        </w:tc>
      </w:tr>
      <w:tr>
        <w:trPr>
          <w:cantSplit w:val="true"/>
        </w:trPr>
        <w:tc>
          <w:tcPr>
            <w:tcW w:type="dxa" w:w="1424"/>
          </w:tcPr>
          <w:p>
            <w:pPr>
              <w:spacing w:after="20" w:before="20" w:line="240" w:lineRule="auto"/>
              <w:jc w:val="left"/>
            </w:pPr>
            <w:r/>
            <w:r>
              <w:rPr>
                <w:sz w:val="14"/>
              </w:rPr>
              <w:t>Régression logistique</w:t>
            </w:r>
          </w:p>
        </w:tc>
        <w:tc>
          <w:tcPr>
            <w:tcW w:type="dxa" w:w="518"/>
          </w:tcPr>
          <w:p>
            <w:pPr>
              <w:spacing w:after="20" w:before="20" w:line="240" w:lineRule="auto"/>
              <w:jc w:val="left"/>
            </w:pPr>
            <w:r/>
            <w:r>
              <w:rPr>
                <w:sz w:val="14"/>
              </w:rPr>
              <w:t>2 114</w:t>
            </w:r>
          </w:p>
        </w:tc>
        <w:tc>
          <w:tcPr>
            <w:tcW w:type="dxa" w:w="518"/>
          </w:tcPr>
          <w:p>
            <w:pPr>
              <w:spacing w:after="20" w:before="20" w:line="240" w:lineRule="auto"/>
              <w:jc w:val="left"/>
            </w:pPr>
            <w:r/>
            <w:r>
              <w:rPr>
                <w:sz w:val="14"/>
              </w:rPr>
              <w:t>284</w:t>
            </w:r>
          </w:p>
        </w:tc>
        <w:tc>
          <w:tcPr>
            <w:tcW w:type="dxa" w:w="518"/>
          </w:tcPr>
          <w:p>
            <w:pPr>
              <w:spacing w:after="20" w:before="20" w:line="240" w:lineRule="auto"/>
              <w:jc w:val="left"/>
            </w:pPr>
            <w:r/>
            <w:r>
              <w:rPr>
                <w:sz w:val="14"/>
              </w:rPr>
              <w:t>323</w:t>
            </w:r>
          </w:p>
        </w:tc>
        <w:tc>
          <w:tcPr>
            <w:tcW w:type="dxa" w:w="712"/>
          </w:tcPr>
          <w:p>
            <w:pPr>
              <w:spacing w:after="20" w:before="20" w:line="240" w:lineRule="auto"/>
              <w:jc w:val="left"/>
            </w:pPr>
            <w:r/>
            <w:r>
              <w:rPr>
                <w:sz w:val="14"/>
              </w:rPr>
              <w:t>180 519</w:t>
            </w:r>
          </w:p>
        </w:tc>
        <w:tc>
          <w:tcPr>
            <w:tcW w:type="dxa" w:w="915"/>
          </w:tcPr>
          <w:p>
            <w:pPr>
              <w:spacing w:after="20" w:before="20" w:line="240" w:lineRule="auto"/>
              <w:jc w:val="left"/>
            </w:pPr>
            <w:r/>
            <w:r>
              <w:rPr>
                <w:sz w:val="14"/>
              </w:rPr>
              <w:t>0,8816</w:t>
            </w:r>
          </w:p>
        </w:tc>
        <w:tc>
          <w:tcPr>
            <w:tcW w:type="dxa" w:w="610"/>
          </w:tcPr>
          <w:p>
            <w:pPr>
              <w:spacing w:after="20" w:before="20" w:line="240" w:lineRule="auto"/>
              <w:jc w:val="left"/>
            </w:pPr>
            <w:r/>
            <w:r>
              <w:rPr>
                <w:sz w:val="14"/>
              </w:rPr>
              <w:t>0,8675</w:t>
            </w:r>
          </w:p>
        </w:tc>
        <w:tc>
          <w:tcPr>
            <w:tcW w:type="dxa" w:w="1119"/>
          </w:tcPr>
          <w:p>
            <w:pPr>
              <w:spacing w:after="20" w:before="20" w:line="240" w:lineRule="auto"/>
              <w:jc w:val="left"/>
            </w:pPr>
            <w:r/>
            <w:r>
              <w:rPr>
                <w:sz w:val="14"/>
              </w:rPr>
              <w:t>0,9984</w:t>
            </w:r>
          </w:p>
        </w:tc>
        <w:tc>
          <w:tcPr>
            <w:tcW w:type="dxa" w:w="610"/>
          </w:tcPr>
          <w:p>
            <w:pPr>
              <w:spacing w:after="20" w:before="20" w:line="240" w:lineRule="auto"/>
              <w:jc w:val="left"/>
            </w:pPr>
            <w:r/>
            <w:r>
              <w:rPr>
                <w:sz w:val="14"/>
              </w:rPr>
              <w:t>0,8745</w:t>
            </w:r>
          </w:p>
        </w:tc>
        <w:tc>
          <w:tcPr>
            <w:tcW w:type="dxa" w:w="610"/>
          </w:tcPr>
          <w:p>
            <w:pPr>
              <w:spacing w:after="20" w:before="20" w:line="240" w:lineRule="auto"/>
              <w:jc w:val="left"/>
            </w:pPr>
            <w:r/>
            <w:r>
              <w:rPr>
                <w:sz w:val="14"/>
              </w:rPr>
              <w:t>0,8702</w:t>
            </w:r>
          </w:p>
        </w:tc>
        <w:tc>
          <w:tcPr>
            <w:tcW w:type="dxa" w:w="610"/>
          </w:tcPr>
          <w:p>
            <w:pPr>
              <w:spacing w:after="20" w:before="20" w:line="240" w:lineRule="auto"/>
              <w:jc w:val="left"/>
            </w:pPr>
            <w:r/>
            <w:r>
              <w:rPr>
                <w:sz w:val="14"/>
              </w:rPr>
              <w:t>0,8728</w:t>
            </w:r>
          </w:p>
        </w:tc>
        <w:tc>
          <w:tcPr>
            <w:tcW w:type="dxa" w:w="610"/>
          </w:tcPr>
          <w:p>
            <w:pPr>
              <w:spacing w:after="20" w:before="20" w:line="240" w:lineRule="auto"/>
              <w:jc w:val="left"/>
            </w:pPr>
            <w:r/>
            <w:r>
              <w:rPr>
                <w:sz w:val="14"/>
              </w:rPr>
              <w:t>0,9329</w:t>
            </w:r>
          </w:p>
        </w:tc>
        <w:tc>
          <w:tcPr>
            <w:tcW w:type="dxa" w:w="610"/>
          </w:tcPr>
          <w:p>
            <w:pPr>
              <w:spacing w:after="20" w:before="20" w:line="240" w:lineRule="auto"/>
              <w:jc w:val="left"/>
            </w:pPr>
            <w:r/>
            <w:r>
              <w:rPr>
                <w:sz w:val="14"/>
              </w:rPr>
              <w:t>0,8728</w:t>
            </w:r>
          </w:p>
        </w:tc>
      </w:tr>
      <w:tr>
        <w:trPr>
          <w:cantSplit w:val="true"/>
        </w:trPr>
        <w:tc>
          <w:tcPr>
            <w:tcW w:type="dxa" w:w="1424"/>
          </w:tcPr>
          <w:p>
            <w:pPr>
              <w:spacing w:after="20" w:before="20" w:line="240" w:lineRule="auto"/>
              <w:jc w:val="left"/>
            </w:pPr>
            <w:r/>
            <w:r>
              <w:rPr>
                <w:sz w:val="14"/>
              </w:rPr>
              <w:t>Autoencodeur</w:t>
            </w:r>
          </w:p>
        </w:tc>
        <w:tc>
          <w:tcPr>
            <w:tcW w:type="dxa" w:w="518"/>
          </w:tcPr>
          <w:p>
            <w:pPr>
              <w:spacing w:after="20" w:before="20" w:line="240" w:lineRule="auto"/>
              <w:jc w:val="left"/>
            </w:pPr>
            <w:r/>
            <w:r>
              <w:rPr>
                <w:sz w:val="14"/>
              </w:rPr>
              <w:t>1 500</w:t>
            </w:r>
          </w:p>
        </w:tc>
        <w:tc>
          <w:tcPr>
            <w:tcW w:type="dxa" w:w="518"/>
          </w:tcPr>
          <w:p>
            <w:pPr>
              <w:spacing w:after="20" w:before="20" w:line="240" w:lineRule="auto"/>
              <w:jc w:val="left"/>
            </w:pPr>
            <w:r/>
            <w:r>
              <w:rPr>
                <w:b/>
                <w:sz w:val="14"/>
              </w:rPr>
              <w:t>64</w:t>
            </w:r>
          </w:p>
        </w:tc>
        <w:tc>
          <w:tcPr>
            <w:tcW w:type="dxa" w:w="518"/>
          </w:tcPr>
          <w:p>
            <w:pPr>
              <w:spacing w:after="20" w:before="20" w:line="240" w:lineRule="auto"/>
              <w:jc w:val="left"/>
            </w:pPr>
            <w:r/>
            <w:r>
              <w:rPr>
                <w:sz w:val="14"/>
              </w:rPr>
              <w:t>937</w:t>
            </w:r>
          </w:p>
        </w:tc>
        <w:tc>
          <w:tcPr>
            <w:tcW w:type="dxa" w:w="712"/>
          </w:tcPr>
          <w:p>
            <w:pPr>
              <w:spacing w:after="20" w:before="20" w:line="240" w:lineRule="auto"/>
              <w:jc w:val="left"/>
            </w:pPr>
            <w:r/>
            <w:r>
              <w:rPr>
                <w:b/>
                <w:sz w:val="14"/>
              </w:rPr>
              <w:t>180 739</w:t>
            </w:r>
          </w:p>
        </w:tc>
        <w:tc>
          <w:tcPr>
            <w:tcW w:type="dxa" w:w="915"/>
          </w:tcPr>
          <w:p>
            <w:pPr>
              <w:spacing w:after="20" w:before="20" w:line="240" w:lineRule="auto"/>
              <w:jc w:val="left"/>
            </w:pPr>
            <w:r/>
            <w:r>
              <w:rPr>
                <w:b/>
                <w:sz w:val="14"/>
              </w:rPr>
              <w:t>0,9591</w:t>
            </w:r>
          </w:p>
        </w:tc>
        <w:tc>
          <w:tcPr>
            <w:tcW w:type="dxa" w:w="610"/>
          </w:tcPr>
          <w:p>
            <w:pPr>
              <w:spacing w:after="20" w:before="20" w:line="240" w:lineRule="auto"/>
              <w:jc w:val="left"/>
            </w:pPr>
            <w:r/>
            <w:r>
              <w:rPr>
                <w:sz w:val="14"/>
              </w:rPr>
              <w:t>0,6155</w:t>
            </w:r>
          </w:p>
        </w:tc>
        <w:tc>
          <w:tcPr>
            <w:tcW w:type="dxa" w:w="1119"/>
          </w:tcPr>
          <w:p>
            <w:pPr>
              <w:spacing w:after="20" w:before="20" w:line="240" w:lineRule="auto"/>
              <w:jc w:val="left"/>
            </w:pPr>
            <w:r/>
            <w:r>
              <w:rPr>
                <w:b/>
                <w:sz w:val="14"/>
              </w:rPr>
              <w:t>0,9996</w:t>
            </w:r>
          </w:p>
        </w:tc>
        <w:tc>
          <w:tcPr>
            <w:tcW w:type="dxa" w:w="610"/>
          </w:tcPr>
          <w:p>
            <w:pPr>
              <w:spacing w:after="20" w:before="20" w:line="240" w:lineRule="auto"/>
              <w:jc w:val="left"/>
            </w:pPr>
            <w:r/>
            <w:r>
              <w:rPr>
                <w:sz w:val="14"/>
              </w:rPr>
              <w:t>0,7498</w:t>
            </w:r>
          </w:p>
        </w:tc>
        <w:tc>
          <w:tcPr>
            <w:tcW w:type="dxa" w:w="610"/>
          </w:tcPr>
          <w:p>
            <w:pPr>
              <w:spacing w:after="20" w:before="20" w:line="240" w:lineRule="auto"/>
              <w:jc w:val="left"/>
            </w:pPr>
            <w:r/>
            <w:r>
              <w:rPr>
                <w:sz w:val="14"/>
              </w:rPr>
              <w:t>0,6630</w:t>
            </w:r>
          </w:p>
        </w:tc>
        <w:tc>
          <w:tcPr>
            <w:tcW w:type="dxa" w:w="610"/>
          </w:tcPr>
          <w:p>
            <w:pPr>
              <w:spacing w:after="20" w:before="20" w:line="240" w:lineRule="auto"/>
              <w:jc w:val="left"/>
            </w:pPr>
            <w:r/>
            <w:r>
              <w:rPr>
                <w:sz w:val="14"/>
              </w:rPr>
              <w:t>0,7660</w:t>
            </w:r>
          </w:p>
        </w:tc>
        <w:tc>
          <w:tcPr>
            <w:tcW w:type="dxa" w:w="610"/>
          </w:tcPr>
          <w:p>
            <w:pPr>
              <w:spacing w:after="20" w:before="20" w:line="240" w:lineRule="auto"/>
              <w:jc w:val="left"/>
            </w:pPr>
            <w:r/>
            <w:r>
              <w:rPr>
                <w:sz w:val="14"/>
              </w:rPr>
              <w:t>0,8076</w:t>
            </w:r>
          </w:p>
        </w:tc>
        <w:tc>
          <w:tcPr>
            <w:tcW w:type="dxa" w:w="610"/>
          </w:tcPr>
          <w:p>
            <w:pPr>
              <w:spacing w:after="20" w:before="20" w:line="240" w:lineRule="auto"/>
              <w:jc w:val="left"/>
            </w:pPr>
            <w:r/>
            <w:r>
              <w:rPr>
                <w:sz w:val="14"/>
              </w:rPr>
              <w:t>0,7472</w:t>
            </w:r>
          </w:p>
        </w:tc>
      </w:tr>
      <w:tr>
        <w:trPr>
          <w:cantSplit w:val="true"/>
        </w:trPr>
        <w:tc>
          <w:tcPr>
            <w:tcW w:type="dxa" w:w="1424"/>
          </w:tcPr>
          <w:p>
            <w:pPr>
              <w:spacing w:after="20" w:before="20" w:line="240" w:lineRule="auto"/>
              <w:jc w:val="left"/>
            </w:pPr>
            <w:r/>
            <w:r>
              <w:rPr>
                <w:sz w:val="14"/>
              </w:rPr>
              <w:t>Isolation Forest</w:t>
            </w:r>
          </w:p>
        </w:tc>
        <w:tc>
          <w:tcPr>
            <w:tcW w:type="dxa" w:w="518"/>
          </w:tcPr>
          <w:p>
            <w:pPr>
              <w:spacing w:after="20" w:before="20" w:line="240" w:lineRule="auto"/>
              <w:jc w:val="left"/>
            </w:pPr>
            <w:r/>
            <w:r>
              <w:rPr>
                <w:sz w:val="14"/>
              </w:rPr>
              <w:t>962</w:t>
            </w:r>
          </w:p>
        </w:tc>
        <w:tc>
          <w:tcPr>
            <w:tcW w:type="dxa" w:w="518"/>
          </w:tcPr>
          <w:p>
            <w:pPr>
              <w:spacing w:after="20" w:before="20" w:line="240" w:lineRule="auto"/>
              <w:jc w:val="left"/>
            </w:pPr>
            <w:r/>
            <w:r>
              <w:rPr>
                <w:sz w:val="14"/>
              </w:rPr>
              <w:t>1 284</w:t>
            </w:r>
          </w:p>
        </w:tc>
        <w:tc>
          <w:tcPr>
            <w:tcW w:type="dxa" w:w="518"/>
          </w:tcPr>
          <w:p>
            <w:pPr>
              <w:spacing w:after="20" w:before="20" w:line="240" w:lineRule="auto"/>
              <w:jc w:val="left"/>
            </w:pPr>
            <w:r/>
            <w:r>
              <w:rPr>
                <w:sz w:val="14"/>
              </w:rPr>
              <w:t>1 475</w:t>
            </w:r>
          </w:p>
        </w:tc>
        <w:tc>
          <w:tcPr>
            <w:tcW w:type="dxa" w:w="712"/>
          </w:tcPr>
          <w:p>
            <w:pPr>
              <w:spacing w:after="20" w:before="20" w:line="240" w:lineRule="auto"/>
              <w:jc w:val="left"/>
            </w:pPr>
            <w:r/>
            <w:r>
              <w:rPr>
                <w:sz w:val="14"/>
              </w:rPr>
              <w:t>179 519</w:t>
            </w:r>
          </w:p>
        </w:tc>
        <w:tc>
          <w:tcPr>
            <w:tcW w:type="dxa" w:w="915"/>
          </w:tcPr>
          <w:p>
            <w:pPr>
              <w:spacing w:after="20" w:before="20" w:line="240" w:lineRule="auto"/>
              <w:jc w:val="left"/>
            </w:pPr>
            <w:r/>
            <w:r>
              <w:rPr>
                <w:sz w:val="14"/>
              </w:rPr>
              <w:t>0,4283</w:t>
            </w:r>
          </w:p>
        </w:tc>
        <w:tc>
          <w:tcPr>
            <w:tcW w:type="dxa" w:w="610"/>
          </w:tcPr>
          <w:p>
            <w:pPr>
              <w:spacing w:after="20" w:before="20" w:line="240" w:lineRule="auto"/>
              <w:jc w:val="left"/>
            </w:pPr>
            <w:r/>
            <w:r>
              <w:rPr>
                <w:sz w:val="14"/>
              </w:rPr>
              <w:t>0,3947</w:t>
            </w:r>
          </w:p>
        </w:tc>
        <w:tc>
          <w:tcPr>
            <w:tcW w:type="dxa" w:w="1119"/>
          </w:tcPr>
          <w:p>
            <w:pPr>
              <w:spacing w:after="20" w:before="20" w:line="240" w:lineRule="auto"/>
              <w:jc w:val="left"/>
            </w:pPr>
            <w:r/>
            <w:r>
              <w:rPr>
                <w:sz w:val="14"/>
              </w:rPr>
              <w:t>0,9929</w:t>
            </w:r>
          </w:p>
        </w:tc>
        <w:tc>
          <w:tcPr>
            <w:tcW w:type="dxa" w:w="610"/>
          </w:tcPr>
          <w:p>
            <w:pPr>
              <w:spacing w:after="20" w:before="20" w:line="240" w:lineRule="auto"/>
              <w:jc w:val="left"/>
            </w:pPr>
            <w:r/>
            <w:r>
              <w:rPr>
                <w:sz w:val="14"/>
              </w:rPr>
              <w:t>0,4108</w:t>
            </w:r>
          </w:p>
        </w:tc>
        <w:tc>
          <w:tcPr>
            <w:tcW w:type="dxa" w:w="610"/>
          </w:tcPr>
          <w:p>
            <w:pPr>
              <w:spacing w:after="20" w:before="20" w:line="240" w:lineRule="auto"/>
              <w:jc w:val="left"/>
            </w:pPr>
            <w:r/>
            <w:r>
              <w:rPr>
                <w:sz w:val="14"/>
              </w:rPr>
              <w:t>0,4010</w:t>
            </w:r>
          </w:p>
        </w:tc>
        <w:tc>
          <w:tcPr>
            <w:tcW w:type="dxa" w:w="610"/>
          </w:tcPr>
          <w:p>
            <w:pPr>
              <w:spacing w:after="20" w:before="20" w:line="240" w:lineRule="auto"/>
              <w:jc w:val="left"/>
            </w:pPr>
            <w:r/>
            <w:r>
              <w:rPr>
                <w:sz w:val="14"/>
              </w:rPr>
              <w:t>0,4036</w:t>
            </w:r>
          </w:p>
        </w:tc>
        <w:tc>
          <w:tcPr>
            <w:tcW w:type="dxa" w:w="610"/>
          </w:tcPr>
          <w:p>
            <w:pPr>
              <w:spacing w:after="20" w:before="20" w:line="240" w:lineRule="auto"/>
              <w:jc w:val="left"/>
            </w:pPr>
            <w:r/>
            <w:r>
              <w:rPr>
                <w:sz w:val="14"/>
              </w:rPr>
              <w:t>0,6938</w:t>
            </w:r>
          </w:p>
        </w:tc>
        <w:tc>
          <w:tcPr>
            <w:tcW w:type="dxa" w:w="610"/>
          </w:tcPr>
          <w:p>
            <w:pPr>
              <w:spacing w:after="20" w:before="20" w:line="240" w:lineRule="auto"/>
              <w:jc w:val="left"/>
            </w:pPr>
            <w:r/>
            <w:r>
              <w:rPr>
                <w:sz w:val="14"/>
              </w:rPr>
              <w:t>0,4032</w:t>
            </w:r>
          </w:p>
        </w:tc>
      </w:tr>
      <w:tr>
        <w:trPr>
          <w:cantSplit w:val="true"/>
        </w:trPr>
        <w:tc>
          <w:tcPr>
            <w:tcW w:type="dxa" w:w="1424"/>
          </w:tcPr>
          <w:p>
            <w:pPr>
              <w:spacing w:after="20" w:before="20" w:line="240" w:lineRule="auto"/>
              <w:jc w:val="left"/>
            </w:pPr>
            <w:r/>
            <w:r>
              <w:rPr>
                <w:sz w:val="14"/>
              </w:rPr>
              <w:t>Règles métier</w:t>
            </w:r>
          </w:p>
        </w:tc>
        <w:tc>
          <w:tcPr>
            <w:tcW w:type="dxa" w:w="518"/>
          </w:tcPr>
          <w:p>
            <w:pPr>
              <w:spacing w:after="20" w:before="20" w:line="240" w:lineRule="auto"/>
              <w:jc w:val="left"/>
            </w:pPr>
            <w:r/>
            <w:r>
              <w:rPr>
                <w:sz w:val="14"/>
              </w:rPr>
              <w:t>870</w:t>
            </w:r>
          </w:p>
        </w:tc>
        <w:tc>
          <w:tcPr>
            <w:tcW w:type="dxa" w:w="518"/>
          </w:tcPr>
          <w:p>
            <w:pPr>
              <w:spacing w:after="20" w:before="20" w:line="240" w:lineRule="auto"/>
              <w:jc w:val="left"/>
            </w:pPr>
            <w:r/>
            <w:r>
              <w:rPr>
                <w:sz w:val="14"/>
              </w:rPr>
              <w:t>1 474</w:t>
            </w:r>
          </w:p>
        </w:tc>
        <w:tc>
          <w:tcPr>
            <w:tcW w:type="dxa" w:w="518"/>
          </w:tcPr>
          <w:p>
            <w:pPr>
              <w:spacing w:after="20" w:before="20" w:line="240" w:lineRule="auto"/>
              <w:jc w:val="left"/>
            </w:pPr>
            <w:r/>
            <w:r>
              <w:rPr>
                <w:sz w:val="14"/>
              </w:rPr>
              <w:t>1 567</w:t>
            </w:r>
          </w:p>
        </w:tc>
        <w:tc>
          <w:tcPr>
            <w:tcW w:type="dxa" w:w="712"/>
          </w:tcPr>
          <w:p>
            <w:pPr>
              <w:spacing w:after="20" w:before="20" w:line="240" w:lineRule="auto"/>
              <w:jc w:val="left"/>
            </w:pPr>
            <w:r/>
            <w:r>
              <w:rPr>
                <w:sz w:val="14"/>
              </w:rPr>
              <w:t>179 329</w:t>
            </w:r>
          </w:p>
        </w:tc>
        <w:tc>
          <w:tcPr>
            <w:tcW w:type="dxa" w:w="915"/>
          </w:tcPr>
          <w:p>
            <w:pPr>
              <w:spacing w:after="20" w:before="20" w:line="240" w:lineRule="auto"/>
              <w:jc w:val="left"/>
            </w:pPr>
            <w:r/>
            <w:r>
              <w:rPr>
                <w:sz w:val="14"/>
              </w:rPr>
              <w:t>0,3712</w:t>
            </w:r>
          </w:p>
        </w:tc>
        <w:tc>
          <w:tcPr>
            <w:tcW w:type="dxa" w:w="610"/>
          </w:tcPr>
          <w:p>
            <w:pPr>
              <w:spacing w:after="20" w:before="20" w:line="240" w:lineRule="auto"/>
              <w:jc w:val="left"/>
            </w:pPr>
            <w:r/>
            <w:r>
              <w:rPr>
                <w:sz w:val="14"/>
              </w:rPr>
              <w:t>0,3570</w:t>
            </w:r>
          </w:p>
        </w:tc>
        <w:tc>
          <w:tcPr>
            <w:tcW w:type="dxa" w:w="1119"/>
          </w:tcPr>
          <w:p>
            <w:pPr>
              <w:spacing w:after="20" w:before="20" w:line="240" w:lineRule="auto"/>
              <w:jc w:val="left"/>
            </w:pPr>
            <w:r/>
            <w:r>
              <w:rPr>
                <w:sz w:val="14"/>
              </w:rPr>
              <w:t>0,9918</w:t>
            </w:r>
          </w:p>
        </w:tc>
        <w:tc>
          <w:tcPr>
            <w:tcW w:type="dxa" w:w="610"/>
          </w:tcPr>
          <w:p>
            <w:pPr>
              <w:spacing w:after="20" w:before="20" w:line="240" w:lineRule="auto"/>
              <w:jc w:val="left"/>
            </w:pPr>
            <w:r/>
            <w:r>
              <w:rPr>
                <w:sz w:val="14"/>
              </w:rPr>
              <w:t>0,3639</w:t>
            </w:r>
          </w:p>
        </w:tc>
        <w:tc>
          <w:tcPr>
            <w:tcW w:type="dxa" w:w="610"/>
          </w:tcPr>
          <w:p>
            <w:pPr>
              <w:spacing w:after="20" w:before="20" w:line="240" w:lineRule="auto"/>
              <w:jc w:val="left"/>
            </w:pPr>
            <w:r/>
            <w:r>
              <w:rPr>
                <w:sz w:val="14"/>
              </w:rPr>
              <w:t>0,3597</w:t>
            </w:r>
          </w:p>
        </w:tc>
        <w:tc>
          <w:tcPr>
            <w:tcW w:type="dxa" w:w="610"/>
          </w:tcPr>
          <w:p>
            <w:pPr>
              <w:spacing w:after="20" w:before="20" w:line="240" w:lineRule="auto"/>
              <w:jc w:val="left"/>
            </w:pPr>
            <w:r/>
            <w:r>
              <w:rPr>
                <w:sz w:val="14"/>
              </w:rPr>
              <w:t>0,3556</w:t>
            </w:r>
          </w:p>
        </w:tc>
        <w:tc>
          <w:tcPr>
            <w:tcW w:type="dxa" w:w="610"/>
          </w:tcPr>
          <w:p>
            <w:pPr>
              <w:spacing w:after="20" w:before="20" w:line="240" w:lineRule="auto"/>
              <w:jc w:val="left"/>
            </w:pPr>
            <w:r/>
            <w:r>
              <w:rPr>
                <w:sz w:val="14"/>
              </w:rPr>
              <w:t>0,6744</w:t>
            </w:r>
          </w:p>
        </w:tc>
        <w:tc>
          <w:tcPr>
            <w:tcW w:type="dxa" w:w="610"/>
          </w:tcPr>
          <w:p>
            <w:pPr>
              <w:spacing w:after="20" w:before="20" w:line="240" w:lineRule="auto"/>
              <w:jc w:val="left"/>
            </w:pPr>
            <w:r/>
            <w:r>
              <w:rPr>
                <w:sz w:val="14"/>
              </w:rPr>
              <w:t>0,3555</w:t>
            </w:r>
          </w:p>
        </w:tc>
      </w:tr>
    </w:tbl>
    <w:p>
      <w:pPr>
        <w:spacing w:after="120"/>
      </w:pPr>
    </w:p>
    <w:p>
      <w:pPr>
        <w:pStyle w:val="Légendetableau"/>
        <w:keepNext/>
        <w:spacing w:before="200" w:after="80"/>
        <w:jc w:val="center"/>
      </w:pPr>
      <w:r>
        <w:rPr>
          <w:b/>
          <w:sz w:val="20"/>
        </w:rPr>
        <w:t>Tableau III.11 — Intervalles de confiance à 95 % (bootstrap par usager, 1 000 tirages).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1911"/>
        <w:gridCol w:w="1872"/>
        <w:gridCol w:w="1912"/>
        <w:gridCol w:w="1872"/>
        <w:gridCol w:w="1820"/>
      </w:tblGrid>
      <w:tr>
        <w:trPr>
          <w:tblHeader w:val="true"/>
        </w:trPr>
        <w:tc>
          <w:tcPr>
            <w:tcW w:type="dxa" w:w="1911"/>
            <w:shd w:val="clear" w:color="auto" w:fill="D9E2F3"/>
          </w:tcPr>
          <w:p>
            <w:pPr>
              <w:spacing w:after="20" w:before="20" w:line="240" w:lineRule="auto"/>
              <w:jc w:val="left"/>
            </w:pPr>
            <w:r/>
            <w:r>
              <w:rPr>
                <w:b/>
                <w:sz w:val="18"/>
              </w:rPr>
              <w:t>Méthode</w:t>
            </w:r>
          </w:p>
        </w:tc>
        <w:tc>
          <w:tcPr>
            <w:tcW w:type="dxa" w:w="1872"/>
            <w:shd w:val="clear" w:color="auto" w:fill="D9E2F3"/>
          </w:tcPr>
          <w:p>
            <w:pPr>
              <w:spacing w:after="20" w:before="20" w:line="240" w:lineRule="auto"/>
              <w:jc w:val="left"/>
            </w:pPr>
            <w:r/>
            <w:r>
              <w:rPr>
                <w:b/>
                <w:sz w:val="18"/>
              </w:rPr>
              <w:t>PR-AUC</w:t>
            </w:r>
          </w:p>
        </w:tc>
        <w:tc>
          <w:tcPr>
            <w:tcW w:type="dxa" w:w="1912"/>
            <w:shd w:val="clear" w:color="auto" w:fill="D9E2F3"/>
          </w:tcPr>
          <w:p>
            <w:pPr>
              <w:spacing w:after="20" w:before="20" w:line="240" w:lineRule="auto"/>
              <w:jc w:val="left"/>
            </w:pPr>
            <w:r/>
            <w:r>
              <w:rPr>
                <w:b/>
                <w:sz w:val="18"/>
              </w:rPr>
              <w:t>Précision</w:t>
            </w:r>
          </w:p>
        </w:tc>
        <w:tc>
          <w:tcPr>
            <w:tcW w:type="dxa" w:w="1872"/>
            <w:shd w:val="clear" w:color="auto" w:fill="D9E2F3"/>
          </w:tcPr>
          <w:p>
            <w:pPr>
              <w:spacing w:after="20" w:before="20" w:line="240" w:lineRule="auto"/>
              <w:jc w:val="left"/>
            </w:pPr>
            <w:r/>
            <w:r>
              <w:rPr>
                <w:b/>
                <w:sz w:val="18"/>
              </w:rPr>
              <w:t>Rappel</w:t>
            </w:r>
          </w:p>
        </w:tc>
        <w:tc>
          <w:tcPr>
            <w:tcW w:type="dxa" w:w="1820"/>
            <w:shd w:val="clear" w:color="auto" w:fill="D9E2F3"/>
          </w:tcPr>
          <w:p>
            <w:pPr>
              <w:spacing w:after="20" w:before="20" w:line="240" w:lineRule="auto"/>
              <w:jc w:val="left"/>
            </w:pPr>
            <w:r/>
            <w:r>
              <w:rPr>
                <w:b/>
                <w:sz w:val="18"/>
              </w:rPr>
              <w:t>F1</w:t>
            </w:r>
          </w:p>
        </w:tc>
      </w:tr>
      <w:tr>
        <w:trPr>
          <w:cantSplit w:val="true"/>
        </w:trPr>
        <w:tc>
          <w:tcPr>
            <w:tcW w:type="dxa" w:w="1911"/>
          </w:tcPr>
          <w:p>
            <w:pPr>
              <w:spacing w:after="20" w:before="20" w:line="240" w:lineRule="auto"/>
              <w:jc w:val="left"/>
            </w:pPr>
            <w:r/>
            <w:r>
              <w:rPr>
                <w:b/>
                <w:sz w:val="18"/>
              </w:rPr>
              <w:t>Hybride</w:t>
            </w:r>
          </w:p>
        </w:tc>
        <w:tc>
          <w:tcPr>
            <w:tcW w:type="dxa" w:w="1872"/>
          </w:tcPr>
          <w:p>
            <w:pPr>
              <w:spacing w:after="20" w:before="20" w:line="240" w:lineRule="auto"/>
              <w:jc w:val="left"/>
            </w:pPr>
            <w:r/>
            <w:r>
              <w:rPr>
                <w:sz w:val="18"/>
              </w:rPr>
              <w:t>[0,9938 ; 0,9967]</w:t>
            </w:r>
          </w:p>
        </w:tc>
        <w:tc>
          <w:tcPr>
            <w:tcW w:type="dxa" w:w="1912"/>
          </w:tcPr>
          <w:p>
            <w:pPr>
              <w:spacing w:after="20" w:before="20" w:line="240" w:lineRule="auto"/>
              <w:jc w:val="left"/>
            </w:pPr>
            <w:r/>
            <w:r>
              <w:rPr>
                <w:sz w:val="18"/>
              </w:rPr>
              <w:t>[0,9400 ; 0,9610]</w:t>
            </w:r>
          </w:p>
        </w:tc>
        <w:tc>
          <w:tcPr>
            <w:tcW w:type="dxa" w:w="1872"/>
          </w:tcPr>
          <w:p>
            <w:pPr>
              <w:spacing w:after="20" w:before="20" w:line="240" w:lineRule="auto"/>
              <w:jc w:val="left"/>
            </w:pPr>
            <w:r/>
            <w:r>
              <w:rPr>
                <w:sz w:val="18"/>
              </w:rPr>
              <w:t>[0,9701 ; 0,9841]</w:t>
            </w:r>
          </w:p>
        </w:tc>
        <w:tc>
          <w:tcPr>
            <w:tcW w:type="dxa" w:w="1820"/>
          </w:tcPr>
          <w:p>
            <w:pPr>
              <w:spacing w:after="20" w:before="20" w:line="240" w:lineRule="auto"/>
              <w:jc w:val="left"/>
            </w:pPr>
            <w:r/>
            <w:r>
              <w:rPr>
                <w:sz w:val="18"/>
              </w:rPr>
              <w:t>[0,9573 ; 0,9704]</w:t>
            </w:r>
          </w:p>
        </w:tc>
      </w:tr>
      <w:tr>
        <w:trPr>
          <w:cantSplit w:val="true"/>
        </w:trPr>
        <w:tc>
          <w:tcPr>
            <w:tcW w:type="dxa" w:w="1911"/>
          </w:tcPr>
          <w:p>
            <w:pPr>
              <w:spacing w:after="20" w:before="20" w:line="240" w:lineRule="auto"/>
              <w:jc w:val="left"/>
            </w:pPr>
            <w:r/>
            <w:r>
              <w:rPr>
                <w:sz w:val="18"/>
              </w:rPr>
              <w:t>LSTM-attention</w:t>
            </w:r>
          </w:p>
        </w:tc>
        <w:tc>
          <w:tcPr>
            <w:tcW w:type="dxa" w:w="1872"/>
          </w:tcPr>
          <w:p>
            <w:pPr>
              <w:spacing w:after="20" w:before="20" w:line="240" w:lineRule="auto"/>
              <w:jc w:val="left"/>
            </w:pPr>
            <w:r/>
            <w:r>
              <w:rPr>
                <w:sz w:val="18"/>
              </w:rPr>
              <w:t>[0,9861 ; 0,9918]</w:t>
            </w:r>
          </w:p>
        </w:tc>
        <w:tc>
          <w:tcPr>
            <w:tcW w:type="dxa" w:w="1912"/>
          </w:tcPr>
          <w:p>
            <w:pPr>
              <w:spacing w:after="20" w:before="20" w:line="240" w:lineRule="auto"/>
              <w:jc w:val="left"/>
            </w:pPr>
            <w:r/>
            <w:r>
              <w:rPr>
                <w:sz w:val="18"/>
              </w:rPr>
              <w:t>[0,9168 ; 0,9412]</w:t>
            </w:r>
          </w:p>
        </w:tc>
        <w:tc>
          <w:tcPr>
            <w:tcW w:type="dxa" w:w="1872"/>
          </w:tcPr>
          <w:p>
            <w:pPr>
              <w:spacing w:after="20" w:before="20" w:line="240" w:lineRule="auto"/>
              <w:jc w:val="left"/>
            </w:pPr>
            <w:r/>
            <w:r>
              <w:rPr>
                <w:sz w:val="18"/>
              </w:rPr>
              <w:t>[0,9580 ; 0,9749]</w:t>
            </w:r>
          </w:p>
        </w:tc>
        <w:tc>
          <w:tcPr>
            <w:tcW w:type="dxa" w:w="1820"/>
          </w:tcPr>
          <w:p>
            <w:pPr>
              <w:spacing w:after="20" w:before="20" w:line="240" w:lineRule="auto"/>
              <w:jc w:val="left"/>
            </w:pPr>
            <w:r/>
            <w:r>
              <w:rPr>
                <w:sz w:val="18"/>
              </w:rPr>
              <w:t>[0,9391 ; 0,9554]</w:t>
            </w:r>
          </w:p>
        </w:tc>
      </w:tr>
      <w:tr>
        <w:trPr>
          <w:cantSplit w:val="true"/>
        </w:trPr>
        <w:tc>
          <w:tcPr>
            <w:tcW w:type="dxa" w:w="1911"/>
          </w:tcPr>
          <w:p>
            <w:pPr>
              <w:spacing w:after="20" w:before="20" w:line="240" w:lineRule="auto"/>
              <w:jc w:val="left"/>
            </w:pPr>
            <w:r/>
            <w:r>
              <w:rPr>
                <w:sz w:val="18"/>
              </w:rPr>
              <w:t>XGBoost</w:t>
            </w:r>
          </w:p>
        </w:tc>
        <w:tc>
          <w:tcPr>
            <w:tcW w:type="dxa" w:w="1872"/>
          </w:tcPr>
          <w:p>
            <w:pPr>
              <w:spacing w:after="20" w:before="20" w:line="240" w:lineRule="auto"/>
              <w:jc w:val="left"/>
            </w:pPr>
            <w:r/>
            <w:r>
              <w:rPr>
                <w:sz w:val="18"/>
              </w:rPr>
              <w:t>[0,9861 ; 0,9919]</w:t>
            </w:r>
          </w:p>
        </w:tc>
        <w:tc>
          <w:tcPr>
            <w:tcW w:type="dxa" w:w="1912"/>
          </w:tcPr>
          <w:p>
            <w:pPr>
              <w:spacing w:after="20" w:before="20" w:line="240" w:lineRule="auto"/>
              <w:jc w:val="left"/>
            </w:pPr>
            <w:r/>
            <w:r>
              <w:rPr>
                <w:sz w:val="18"/>
              </w:rPr>
              <w:t>[0,9019 ; 0,9318]</w:t>
            </w:r>
          </w:p>
        </w:tc>
        <w:tc>
          <w:tcPr>
            <w:tcW w:type="dxa" w:w="1872"/>
          </w:tcPr>
          <w:p>
            <w:pPr>
              <w:spacing w:after="20" w:before="20" w:line="240" w:lineRule="auto"/>
              <w:jc w:val="left"/>
            </w:pPr>
            <w:r/>
            <w:r>
              <w:rPr>
                <w:sz w:val="18"/>
              </w:rPr>
              <w:t>[0,9482 ; 0,9699]</w:t>
            </w:r>
          </w:p>
        </w:tc>
        <w:tc>
          <w:tcPr>
            <w:tcW w:type="dxa" w:w="1820"/>
          </w:tcPr>
          <w:p>
            <w:pPr>
              <w:spacing w:after="20" w:before="20" w:line="240" w:lineRule="auto"/>
              <w:jc w:val="left"/>
            </w:pPr>
            <w:r/>
            <w:r>
              <w:rPr>
                <w:sz w:val="18"/>
              </w:rPr>
              <w:t>[0,9274 ; 0,9462]</w:t>
            </w:r>
          </w:p>
        </w:tc>
      </w:tr>
      <w:tr>
        <w:trPr>
          <w:cantSplit w:val="true"/>
        </w:trPr>
        <w:tc>
          <w:tcPr>
            <w:tcW w:type="dxa" w:w="1911"/>
          </w:tcPr>
          <w:p>
            <w:pPr>
              <w:spacing w:after="20" w:before="20" w:line="240" w:lineRule="auto"/>
              <w:jc w:val="left"/>
            </w:pPr>
            <w:r/>
            <w:r>
              <w:rPr>
                <w:sz w:val="18"/>
              </w:rPr>
              <w:t>Random Forest</w:t>
            </w:r>
          </w:p>
        </w:tc>
        <w:tc>
          <w:tcPr>
            <w:tcW w:type="dxa" w:w="1872"/>
          </w:tcPr>
          <w:p>
            <w:pPr>
              <w:spacing w:after="20" w:before="20" w:line="240" w:lineRule="auto"/>
              <w:jc w:val="left"/>
            </w:pPr>
            <w:r/>
            <w:r>
              <w:rPr>
                <w:sz w:val="18"/>
              </w:rPr>
              <w:t>[0,9798 ; 0,9875]</w:t>
            </w:r>
          </w:p>
        </w:tc>
        <w:tc>
          <w:tcPr>
            <w:tcW w:type="dxa" w:w="1912"/>
          </w:tcPr>
          <w:p>
            <w:pPr>
              <w:spacing w:after="20" w:before="20" w:line="240" w:lineRule="auto"/>
              <w:jc w:val="left"/>
            </w:pPr>
            <w:r/>
            <w:r>
              <w:rPr>
                <w:sz w:val="18"/>
              </w:rPr>
              <w:t>[0,9201 ; 0,9459]</w:t>
            </w:r>
          </w:p>
        </w:tc>
        <w:tc>
          <w:tcPr>
            <w:tcW w:type="dxa" w:w="1872"/>
          </w:tcPr>
          <w:p>
            <w:pPr>
              <w:spacing w:after="20" w:before="20" w:line="240" w:lineRule="auto"/>
              <w:jc w:val="left"/>
            </w:pPr>
            <w:r/>
            <w:r>
              <w:rPr>
                <w:sz w:val="18"/>
              </w:rPr>
              <w:t>[0,9150 ; 0,9417]</w:t>
            </w:r>
          </w:p>
        </w:tc>
        <w:tc>
          <w:tcPr>
            <w:tcW w:type="dxa" w:w="1820"/>
          </w:tcPr>
          <w:p>
            <w:pPr>
              <w:spacing w:after="20" w:before="20" w:line="240" w:lineRule="auto"/>
              <w:jc w:val="left"/>
            </w:pPr>
            <w:r/>
            <w:r>
              <w:rPr>
                <w:sz w:val="18"/>
              </w:rPr>
              <w:t>[0,9203 ; 0,9414]</w:t>
            </w:r>
          </w:p>
        </w:tc>
      </w:tr>
      <w:tr>
        <w:trPr>
          <w:cantSplit w:val="true"/>
        </w:trPr>
        <w:tc>
          <w:tcPr>
            <w:tcW w:type="dxa" w:w="1911"/>
          </w:tcPr>
          <w:p>
            <w:pPr>
              <w:spacing w:after="20" w:before="20" w:line="240" w:lineRule="auto"/>
              <w:jc w:val="left"/>
            </w:pPr>
            <w:r/>
            <w:r>
              <w:rPr>
                <w:sz w:val="18"/>
              </w:rPr>
              <w:t>Régression logistique</w:t>
            </w:r>
          </w:p>
        </w:tc>
        <w:tc>
          <w:tcPr>
            <w:tcW w:type="dxa" w:w="1872"/>
          </w:tcPr>
          <w:p>
            <w:pPr>
              <w:spacing w:after="20" w:before="20" w:line="240" w:lineRule="auto"/>
              <w:jc w:val="left"/>
            </w:pPr>
            <w:r/>
            <w:r>
              <w:rPr>
                <w:sz w:val="18"/>
              </w:rPr>
              <w:t>[0,9375 ; 0,9626]</w:t>
            </w:r>
          </w:p>
        </w:tc>
        <w:tc>
          <w:tcPr>
            <w:tcW w:type="dxa" w:w="1912"/>
          </w:tcPr>
          <w:p>
            <w:pPr>
              <w:spacing w:after="20" w:before="20" w:line="240" w:lineRule="auto"/>
              <w:jc w:val="left"/>
            </w:pPr>
            <w:r/>
            <w:r>
              <w:rPr>
                <w:sz w:val="18"/>
              </w:rPr>
              <w:t>[0,8493 ; 0,9057]</w:t>
            </w:r>
          </w:p>
        </w:tc>
        <w:tc>
          <w:tcPr>
            <w:tcW w:type="dxa" w:w="1872"/>
          </w:tcPr>
          <w:p>
            <w:pPr>
              <w:spacing w:after="20" w:before="20" w:line="240" w:lineRule="auto"/>
              <w:jc w:val="left"/>
            </w:pPr>
            <w:r/>
            <w:r>
              <w:rPr>
                <w:sz w:val="18"/>
              </w:rPr>
              <w:t>[0,8426 ; 0,8907]</w:t>
            </w:r>
          </w:p>
        </w:tc>
        <w:tc>
          <w:tcPr>
            <w:tcW w:type="dxa" w:w="1820"/>
          </w:tcPr>
          <w:p>
            <w:pPr>
              <w:spacing w:after="20" w:before="20" w:line="240" w:lineRule="auto"/>
              <w:jc w:val="left"/>
            </w:pPr>
            <w:r/>
            <w:r>
              <w:rPr>
                <w:sz w:val="18"/>
              </w:rPr>
              <w:t>[0,8516 ; 0,8930]</w:t>
            </w:r>
          </w:p>
        </w:tc>
      </w:tr>
      <w:tr>
        <w:trPr>
          <w:cantSplit w:val="true"/>
        </w:trPr>
        <w:tc>
          <w:tcPr>
            <w:tcW w:type="dxa" w:w="1911"/>
          </w:tcPr>
          <w:p>
            <w:pPr>
              <w:spacing w:after="20" w:before="20" w:line="240" w:lineRule="auto"/>
              <w:jc w:val="left"/>
            </w:pPr>
            <w:r/>
            <w:r>
              <w:rPr>
                <w:sz w:val="18"/>
              </w:rPr>
              <w:t>Autoencodeur</w:t>
            </w:r>
          </w:p>
        </w:tc>
        <w:tc>
          <w:tcPr>
            <w:tcW w:type="dxa" w:w="1872"/>
          </w:tcPr>
          <w:p>
            <w:pPr>
              <w:spacing w:after="20" w:before="20" w:line="240" w:lineRule="auto"/>
              <w:jc w:val="left"/>
            </w:pPr>
            <w:r/>
            <w:r>
              <w:rPr>
                <w:sz w:val="18"/>
              </w:rPr>
              <w:t>[0,6533 ; 0,7668]</w:t>
            </w:r>
          </w:p>
        </w:tc>
        <w:tc>
          <w:tcPr>
            <w:tcW w:type="dxa" w:w="1912"/>
          </w:tcPr>
          <w:p>
            <w:pPr>
              <w:spacing w:after="20" w:before="20" w:line="240" w:lineRule="auto"/>
              <w:jc w:val="left"/>
            </w:pPr>
            <w:r/>
            <w:r>
              <w:rPr>
                <w:sz w:val="18"/>
              </w:rPr>
              <w:t>[0,9457 ; 0,9721]</w:t>
            </w:r>
          </w:p>
        </w:tc>
        <w:tc>
          <w:tcPr>
            <w:tcW w:type="dxa" w:w="1872"/>
          </w:tcPr>
          <w:p>
            <w:pPr>
              <w:spacing w:after="20" w:before="20" w:line="240" w:lineRule="auto"/>
              <w:jc w:val="left"/>
            </w:pPr>
            <w:r/>
            <w:r>
              <w:rPr>
                <w:sz w:val="18"/>
              </w:rPr>
              <w:t>[0,5401 ; 0,6914]</w:t>
            </w:r>
          </w:p>
        </w:tc>
        <w:tc>
          <w:tcPr>
            <w:tcW w:type="dxa" w:w="1820"/>
          </w:tcPr>
          <w:p>
            <w:pPr>
              <w:spacing w:after="20" w:before="20" w:line="240" w:lineRule="auto"/>
              <w:jc w:val="left"/>
            </w:pPr>
            <w:r/>
            <w:r>
              <w:rPr>
                <w:sz w:val="18"/>
              </w:rPr>
              <w:t>[0,6899 ; 0,8047]</w:t>
            </w:r>
          </w:p>
        </w:tc>
      </w:tr>
      <w:tr>
        <w:trPr>
          <w:cantSplit w:val="true"/>
        </w:trPr>
        <w:tc>
          <w:tcPr>
            <w:tcW w:type="dxa" w:w="1911"/>
          </w:tcPr>
          <w:p>
            <w:pPr>
              <w:spacing w:after="20" w:before="20" w:line="240" w:lineRule="auto"/>
              <w:jc w:val="left"/>
            </w:pPr>
            <w:r/>
            <w:r>
              <w:rPr>
                <w:sz w:val="18"/>
              </w:rPr>
              <w:t>Isolation Forest</w:t>
            </w:r>
          </w:p>
        </w:tc>
        <w:tc>
          <w:tcPr>
            <w:tcW w:type="dxa" w:w="1872"/>
          </w:tcPr>
          <w:p>
            <w:pPr>
              <w:spacing w:after="20" w:before="20" w:line="240" w:lineRule="auto"/>
              <w:jc w:val="left"/>
            </w:pPr>
            <w:r/>
            <w:r>
              <w:rPr>
                <w:sz w:val="18"/>
              </w:rPr>
              <w:t>[0,3246 ; 0,4578]</w:t>
            </w:r>
          </w:p>
        </w:tc>
        <w:tc>
          <w:tcPr>
            <w:tcW w:type="dxa" w:w="1912"/>
          </w:tcPr>
          <w:p>
            <w:pPr>
              <w:spacing w:after="20" w:before="20" w:line="240" w:lineRule="auto"/>
              <w:jc w:val="left"/>
            </w:pPr>
            <w:r/>
            <w:r>
              <w:rPr>
                <w:sz w:val="18"/>
              </w:rPr>
              <w:t>[0,3231 ; 0,5268]</w:t>
            </w:r>
          </w:p>
        </w:tc>
        <w:tc>
          <w:tcPr>
            <w:tcW w:type="dxa" w:w="1872"/>
          </w:tcPr>
          <w:p>
            <w:pPr>
              <w:spacing w:after="20" w:before="20" w:line="240" w:lineRule="auto"/>
              <w:jc w:val="left"/>
            </w:pPr>
            <w:r/>
            <w:r>
              <w:rPr>
                <w:sz w:val="18"/>
              </w:rPr>
              <w:t>[0,3458 ; 0,4431]</w:t>
            </w:r>
          </w:p>
        </w:tc>
        <w:tc>
          <w:tcPr>
            <w:tcW w:type="dxa" w:w="1820"/>
          </w:tcPr>
          <w:p>
            <w:pPr>
              <w:spacing w:after="20" w:before="20" w:line="240" w:lineRule="auto"/>
              <w:jc w:val="left"/>
            </w:pPr>
            <w:r/>
            <w:r>
              <w:rPr>
                <w:sz w:val="18"/>
              </w:rPr>
              <w:t>[0,3498 ; 0,4672]</w:t>
            </w:r>
          </w:p>
        </w:tc>
      </w:tr>
      <w:tr>
        <w:trPr>
          <w:cantSplit w:val="true"/>
        </w:trPr>
        <w:tc>
          <w:tcPr>
            <w:tcW w:type="dxa" w:w="1911"/>
          </w:tcPr>
          <w:p>
            <w:pPr>
              <w:spacing w:after="20" w:before="20" w:line="240" w:lineRule="auto"/>
              <w:jc w:val="left"/>
            </w:pPr>
            <w:r/>
            <w:r>
              <w:rPr>
                <w:sz w:val="18"/>
              </w:rPr>
              <w:t>Règles métier</w:t>
            </w:r>
          </w:p>
        </w:tc>
        <w:tc>
          <w:tcPr>
            <w:tcW w:type="dxa" w:w="1872"/>
          </w:tcPr>
          <w:p>
            <w:pPr>
              <w:spacing w:after="20" w:before="20" w:line="240" w:lineRule="auto"/>
              <w:jc w:val="left"/>
            </w:pPr>
            <w:r/>
            <w:r>
              <w:rPr>
                <w:sz w:val="18"/>
              </w:rPr>
              <w:t>[0,2388 ; 0,3123]</w:t>
            </w:r>
          </w:p>
        </w:tc>
        <w:tc>
          <w:tcPr>
            <w:tcW w:type="dxa" w:w="1912"/>
          </w:tcPr>
          <w:p>
            <w:pPr>
              <w:spacing w:after="20" w:before="20" w:line="240" w:lineRule="auto"/>
              <w:jc w:val="left"/>
            </w:pPr>
            <w:r/>
            <w:r>
              <w:rPr>
                <w:sz w:val="18"/>
              </w:rPr>
              <w:t>[0,3251 ; 0,4219]</w:t>
            </w:r>
          </w:p>
        </w:tc>
        <w:tc>
          <w:tcPr>
            <w:tcW w:type="dxa" w:w="1872"/>
          </w:tcPr>
          <w:p>
            <w:pPr>
              <w:spacing w:after="20" w:before="20" w:line="240" w:lineRule="auto"/>
              <w:jc w:val="left"/>
            </w:pPr>
            <w:r/>
            <w:r>
              <w:rPr>
                <w:sz w:val="18"/>
              </w:rPr>
              <w:t>[0,3101 ; 0,4015]</w:t>
            </w:r>
          </w:p>
        </w:tc>
        <w:tc>
          <w:tcPr>
            <w:tcW w:type="dxa" w:w="1820"/>
          </w:tcPr>
          <w:p>
            <w:pPr>
              <w:spacing w:after="20" w:before="20" w:line="240" w:lineRule="auto"/>
              <w:jc w:val="left"/>
            </w:pPr>
            <w:r/>
            <w:r>
              <w:rPr>
                <w:sz w:val="18"/>
              </w:rPr>
              <w:t>[0,3227 ; 0,4074]</w:t>
            </w:r>
          </w:p>
        </w:tc>
      </w:tr>
    </w:tbl>
    <w:p>
      <w:pPr>
        <w:spacing w:after="120"/>
      </w:pPr>
    </w:p>
    <w:p>
      <w:pPr>
        <w:spacing w:before="0" w:after="120" w:line="360" w:lineRule="auto"/>
        <w:jc w:val="both"/>
      </w:pPr>
      <w:r>
        <w:rPr>
          <w:sz w:val="24"/>
        </w:rPr>
        <w:t>L'hybride obtient la meilleure valeur sur toutes les mesures au seuil, sauf trois : la précision, la spécificité et le nombre de fausses alertes, où seul l'</w:t>
      </w:r>
      <w:r>
        <w:rPr>
          <w:b/>
          <w:sz w:val="24"/>
        </w:rPr>
        <w:t>autoencodeur</w:t>
      </w:r>
      <w:r>
        <w:rPr>
          <w:sz w:val="24"/>
        </w:rPr>
        <w:t xml:space="preserve"> le dépasse (64 fausses alertes contre 122). Mais l'autoencodeur manque 937 fraudes, 17 fois plus que l'hybride : sa précision est celle d'un détecteur très prudent, pas d'un meilleur détecteur, comme le montre son MCC de 0,766 contre 0,964. Les intervalles de confiance en PR-AUC et en F1 de l'hybride ne recoupent pas ceux du LSTM et d'XGBoost.</w:t>
      </w:r>
    </w:p>
    <w:p>
      <w:pPr>
        <w:keepNext/>
        <w:spacing w:before="160" w:after="40"/>
        <w:jc w:val="center"/>
      </w:pPr>
      <w:r>
        <w:drawing>
          <wp:inline xmlns:a="http://schemas.openxmlformats.org/drawingml/2006/main" xmlns:pic="http://schemas.openxmlformats.org/drawingml/2006/picture">
            <wp:extent cx="5580000" cy="2595925"/>
            <wp:docPr id="50" name="Picture 50"/>
            <wp:cNvGraphicFramePr>
              <a:graphicFrameLocks noChangeAspect="1"/>
            </wp:cNvGraphicFramePr>
            <a:graphic>
              <a:graphicData uri="http://schemas.openxmlformats.org/drawingml/2006/picture">
                <pic:pic>
                  <pic:nvPicPr>
                    <pic:cNvPr id="0" name="fig_II_06_roc.png"/>
                    <pic:cNvPicPr/>
                  </pic:nvPicPr>
                  <pic:blipFill>
                    <a:blip r:embed="rId24"/>
                    <a:stretch>
                      <a:fillRect/>
                    </a:stretch>
                  </pic:blipFill>
                  <pic:spPr>
                    <a:xfrm>
                      <a:off x="0" y="0"/>
                      <a:ext cx="5580000" cy="2595925"/>
                    </a:xfrm>
                    <a:prstGeom prst="rect"/>
                  </pic:spPr>
                </pic:pic>
              </a:graphicData>
            </a:graphic>
          </wp:inline>
        </w:drawing>
      </w:r>
    </w:p>
    <w:p>
      <w:pPr>
        <w:pStyle w:val="Légendefigure"/>
        <w:spacing w:before="40" w:after="240"/>
        <w:jc w:val="center"/>
      </w:pPr>
      <w:r>
        <w:rPr>
          <w:i/>
          <w:sz w:val="20"/>
        </w:rPr>
        <w:t>Figure III.9 — Courbes ROC des huit méthodes : vue complète et taux de faux positifs en échelle logarithmique.</w:t>
      </w:r>
    </w:p>
    <w:p>
      <w:pPr>
        <w:spacing w:before="0" w:after="120" w:line="360" w:lineRule="auto"/>
        <w:jc w:val="both"/>
      </w:pPr>
      <w:r>
        <w:rPr>
          <w:sz w:val="24"/>
        </w:rPr>
        <w:t>La vue complète confirme la limite de la ROC-AUC sur données déséquilibrées : sept courbes sur huit se confondent près du coin supérieur gauche. L'échelle logarithmique révèle la zone qui compte pour un opérateur, celle où très peu de clients honnêtes sont dérangés : à 0,01 % de faux positifs, l'hybride détecte déjà 91,3 % des fraudes, contre 84,6 % pour XGBoost et 83,8 % pour le LSTM.</w:t>
      </w:r>
    </w:p>
    <w:p>
      <w:pPr>
        <w:keepNext/>
        <w:spacing w:before="160" w:after="40"/>
        <w:jc w:val="center"/>
      </w:pPr>
      <w:r>
        <w:drawing>
          <wp:inline xmlns:a="http://schemas.openxmlformats.org/drawingml/2006/main" xmlns:pic="http://schemas.openxmlformats.org/drawingml/2006/picture">
            <wp:extent cx="5580000" cy="2597347"/>
            <wp:docPr id="51" name="Picture 51"/>
            <wp:cNvGraphicFramePr>
              <a:graphicFrameLocks noChangeAspect="1"/>
            </wp:cNvGraphicFramePr>
            <a:graphic>
              <a:graphicData uri="http://schemas.openxmlformats.org/drawingml/2006/picture">
                <pic:pic>
                  <pic:nvPicPr>
                    <pic:cNvPr id="0" name="fig_II_07_precision_rappel.png"/>
                    <pic:cNvPicPr/>
                  </pic:nvPicPr>
                  <pic:blipFill>
                    <a:blip r:embed="rId25"/>
                    <a:stretch>
                      <a:fillRect/>
                    </a:stretch>
                  </pic:blipFill>
                  <pic:spPr>
                    <a:xfrm>
                      <a:off x="0" y="0"/>
                      <a:ext cx="5580000" cy="2597347"/>
                    </a:xfrm>
                    <a:prstGeom prst="rect"/>
                  </pic:spPr>
                </pic:pic>
              </a:graphicData>
            </a:graphic>
          </wp:inline>
        </w:drawing>
      </w:r>
    </w:p>
    <w:p>
      <w:pPr>
        <w:pStyle w:val="Légendefigure"/>
        <w:spacing w:before="40" w:after="240"/>
        <w:jc w:val="center"/>
      </w:pPr>
      <w:r>
        <w:rPr>
          <w:i/>
          <w:sz w:val="20"/>
        </w:rPr>
        <w:t>Figure III.10 — Courbes précision-rappel des huit méthodes : vue complète et zoom sur les meilleures.</w:t>
      </w:r>
    </w:p>
    <w:p>
      <w:pPr>
        <w:spacing w:before="0" w:after="120" w:line="360" w:lineRule="auto"/>
        <w:jc w:val="both"/>
      </w:pPr>
      <w:r>
        <w:rPr>
          <w:sz w:val="24"/>
        </w:rPr>
        <w:t>La courbe de l'hybride est au-dessus de toutes les autres sur toute la plage de rappel de 0,85 à 1. L'avantage n'est donc pas obtenu à un seul seuil favorable. Un opérateur ne pouvant traiter qu'un nombre limité d'alertes, le rappel à budget de fausses alertes fixé est la mesure la plus proche de l'exploitation (tableau III.12).</w:t>
      </w:r>
    </w:p>
    <w:p>
      <w:pPr>
        <w:pStyle w:val="Légendetableau"/>
        <w:keepNext/>
        <w:spacing w:before="200" w:after="80"/>
        <w:jc w:val="center"/>
      </w:pPr>
      <w:r>
        <w:rPr>
          <w:b/>
          <w:sz w:val="20"/>
        </w:rPr>
        <w:t>Tableau III.12 — Rappel à budget de fausses alertes fixé.</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3460"/>
        <w:gridCol w:w="1482"/>
        <w:gridCol w:w="1482"/>
        <w:gridCol w:w="1482"/>
        <w:gridCol w:w="1482"/>
      </w:tblGrid>
      <w:tr>
        <w:trPr>
          <w:tblHeader w:val="true"/>
        </w:trPr>
        <w:tc>
          <w:tcPr>
            <w:tcW w:type="dxa" w:w="3460"/>
            <w:shd w:val="clear" w:color="auto" w:fill="D9E2F3"/>
          </w:tcPr>
          <w:p>
            <w:pPr>
              <w:spacing w:after="20" w:before="20" w:line="240" w:lineRule="auto"/>
              <w:jc w:val="left"/>
            </w:pPr>
            <w:r/>
            <w:r>
              <w:rPr>
                <w:b/>
                <w:sz w:val="18"/>
              </w:rPr>
              <w:t>Méthode</w:t>
            </w:r>
          </w:p>
        </w:tc>
        <w:tc>
          <w:tcPr>
            <w:tcW w:type="dxa" w:w="1482"/>
            <w:shd w:val="clear" w:color="auto" w:fill="D9E2F3"/>
          </w:tcPr>
          <w:p>
            <w:pPr>
              <w:spacing w:after="20" w:before="20" w:line="240" w:lineRule="auto"/>
              <w:jc w:val="left"/>
            </w:pPr>
            <w:r/>
            <w:r>
              <w:rPr>
                <w:b/>
                <w:sz w:val="18"/>
              </w:rPr>
              <w:t>0,05 % de FP</w:t>
            </w:r>
          </w:p>
        </w:tc>
        <w:tc>
          <w:tcPr>
            <w:tcW w:type="dxa" w:w="1482"/>
            <w:shd w:val="clear" w:color="auto" w:fill="D9E2F3"/>
          </w:tcPr>
          <w:p>
            <w:pPr>
              <w:spacing w:after="20" w:before="20" w:line="240" w:lineRule="auto"/>
              <w:jc w:val="left"/>
            </w:pPr>
            <w:r/>
            <w:r>
              <w:rPr>
                <w:b/>
                <w:sz w:val="18"/>
              </w:rPr>
              <w:t>0,10 % de FP</w:t>
            </w:r>
          </w:p>
        </w:tc>
        <w:tc>
          <w:tcPr>
            <w:tcW w:type="dxa" w:w="1482"/>
            <w:shd w:val="clear" w:color="auto" w:fill="D9E2F3"/>
          </w:tcPr>
          <w:p>
            <w:pPr>
              <w:spacing w:after="20" w:before="20" w:line="240" w:lineRule="auto"/>
              <w:jc w:val="left"/>
            </w:pPr>
            <w:r/>
            <w:r>
              <w:rPr>
                <w:b/>
                <w:sz w:val="18"/>
              </w:rPr>
              <w:t>0,50 % de FP</w:t>
            </w:r>
          </w:p>
        </w:tc>
        <w:tc>
          <w:tcPr>
            <w:tcW w:type="dxa" w:w="1482"/>
            <w:shd w:val="clear" w:color="auto" w:fill="D9E2F3"/>
          </w:tcPr>
          <w:p>
            <w:pPr>
              <w:spacing w:after="20" w:before="20" w:line="240" w:lineRule="auto"/>
              <w:jc w:val="left"/>
            </w:pPr>
            <w:r/>
            <w:r>
              <w:rPr>
                <w:b/>
                <w:sz w:val="18"/>
              </w:rPr>
              <w:t>1 % de FP</w:t>
            </w:r>
          </w:p>
        </w:tc>
      </w:tr>
      <w:tr>
        <w:trPr>
          <w:cantSplit w:val="true"/>
        </w:trPr>
        <w:tc>
          <w:tcPr>
            <w:tcW w:type="dxa" w:w="3460"/>
          </w:tcPr>
          <w:p>
            <w:pPr>
              <w:spacing w:after="20" w:before="20" w:line="240" w:lineRule="auto"/>
              <w:jc w:val="left"/>
            </w:pPr>
            <w:r/>
            <w:r>
              <w:rPr>
                <w:b/>
                <w:sz w:val="18"/>
              </w:rPr>
              <w:t>Hybride</w:t>
            </w:r>
          </w:p>
        </w:tc>
        <w:tc>
          <w:tcPr>
            <w:tcW w:type="dxa" w:w="1482"/>
          </w:tcPr>
          <w:p>
            <w:pPr>
              <w:spacing w:after="20" w:before="20" w:line="240" w:lineRule="auto"/>
              <w:jc w:val="left"/>
            </w:pPr>
            <w:r/>
            <w:r>
              <w:rPr>
                <w:b/>
                <w:sz w:val="18"/>
              </w:rPr>
              <w:t>0,9688</w:t>
            </w:r>
          </w:p>
        </w:tc>
        <w:tc>
          <w:tcPr>
            <w:tcW w:type="dxa" w:w="1482"/>
          </w:tcPr>
          <w:p>
            <w:pPr>
              <w:spacing w:after="20" w:before="20" w:line="240" w:lineRule="auto"/>
              <w:jc w:val="left"/>
            </w:pPr>
            <w:r/>
            <w:r>
              <w:rPr>
                <w:b/>
                <w:sz w:val="18"/>
              </w:rPr>
              <w:t>0,9865</w:t>
            </w:r>
          </w:p>
        </w:tc>
        <w:tc>
          <w:tcPr>
            <w:tcW w:type="dxa" w:w="1482"/>
          </w:tcPr>
          <w:p>
            <w:pPr>
              <w:spacing w:after="20" w:before="20" w:line="240" w:lineRule="auto"/>
              <w:jc w:val="left"/>
            </w:pPr>
            <w:r/>
            <w:r>
              <w:rPr>
                <w:b/>
                <w:sz w:val="18"/>
              </w:rPr>
              <w:t>0,9992</w:t>
            </w:r>
          </w:p>
        </w:tc>
        <w:tc>
          <w:tcPr>
            <w:tcW w:type="dxa" w:w="1482"/>
          </w:tcPr>
          <w:p>
            <w:pPr>
              <w:spacing w:after="20" w:before="20" w:line="240" w:lineRule="auto"/>
              <w:jc w:val="left"/>
            </w:pPr>
            <w:r/>
            <w:r>
              <w:rPr>
                <w:sz w:val="18"/>
              </w:rPr>
              <w:t>0,9996</w:t>
            </w:r>
          </w:p>
        </w:tc>
      </w:tr>
      <w:tr>
        <w:trPr>
          <w:cantSplit w:val="true"/>
        </w:trPr>
        <w:tc>
          <w:tcPr>
            <w:tcW w:type="dxa" w:w="3460"/>
          </w:tcPr>
          <w:p>
            <w:pPr>
              <w:spacing w:after="20" w:before="20" w:line="240" w:lineRule="auto"/>
              <w:jc w:val="left"/>
            </w:pPr>
            <w:r/>
            <w:r>
              <w:rPr>
                <w:sz w:val="18"/>
              </w:rPr>
              <w:t>LSTM-attention</w:t>
            </w:r>
          </w:p>
        </w:tc>
        <w:tc>
          <w:tcPr>
            <w:tcW w:type="dxa" w:w="1482"/>
          </w:tcPr>
          <w:p>
            <w:pPr>
              <w:spacing w:after="20" w:before="20" w:line="240" w:lineRule="auto"/>
              <w:jc w:val="left"/>
            </w:pPr>
            <w:r/>
            <w:r>
              <w:rPr>
                <w:sz w:val="18"/>
              </w:rPr>
              <w:t>0,9401</w:t>
            </w:r>
          </w:p>
        </w:tc>
        <w:tc>
          <w:tcPr>
            <w:tcW w:type="dxa" w:w="1482"/>
          </w:tcPr>
          <w:p>
            <w:pPr>
              <w:spacing w:after="20" w:before="20" w:line="240" w:lineRule="auto"/>
              <w:jc w:val="left"/>
            </w:pPr>
            <w:r/>
            <w:r>
              <w:rPr>
                <w:sz w:val="18"/>
              </w:rPr>
              <w:t>0,9672</w:t>
            </w:r>
          </w:p>
        </w:tc>
        <w:tc>
          <w:tcPr>
            <w:tcW w:type="dxa" w:w="1482"/>
          </w:tcPr>
          <w:p>
            <w:pPr>
              <w:spacing w:after="20" w:before="20" w:line="240" w:lineRule="auto"/>
              <w:jc w:val="left"/>
            </w:pPr>
            <w:r/>
            <w:r>
              <w:rPr>
                <w:sz w:val="18"/>
              </w:rPr>
              <w:t>0,9918</w:t>
            </w:r>
          </w:p>
        </w:tc>
        <w:tc>
          <w:tcPr>
            <w:tcW w:type="dxa" w:w="1482"/>
          </w:tcPr>
          <w:p>
            <w:pPr>
              <w:spacing w:after="20" w:before="20" w:line="240" w:lineRule="auto"/>
              <w:jc w:val="left"/>
            </w:pPr>
            <w:r/>
            <w:r>
              <w:rPr>
                <w:sz w:val="18"/>
              </w:rPr>
              <w:t>0,9979</w:t>
            </w:r>
          </w:p>
        </w:tc>
      </w:tr>
      <w:tr>
        <w:trPr>
          <w:cantSplit w:val="true"/>
        </w:trPr>
        <w:tc>
          <w:tcPr>
            <w:tcW w:type="dxa" w:w="3460"/>
          </w:tcPr>
          <w:p>
            <w:pPr>
              <w:spacing w:after="20" w:before="20" w:line="240" w:lineRule="auto"/>
              <w:jc w:val="left"/>
            </w:pPr>
            <w:r/>
            <w:r>
              <w:rPr>
                <w:sz w:val="18"/>
              </w:rPr>
              <w:t>XGBoost</w:t>
            </w:r>
          </w:p>
        </w:tc>
        <w:tc>
          <w:tcPr>
            <w:tcW w:type="dxa" w:w="1482"/>
          </w:tcPr>
          <w:p>
            <w:pPr>
              <w:spacing w:after="20" w:before="20" w:line="240" w:lineRule="auto"/>
              <w:jc w:val="left"/>
            </w:pPr>
            <w:r/>
            <w:r>
              <w:rPr>
                <w:sz w:val="18"/>
              </w:rPr>
              <w:t>0,9233</w:t>
            </w:r>
          </w:p>
        </w:tc>
        <w:tc>
          <w:tcPr>
            <w:tcW w:type="dxa" w:w="1482"/>
          </w:tcPr>
          <w:p>
            <w:pPr>
              <w:spacing w:after="20" w:before="20" w:line="240" w:lineRule="auto"/>
              <w:jc w:val="left"/>
            </w:pPr>
            <w:r/>
            <w:r>
              <w:rPr>
                <w:sz w:val="18"/>
              </w:rPr>
              <w:t>0,9528</w:t>
            </w:r>
          </w:p>
        </w:tc>
        <w:tc>
          <w:tcPr>
            <w:tcW w:type="dxa" w:w="1482"/>
          </w:tcPr>
          <w:p>
            <w:pPr>
              <w:spacing w:after="20" w:before="20" w:line="240" w:lineRule="auto"/>
              <w:jc w:val="left"/>
            </w:pPr>
            <w:r/>
            <w:r>
              <w:rPr>
                <w:sz w:val="18"/>
              </w:rPr>
              <w:t>0,9967</w:t>
            </w:r>
          </w:p>
        </w:tc>
        <w:tc>
          <w:tcPr>
            <w:tcW w:type="dxa" w:w="1482"/>
          </w:tcPr>
          <w:p>
            <w:pPr>
              <w:spacing w:after="20" w:before="20" w:line="240" w:lineRule="auto"/>
              <w:jc w:val="left"/>
            </w:pPr>
            <w:r/>
            <w:r>
              <w:rPr>
                <w:b/>
                <w:sz w:val="18"/>
              </w:rPr>
              <w:t>1,0000</w:t>
            </w:r>
          </w:p>
        </w:tc>
      </w:tr>
      <w:tr>
        <w:trPr>
          <w:cantSplit w:val="true"/>
        </w:trPr>
        <w:tc>
          <w:tcPr>
            <w:tcW w:type="dxa" w:w="3460"/>
          </w:tcPr>
          <w:p>
            <w:pPr>
              <w:spacing w:after="20" w:before="20" w:line="240" w:lineRule="auto"/>
              <w:jc w:val="left"/>
            </w:pPr>
            <w:r/>
            <w:r>
              <w:rPr>
                <w:sz w:val="18"/>
              </w:rPr>
              <w:t>Random Forest</w:t>
            </w:r>
          </w:p>
        </w:tc>
        <w:tc>
          <w:tcPr>
            <w:tcW w:type="dxa" w:w="1482"/>
          </w:tcPr>
          <w:p>
            <w:pPr>
              <w:spacing w:after="20" w:before="20" w:line="240" w:lineRule="auto"/>
              <w:jc w:val="left"/>
            </w:pPr>
            <w:r/>
            <w:r>
              <w:rPr>
                <w:sz w:val="18"/>
              </w:rPr>
              <w:t>0,8970</w:t>
            </w:r>
          </w:p>
        </w:tc>
        <w:tc>
          <w:tcPr>
            <w:tcW w:type="dxa" w:w="1482"/>
          </w:tcPr>
          <w:p>
            <w:pPr>
              <w:spacing w:after="20" w:before="20" w:line="240" w:lineRule="auto"/>
              <w:jc w:val="left"/>
            </w:pPr>
            <w:r/>
            <w:r>
              <w:rPr>
                <w:sz w:val="18"/>
              </w:rPr>
              <w:t>0,9327</w:t>
            </w:r>
          </w:p>
        </w:tc>
        <w:tc>
          <w:tcPr>
            <w:tcW w:type="dxa" w:w="1482"/>
          </w:tcPr>
          <w:p>
            <w:pPr>
              <w:spacing w:after="20" w:before="20" w:line="240" w:lineRule="auto"/>
              <w:jc w:val="left"/>
            </w:pPr>
            <w:r/>
            <w:r>
              <w:rPr>
                <w:sz w:val="18"/>
              </w:rPr>
              <w:t>0,9930</w:t>
            </w:r>
          </w:p>
        </w:tc>
        <w:tc>
          <w:tcPr>
            <w:tcW w:type="dxa" w:w="1482"/>
          </w:tcPr>
          <w:p>
            <w:pPr>
              <w:spacing w:after="20" w:before="20" w:line="240" w:lineRule="auto"/>
              <w:jc w:val="left"/>
            </w:pPr>
            <w:r/>
            <w:r>
              <w:rPr>
                <w:sz w:val="18"/>
              </w:rPr>
              <w:t>0,9996</w:t>
            </w:r>
          </w:p>
        </w:tc>
      </w:tr>
      <w:tr>
        <w:trPr>
          <w:cantSplit w:val="true"/>
        </w:trPr>
        <w:tc>
          <w:tcPr>
            <w:tcW w:type="dxa" w:w="3460"/>
          </w:tcPr>
          <w:p>
            <w:pPr>
              <w:spacing w:after="20" w:before="20" w:line="240" w:lineRule="auto"/>
              <w:jc w:val="left"/>
            </w:pPr>
            <w:r/>
            <w:r>
              <w:rPr>
                <w:sz w:val="18"/>
              </w:rPr>
              <w:t>Régression logistique</w:t>
            </w:r>
          </w:p>
        </w:tc>
        <w:tc>
          <w:tcPr>
            <w:tcW w:type="dxa" w:w="1482"/>
          </w:tcPr>
          <w:p>
            <w:pPr>
              <w:spacing w:after="20" w:before="20" w:line="240" w:lineRule="auto"/>
              <w:jc w:val="left"/>
            </w:pPr>
            <w:r/>
            <w:r>
              <w:rPr>
                <w:sz w:val="18"/>
              </w:rPr>
              <w:t>0,7854</w:t>
            </w:r>
          </w:p>
        </w:tc>
        <w:tc>
          <w:tcPr>
            <w:tcW w:type="dxa" w:w="1482"/>
          </w:tcPr>
          <w:p>
            <w:pPr>
              <w:spacing w:after="20" w:before="20" w:line="240" w:lineRule="auto"/>
              <w:jc w:val="left"/>
            </w:pPr>
            <w:r/>
            <w:r>
              <w:rPr>
                <w:sz w:val="18"/>
              </w:rPr>
              <w:t>0,8289</w:t>
            </w:r>
          </w:p>
        </w:tc>
        <w:tc>
          <w:tcPr>
            <w:tcW w:type="dxa" w:w="1482"/>
          </w:tcPr>
          <w:p>
            <w:pPr>
              <w:spacing w:after="20" w:before="20" w:line="240" w:lineRule="auto"/>
              <w:jc w:val="left"/>
            </w:pPr>
            <w:r/>
            <w:r>
              <w:rPr>
                <w:sz w:val="18"/>
              </w:rPr>
              <w:t>0,9458</w:t>
            </w:r>
          </w:p>
        </w:tc>
        <w:tc>
          <w:tcPr>
            <w:tcW w:type="dxa" w:w="1482"/>
          </w:tcPr>
          <w:p>
            <w:pPr>
              <w:spacing w:after="20" w:before="20" w:line="240" w:lineRule="auto"/>
              <w:jc w:val="left"/>
            </w:pPr>
            <w:r/>
            <w:r>
              <w:rPr>
                <w:sz w:val="18"/>
              </w:rPr>
              <w:t>0,9746</w:t>
            </w:r>
          </w:p>
        </w:tc>
      </w:tr>
      <w:tr>
        <w:trPr>
          <w:cantSplit w:val="true"/>
        </w:trPr>
        <w:tc>
          <w:tcPr>
            <w:tcW w:type="dxa" w:w="3460"/>
          </w:tcPr>
          <w:p>
            <w:pPr>
              <w:spacing w:after="20" w:before="20" w:line="240" w:lineRule="auto"/>
              <w:jc w:val="left"/>
            </w:pPr>
            <w:r/>
            <w:r>
              <w:rPr>
                <w:sz w:val="18"/>
              </w:rPr>
              <w:t>Autoencodeur</w:t>
            </w:r>
          </w:p>
        </w:tc>
        <w:tc>
          <w:tcPr>
            <w:tcW w:type="dxa" w:w="1482"/>
          </w:tcPr>
          <w:p>
            <w:pPr>
              <w:spacing w:after="20" w:before="20" w:line="240" w:lineRule="auto"/>
              <w:jc w:val="left"/>
            </w:pPr>
            <w:r/>
            <w:r>
              <w:rPr>
                <w:sz w:val="18"/>
              </w:rPr>
              <w:t>0,6167</w:t>
            </w:r>
          </w:p>
        </w:tc>
        <w:tc>
          <w:tcPr>
            <w:tcW w:type="dxa" w:w="1482"/>
          </w:tcPr>
          <w:p>
            <w:pPr>
              <w:spacing w:after="20" w:before="20" w:line="240" w:lineRule="auto"/>
              <w:jc w:val="left"/>
            </w:pPr>
            <w:r/>
            <w:r>
              <w:rPr>
                <w:sz w:val="18"/>
              </w:rPr>
              <w:t>0,6204</w:t>
            </w:r>
          </w:p>
        </w:tc>
        <w:tc>
          <w:tcPr>
            <w:tcW w:type="dxa" w:w="1482"/>
          </w:tcPr>
          <w:p>
            <w:pPr>
              <w:spacing w:after="20" w:before="20" w:line="240" w:lineRule="auto"/>
              <w:jc w:val="left"/>
            </w:pPr>
            <w:r/>
            <w:r>
              <w:rPr>
                <w:sz w:val="18"/>
              </w:rPr>
              <w:t>0,6274</w:t>
            </w:r>
          </w:p>
        </w:tc>
        <w:tc>
          <w:tcPr>
            <w:tcW w:type="dxa" w:w="1482"/>
          </w:tcPr>
          <w:p>
            <w:pPr>
              <w:spacing w:after="20" w:before="20" w:line="240" w:lineRule="auto"/>
              <w:jc w:val="left"/>
            </w:pPr>
            <w:r/>
            <w:r>
              <w:rPr>
                <w:sz w:val="18"/>
              </w:rPr>
              <w:t>0,6278</w:t>
            </w:r>
          </w:p>
        </w:tc>
      </w:tr>
      <w:tr>
        <w:trPr>
          <w:cantSplit w:val="true"/>
        </w:trPr>
        <w:tc>
          <w:tcPr>
            <w:tcW w:type="dxa" w:w="3460"/>
          </w:tcPr>
          <w:p>
            <w:pPr>
              <w:spacing w:after="20" w:before="20" w:line="240" w:lineRule="auto"/>
              <w:jc w:val="left"/>
            </w:pPr>
            <w:r/>
            <w:r>
              <w:rPr>
                <w:sz w:val="18"/>
              </w:rPr>
              <w:t>Isolation Forest</w:t>
            </w:r>
          </w:p>
        </w:tc>
        <w:tc>
          <w:tcPr>
            <w:tcW w:type="dxa" w:w="1482"/>
          </w:tcPr>
          <w:p>
            <w:pPr>
              <w:spacing w:after="20" w:before="20" w:line="240" w:lineRule="auto"/>
              <w:jc w:val="left"/>
            </w:pPr>
            <w:r/>
            <w:r>
              <w:rPr>
                <w:sz w:val="18"/>
              </w:rPr>
              <w:t>0,1461</w:t>
            </w:r>
          </w:p>
        </w:tc>
        <w:tc>
          <w:tcPr>
            <w:tcW w:type="dxa" w:w="1482"/>
          </w:tcPr>
          <w:p>
            <w:pPr>
              <w:spacing w:after="20" w:before="20" w:line="240" w:lineRule="auto"/>
              <w:jc w:val="left"/>
            </w:pPr>
            <w:r/>
            <w:r>
              <w:rPr>
                <w:sz w:val="18"/>
              </w:rPr>
              <w:t>0,1924</w:t>
            </w:r>
          </w:p>
        </w:tc>
        <w:tc>
          <w:tcPr>
            <w:tcW w:type="dxa" w:w="1482"/>
          </w:tcPr>
          <w:p>
            <w:pPr>
              <w:spacing w:after="20" w:before="20" w:line="240" w:lineRule="auto"/>
              <w:jc w:val="left"/>
            </w:pPr>
            <w:r/>
            <w:r>
              <w:rPr>
                <w:sz w:val="18"/>
              </w:rPr>
              <w:t>0,3603</w:t>
            </w:r>
          </w:p>
        </w:tc>
        <w:tc>
          <w:tcPr>
            <w:tcW w:type="dxa" w:w="1482"/>
          </w:tcPr>
          <w:p>
            <w:pPr>
              <w:spacing w:after="20" w:before="20" w:line="240" w:lineRule="auto"/>
              <w:jc w:val="left"/>
            </w:pPr>
            <w:r/>
            <w:r>
              <w:rPr>
                <w:sz w:val="18"/>
              </w:rPr>
              <w:t>0,4313</w:t>
            </w:r>
          </w:p>
        </w:tc>
      </w:tr>
      <w:tr>
        <w:trPr>
          <w:cantSplit w:val="true"/>
        </w:trPr>
        <w:tc>
          <w:tcPr>
            <w:tcW w:type="dxa" w:w="3460"/>
          </w:tcPr>
          <w:p>
            <w:pPr>
              <w:spacing w:after="20" w:before="20" w:line="240" w:lineRule="auto"/>
              <w:jc w:val="left"/>
            </w:pPr>
            <w:r/>
            <w:r>
              <w:rPr>
                <w:sz w:val="18"/>
              </w:rPr>
              <w:t>Règles métier</w:t>
            </w:r>
          </w:p>
        </w:tc>
        <w:tc>
          <w:tcPr>
            <w:tcW w:type="dxa" w:w="1482"/>
          </w:tcPr>
          <w:p>
            <w:pPr>
              <w:spacing w:after="20" w:before="20" w:line="240" w:lineRule="auto"/>
              <w:jc w:val="left"/>
            </w:pPr>
            <w:r/>
            <w:r>
              <w:rPr>
                <w:sz w:val="18"/>
              </w:rPr>
              <w:t>0,0771</w:t>
            </w:r>
          </w:p>
        </w:tc>
        <w:tc>
          <w:tcPr>
            <w:tcW w:type="dxa" w:w="1482"/>
          </w:tcPr>
          <w:p>
            <w:pPr>
              <w:spacing w:after="20" w:before="20" w:line="240" w:lineRule="auto"/>
              <w:jc w:val="left"/>
            </w:pPr>
            <w:r/>
            <w:r>
              <w:rPr>
                <w:sz w:val="18"/>
              </w:rPr>
              <w:t>0,0804</w:t>
            </w:r>
          </w:p>
        </w:tc>
        <w:tc>
          <w:tcPr>
            <w:tcW w:type="dxa" w:w="1482"/>
          </w:tcPr>
          <w:p>
            <w:pPr>
              <w:spacing w:after="20" w:before="20" w:line="240" w:lineRule="auto"/>
              <w:jc w:val="left"/>
            </w:pPr>
            <w:r/>
            <w:r>
              <w:rPr>
                <w:sz w:val="18"/>
              </w:rPr>
              <w:t>0,2794</w:t>
            </w:r>
          </w:p>
        </w:tc>
        <w:tc>
          <w:tcPr>
            <w:tcW w:type="dxa" w:w="1482"/>
          </w:tcPr>
          <w:p>
            <w:pPr>
              <w:spacing w:after="20" w:before="20" w:line="240" w:lineRule="auto"/>
              <w:jc w:val="left"/>
            </w:pPr>
            <w:r/>
            <w:r>
              <w:rPr>
                <w:sz w:val="18"/>
              </w:rPr>
              <w:t>0,3570</w:t>
            </w:r>
          </w:p>
        </w:tc>
      </w:tr>
    </w:tbl>
    <w:p>
      <w:pPr>
        <w:spacing w:after="120"/>
      </w:pPr>
    </w:p>
    <w:p>
      <w:pPr>
        <w:spacing w:before="0" w:after="120" w:line="360" w:lineRule="auto"/>
        <w:jc w:val="both"/>
      </w:pPr>
      <w:r>
        <w:rPr>
          <w:sz w:val="24"/>
        </w:rPr>
        <w:t>Plus le budget est serré, plus l'avantage de l'hybride est grand : à 0,05 % de faux positifs, il détecte 96,9 % des fraudes, contre 94,0 % pour le LSTM et 92,3 % pour XGBoost. À 1 %, les meilleures méthodes se rejoignent, et XGBoost détecte une fraude de plus. L'avantage est donc maximal dans les conditions réalistes d'exploitation, où les alertes doivent rester rares.</w:t>
      </w:r>
    </w:p>
    <w:p>
      <w:pPr>
        <w:pStyle w:val="Titre4"/>
        <w:keepNext/>
        <w:numPr>
          <w:numId w:val="0"/>
        </w:numPr>
        <w:spacing w:before="200" w:after="120"/>
        <w:ind w:left="0" w:firstLine="0"/>
        <w:jc w:val="left"/>
      </w:pPr>
      <w:r>
        <w:rPr>
          <w:b/>
          <w:i/>
          <w:color w:val="000000"/>
          <w:sz w:val="25"/>
        </w:rPr>
        <w:t>2.4 Résultats par typologie</w:t>
      </w:r>
    </w:p>
    <w:p>
      <w:pPr>
        <w:spacing w:before="0" w:after="120" w:line="360" w:lineRule="auto"/>
        <w:jc w:val="both"/>
      </w:pPr>
      <w:r>
        <w:rPr>
          <w:sz w:val="24"/>
        </w:rPr>
        <w:t>L'écart entre méthodes se joue sur les fraudes qui imitent un comportement normal : l'ingénierie sociale et le fractionnement (tableau III.13, figure III.11).</w:t>
      </w:r>
    </w:p>
    <w:p>
      <w:pPr>
        <w:pStyle w:val="Légendetableau"/>
        <w:keepNext/>
        <w:spacing w:before="200" w:after="80"/>
        <w:jc w:val="center"/>
      </w:pPr>
      <w:r>
        <w:rPr>
          <w:b/>
          <w:sz w:val="20"/>
        </w:rPr>
        <w:t>Tableau III.13 — Rappel par typologie de fraude (test).</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2578"/>
        <w:gridCol w:w="1104"/>
        <w:gridCol w:w="1288"/>
        <w:gridCol w:w="1288"/>
        <w:gridCol w:w="920"/>
        <w:gridCol w:w="2209"/>
      </w:tblGrid>
      <w:tr>
        <w:trPr>
          <w:tblHeader w:val="true"/>
        </w:trPr>
        <w:tc>
          <w:tcPr>
            <w:tcW w:type="dxa" w:w="2578"/>
            <w:shd w:val="clear" w:color="auto" w:fill="D9E2F3"/>
          </w:tcPr>
          <w:p>
            <w:pPr>
              <w:spacing w:after="20" w:before="20" w:line="240" w:lineRule="auto"/>
              <w:jc w:val="left"/>
            </w:pPr>
            <w:r/>
            <w:r>
              <w:rPr>
                <w:b/>
                <w:sz w:val="16"/>
              </w:rPr>
              <w:t>Typologie</w:t>
            </w:r>
          </w:p>
        </w:tc>
        <w:tc>
          <w:tcPr>
            <w:tcW w:type="dxa" w:w="1104"/>
            <w:shd w:val="clear" w:color="auto" w:fill="D9E2F3"/>
          </w:tcPr>
          <w:p>
            <w:pPr>
              <w:spacing w:after="20" w:before="20" w:line="240" w:lineRule="auto"/>
              <w:jc w:val="left"/>
            </w:pPr>
            <w:r/>
            <w:r>
              <w:rPr>
                <w:b/>
                <w:sz w:val="16"/>
              </w:rPr>
              <w:t>Nombre</w:t>
            </w:r>
          </w:p>
        </w:tc>
        <w:tc>
          <w:tcPr>
            <w:tcW w:type="dxa" w:w="1288"/>
            <w:shd w:val="clear" w:color="auto" w:fill="D9E2F3"/>
          </w:tcPr>
          <w:p>
            <w:pPr>
              <w:spacing w:after="20" w:before="20" w:line="240" w:lineRule="auto"/>
              <w:jc w:val="left"/>
            </w:pPr>
            <w:r/>
            <w:r>
              <w:rPr>
                <w:b/>
                <w:sz w:val="16"/>
              </w:rPr>
              <w:t>Hybride</w:t>
            </w:r>
          </w:p>
        </w:tc>
        <w:tc>
          <w:tcPr>
            <w:tcW w:type="dxa" w:w="1288"/>
            <w:shd w:val="clear" w:color="auto" w:fill="D9E2F3"/>
          </w:tcPr>
          <w:p>
            <w:pPr>
              <w:spacing w:after="20" w:before="20" w:line="240" w:lineRule="auto"/>
              <w:jc w:val="left"/>
            </w:pPr>
            <w:r/>
            <w:r>
              <w:rPr>
                <w:b/>
                <w:sz w:val="16"/>
              </w:rPr>
              <w:t>XGBoost</w:t>
            </w:r>
          </w:p>
        </w:tc>
        <w:tc>
          <w:tcPr>
            <w:tcW w:type="dxa" w:w="920"/>
            <w:shd w:val="clear" w:color="auto" w:fill="D9E2F3"/>
          </w:tcPr>
          <w:p>
            <w:pPr>
              <w:spacing w:after="20" w:before="20" w:line="240" w:lineRule="auto"/>
              <w:jc w:val="left"/>
            </w:pPr>
            <w:r/>
            <w:r>
              <w:rPr>
                <w:b/>
                <w:sz w:val="16"/>
              </w:rPr>
              <w:t>LSTM</w:t>
            </w:r>
          </w:p>
        </w:tc>
        <w:tc>
          <w:tcPr>
            <w:tcW w:type="dxa" w:w="2209"/>
            <w:shd w:val="clear" w:color="auto" w:fill="D9E2F3"/>
          </w:tcPr>
          <w:p>
            <w:pPr>
              <w:spacing w:after="20" w:before="20" w:line="240" w:lineRule="auto"/>
              <w:jc w:val="left"/>
            </w:pPr>
            <w:r/>
            <w:r>
              <w:rPr>
                <w:b/>
                <w:sz w:val="16"/>
              </w:rPr>
              <w:t>Autoencodeur</w:t>
            </w:r>
          </w:p>
        </w:tc>
      </w:tr>
      <w:tr>
        <w:trPr>
          <w:cantSplit w:val="true"/>
        </w:trPr>
        <w:tc>
          <w:tcPr>
            <w:tcW w:type="dxa" w:w="2578"/>
          </w:tcPr>
          <w:p>
            <w:pPr>
              <w:spacing w:after="20" w:before="20" w:line="240" w:lineRule="auto"/>
              <w:jc w:val="left"/>
            </w:pPr>
            <w:r/>
            <w:r>
              <w:rPr>
                <w:sz w:val="16"/>
              </w:rPr>
              <w:t>Échange de SIM</w:t>
            </w:r>
          </w:p>
        </w:tc>
        <w:tc>
          <w:tcPr>
            <w:tcW w:type="dxa" w:w="1104"/>
          </w:tcPr>
          <w:p>
            <w:pPr>
              <w:spacing w:after="20" w:before="20" w:line="240" w:lineRule="auto"/>
              <w:jc w:val="left"/>
            </w:pPr>
            <w:r/>
            <w:r>
              <w:rPr>
                <w:sz w:val="16"/>
              </w:rPr>
              <w:t>623</w:t>
            </w:r>
          </w:p>
        </w:tc>
        <w:tc>
          <w:tcPr>
            <w:tcW w:type="dxa" w:w="1288"/>
          </w:tcPr>
          <w:p>
            <w:pPr>
              <w:spacing w:after="20" w:before="20" w:line="240" w:lineRule="auto"/>
              <w:jc w:val="left"/>
            </w:pPr>
            <w:r/>
            <w:r>
              <w:rPr>
                <w:sz w:val="16"/>
              </w:rPr>
              <w:t>1,000</w:t>
            </w:r>
          </w:p>
        </w:tc>
        <w:tc>
          <w:tcPr>
            <w:tcW w:type="dxa" w:w="1288"/>
          </w:tcPr>
          <w:p>
            <w:pPr>
              <w:spacing w:after="20" w:before="20" w:line="240" w:lineRule="auto"/>
              <w:jc w:val="left"/>
            </w:pPr>
            <w:r/>
            <w:r>
              <w:rPr>
                <w:sz w:val="16"/>
              </w:rPr>
              <w:t>1,000</w:t>
            </w:r>
          </w:p>
        </w:tc>
        <w:tc>
          <w:tcPr>
            <w:tcW w:type="dxa" w:w="920"/>
          </w:tcPr>
          <w:p>
            <w:pPr>
              <w:spacing w:after="20" w:before="20" w:line="240" w:lineRule="auto"/>
              <w:jc w:val="left"/>
            </w:pPr>
            <w:r/>
            <w:r>
              <w:rPr>
                <w:sz w:val="16"/>
              </w:rPr>
              <w:t>1,000</w:t>
            </w:r>
          </w:p>
        </w:tc>
        <w:tc>
          <w:tcPr>
            <w:tcW w:type="dxa" w:w="2209"/>
          </w:tcPr>
          <w:p>
            <w:pPr>
              <w:spacing w:after="20" w:before="20" w:line="240" w:lineRule="auto"/>
              <w:jc w:val="left"/>
            </w:pPr>
            <w:r/>
            <w:r>
              <w:rPr>
                <w:sz w:val="16"/>
              </w:rPr>
              <w:t>0,998</w:t>
            </w:r>
          </w:p>
        </w:tc>
      </w:tr>
      <w:tr>
        <w:trPr>
          <w:cantSplit w:val="true"/>
        </w:trPr>
        <w:tc>
          <w:tcPr>
            <w:tcW w:type="dxa" w:w="2578"/>
          </w:tcPr>
          <w:p>
            <w:pPr>
              <w:spacing w:after="20" w:before="20" w:line="240" w:lineRule="auto"/>
              <w:jc w:val="left"/>
            </w:pPr>
            <w:r/>
            <w:r>
              <w:rPr>
                <w:sz w:val="16"/>
              </w:rPr>
              <w:t>Ingénierie sociale</w:t>
            </w:r>
          </w:p>
        </w:tc>
        <w:tc>
          <w:tcPr>
            <w:tcW w:type="dxa" w:w="1104"/>
          </w:tcPr>
          <w:p>
            <w:pPr>
              <w:spacing w:after="20" w:before="20" w:line="240" w:lineRule="auto"/>
              <w:jc w:val="left"/>
            </w:pPr>
            <w:r/>
            <w:r>
              <w:rPr>
                <w:sz w:val="16"/>
              </w:rPr>
              <w:t>630</w:t>
            </w:r>
          </w:p>
        </w:tc>
        <w:tc>
          <w:tcPr>
            <w:tcW w:type="dxa" w:w="1288"/>
          </w:tcPr>
          <w:p>
            <w:pPr>
              <w:spacing w:after="20" w:before="20" w:line="240" w:lineRule="auto"/>
              <w:jc w:val="left"/>
            </w:pPr>
            <w:r/>
            <w:r>
              <w:rPr>
                <w:b/>
                <w:sz w:val="16"/>
              </w:rPr>
              <w:t>0,921</w:t>
            </w:r>
          </w:p>
        </w:tc>
        <w:tc>
          <w:tcPr>
            <w:tcW w:type="dxa" w:w="1288"/>
          </w:tcPr>
          <w:p>
            <w:pPr>
              <w:spacing w:after="20" w:before="20" w:line="240" w:lineRule="auto"/>
              <w:jc w:val="left"/>
            </w:pPr>
            <w:r/>
            <w:r>
              <w:rPr>
                <w:sz w:val="16"/>
              </w:rPr>
              <w:t>0,859</w:t>
            </w:r>
          </w:p>
        </w:tc>
        <w:tc>
          <w:tcPr>
            <w:tcW w:type="dxa" w:w="920"/>
          </w:tcPr>
          <w:p>
            <w:pPr>
              <w:spacing w:after="20" w:before="20" w:line="240" w:lineRule="auto"/>
              <w:jc w:val="left"/>
            </w:pPr>
            <w:r/>
            <w:r>
              <w:rPr>
                <w:sz w:val="16"/>
              </w:rPr>
              <w:t>0,882</w:t>
            </w:r>
          </w:p>
        </w:tc>
        <w:tc>
          <w:tcPr>
            <w:tcW w:type="dxa" w:w="2209"/>
          </w:tcPr>
          <w:p>
            <w:pPr>
              <w:spacing w:after="20" w:before="20" w:line="240" w:lineRule="auto"/>
              <w:jc w:val="left"/>
            </w:pPr>
            <w:r/>
            <w:r>
              <w:rPr>
                <w:sz w:val="16"/>
              </w:rPr>
              <w:t>0,003</w:t>
            </w:r>
          </w:p>
        </w:tc>
      </w:tr>
      <w:tr>
        <w:trPr>
          <w:cantSplit w:val="true"/>
        </w:trPr>
        <w:tc>
          <w:tcPr>
            <w:tcW w:type="dxa" w:w="2578"/>
          </w:tcPr>
          <w:p>
            <w:pPr>
              <w:spacing w:after="20" w:before="20" w:line="240" w:lineRule="auto"/>
              <w:jc w:val="left"/>
            </w:pPr>
            <w:r/>
            <w:r>
              <w:rPr>
                <w:sz w:val="16"/>
              </w:rPr>
              <w:t>Prise de contrôle</w:t>
            </w:r>
          </w:p>
        </w:tc>
        <w:tc>
          <w:tcPr>
            <w:tcW w:type="dxa" w:w="1104"/>
          </w:tcPr>
          <w:p>
            <w:pPr>
              <w:spacing w:after="20" w:before="20" w:line="240" w:lineRule="auto"/>
              <w:jc w:val="left"/>
            </w:pPr>
            <w:r/>
            <w:r>
              <w:rPr>
                <w:sz w:val="16"/>
              </w:rPr>
              <w:t>406</w:t>
            </w:r>
          </w:p>
        </w:tc>
        <w:tc>
          <w:tcPr>
            <w:tcW w:type="dxa" w:w="1288"/>
          </w:tcPr>
          <w:p>
            <w:pPr>
              <w:spacing w:after="20" w:before="20" w:line="240" w:lineRule="auto"/>
              <w:jc w:val="left"/>
            </w:pPr>
            <w:r/>
            <w:r>
              <w:rPr>
                <w:sz w:val="16"/>
              </w:rPr>
              <w:t>1,000</w:t>
            </w:r>
          </w:p>
        </w:tc>
        <w:tc>
          <w:tcPr>
            <w:tcW w:type="dxa" w:w="1288"/>
          </w:tcPr>
          <w:p>
            <w:pPr>
              <w:spacing w:after="20" w:before="20" w:line="240" w:lineRule="auto"/>
              <w:jc w:val="left"/>
            </w:pPr>
            <w:r/>
            <w:r>
              <w:rPr>
                <w:sz w:val="16"/>
              </w:rPr>
              <w:t>1,000</w:t>
            </w:r>
          </w:p>
        </w:tc>
        <w:tc>
          <w:tcPr>
            <w:tcW w:type="dxa" w:w="920"/>
          </w:tcPr>
          <w:p>
            <w:pPr>
              <w:spacing w:after="20" w:before="20" w:line="240" w:lineRule="auto"/>
              <w:jc w:val="left"/>
            </w:pPr>
            <w:r/>
            <w:r>
              <w:rPr>
                <w:sz w:val="16"/>
              </w:rPr>
              <w:t>1,000</w:t>
            </w:r>
          </w:p>
        </w:tc>
        <w:tc>
          <w:tcPr>
            <w:tcW w:type="dxa" w:w="2209"/>
          </w:tcPr>
          <w:p>
            <w:pPr>
              <w:spacing w:after="20" w:before="20" w:line="240" w:lineRule="auto"/>
              <w:jc w:val="left"/>
            </w:pPr>
            <w:r/>
            <w:r>
              <w:rPr>
                <w:sz w:val="16"/>
              </w:rPr>
              <w:t>0,988</w:t>
            </w:r>
          </w:p>
        </w:tc>
      </w:tr>
      <w:tr>
        <w:trPr>
          <w:cantSplit w:val="true"/>
        </w:trPr>
        <w:tc>
          <w:tcPr>
            <w:tcW w:type="dxa" w:w="2578"/>
          </w:tcPr>
          <w:p>
            <w:pPr>
              <w:spacing w:after="20" w:before="20" w:line="240" w:lineRule="auto"/>
              <w:jc w:val="left"/>
            </w:pPr>
            <w:r/>
            <w:r>
              <w:rPr>
                <w:sz w:val="16"/>
              </w:rPr>
              <w:t>Fractionnement</w:t>
            </w:r>
          </w:p>
        </w:tc>
        <w:tc>
          <w:tcPr>
            <w:tcW w:type="dxa" w:w="1104"/>
          </w:tcPr>
          <w:p>
            <w:pPr>
              <w:spacing w:after="20" w:before="20" w:line="240" w:lineRule="auto"/>
              <w:jc w:val="left"/>
            </w:pPr>
            <w:r/>
            <w:r>
              <w:rPr>
                <w:sz w:val="16"/>
              </w:rPr>
              <w:t>303</w:t>
            </w:r>
          </w:p>
        </w:tc>
        <w:tc>
          <w:tcPr>
            <w:tcW w:type="dxa" w:w="1288"/>
          </w:tcPr>
          <w:p>
            <w:pPr>
              <w:spacing w:after="20" w:before="20" w:line="240" w:lineRule="auto"/>
              <w:jc w:val="left"/>
            </w:pPr>
            <w:r/>
            <w:r>
              <w:rPr>
                <w:b/>
                <w:sz w:val="16"/>
              </w:rPr>
              <w:t>0,987</w:t>
            </w:r>
          </w:p>
        </w:tc>
        <w:tc>
          <w:tcPr>
            <w:tcW w:type="dxa" w:w="1288"/>
          </w:tcPr>
          <w:p>
            <w:pPr>
              <w:spacing w:after="20" w:before="20" w:line="240" w:lineRule="auto"/>
              <w:jc w:val="left"/>
            </w:pPr>
            <w:r/>
            <w:r>
              <w:rPr>
                <w:sz w:val="16"/>
              </w:rPr>
              <w:t>0,974</w:t>
            </w:r>
          </w:p>
        </w:tc>
        <w:tc>
          <w:tcPr>
            <w:tcW w:type="dxa" w:w="920"/>
          </w:tcPr>
          <w:p>
            <w:pPr>
              <w:spacing w:after="20" w:before="20" w:line="240" w:lineRule="auto"/>
              <w:jc w:val="left"/>
            </w:pPr>
            <w:r/>
            <w:r>
              <w:rPr>
                <w:sz w:val="16"/>
              </w:rPr>
              <w:t>0,987</w:t>
            </w:r>
          </w:p>
        </w:tc>
        <w:tc>
          <w:tcPr>
            <w:tcW w:type="dxa" w:w="2209"/>
          </w:tcPr>
          <w:p>
            <w:pPr>
              <w:spacing w:after="20" w:before="20" w:line="240" w:lineRule="auto"/>
              <w:jc w:val="left"/>
            </w:pPr>
            <w:r/>
            <w:r>
              <w:rPr>
                <w:sz w:val="16"/>
              </w:rPr>
              <w:t>0,000</w:t>
            </w:r>
          </w:p>
        </w:tc>
      </w:tr>
      <w:tr>
        <w:trPr>
          <w:cantSplit w:val="true"/>
        </w:trPr>
        <w:tc>
          <w:tcPr>
            <w:tcW w:type="dxa" w:w="2578"/>
          </w:tcPr>
          <w:p>
            <w:pPr>
              <w:spacing w:after="20" w:before="20" w:line="240" w:lineRule="auto"/>
              <w:jc w:val="left"/>
            </w:pPr>
            <w:r/>
            <w:r>
              <w:rPr>
                <w:sz w:val="16"/>
              </w:rPr>
              <w:t>Fraude d'agent</w:t>
            </w:r>
          </w:p>
        </w:tc>
        <w:tc>
          <w:tcPr>
            <w:tcW w:type="dxa" w:w="1104"/>
          </w:tcPr>
          <w:p>
            <w:pPr>
              <w:spacing w:after="20" w:before="20" w:line="240" w:lineRule="auto"/>
              <w:jc w:val="left"/>
            </w:pPr>
            <w:r/>
            <w:r>
              <w:rPr>
                <w:sz w:val="16"/>
              </w:rPr>
              <w:t>181</w:t>
            </w:r>
          </w:p>
        </w:tc>
        <w:tc>
          <w:tcPr>
            <w:tcW w:type="dxa" w:w="1288"/>
          </w:tcPr>
          <w:p>
            <w:pPr>
              <w:spacing w:after="20" w:before="20" w:line="240" w:lineRule="auto"/>
              <w:jc w:val="left"/>
            </w:pPr>
            <w:r/>
            <w:r>
              <w:rPr>
                <w:sz w:val="16"/>
              </w:rPr>
              <w:t>1,000</w:t>
            </w:r>
          </w:p>
        </w:tc>
        <w:tc>
          <w:tcPr>
            <w:tcW w:type="dxa" w:w="1288"/>
          </w:tcPr>
          <w:p>
            <w:pPr>
              <w:spacing w:after="20" w:before="20" w:line="240" w:lineRule="auto"/>
              <w:jc w:val="left"/>
            </w:pPr>
            <w:r/>
            <w:r>
              <w:rPr>
                <w:sz w:val="16"/>
              </w:rPr>
              <w:t>1,000</w:t>
            </w:r>
          </w:p>
        </w:tc>
        <w:tc>
          <w:tcPr>
            <w:tcW w:type="dxa" w:w="920"/>
          </w:tcPr>
          <w:p>
            <w:pPr>
              <w:spacing w:after="20" w:before="20" w:line="240" w:lineRule="auto"/>
              <w:jc w:val="left"/>
            </w:pPr>
            <w:r/>
            <w:r>
              <w:rPr>
                <w:sz w:val="16"/>
              </w:rPr>
              <w:t>1,000</w:t>
            </w:r>
          </w:p>
        </w:tc>
        <w:tc>
          <w:tcPr>
            <w:tcW w:type="dxa" w:w="2209"/>
          </w:tcPr>
          <w:p>
            <w:pPr>
              <w:spacing w:after="20" w:before="20" w:line="240" w:lineRule="auto"/>
              <w:jc w:val="left"/>
            </w:pPr>
            <w:r/>
            <w:r>
              <w:rPr>
                <w:sz w:val="16"/>
              </w:rPr>
              <w:t>1,000</w:t>
            </w:r>
          </w:p>
        </w:tc>
      </w:tr>
      <w:tr>
        <w:trPr>
          <w:cantSplit w:val="true"/>
        </w:trPr>
        <w:tc>
          <w:tcPr>
            <w:tcW w:type="dxa" w:w="2578"/>
          </w:tcPr>
          <w:p>
            <w:pPr>
              <w:spacing w:after="20" w:before="20" w:line="240" w:lineRule="auto"/>
              <w:jc w:val="left"/>
            </w:pPr>
            <w:r/>
            <w:r>
              <w:rPr>
                <w:sz w:val="16"/>
              </w:rPr>
              <w:t>Carte non présente</w:t>
            </w:r>
          </w:p>
        </w:tc>
        <w:tc>
          <w:tcPr>
            <w:tcW w:type="dxa" w:w="1104"/>
          </w:tcPr>
          <w:p>
            <w:pPr>
              <w:spacing w:after="20" w:before="20" w:line="240" w:lineRule="auto"/>
              <w:jc w:val="left"/>
            </w:pPr>
            <w:r/>
            <w:r>
              <w:rPr>
                <w:sz w:val="16"/>
              </w:rPr>
              <w:t>131</w:t>
            </w:r>
          </w:p>
        </w:tc>
        <w:tc>
          <w:tcPr>
            <w:tcW w:type="dxa" w:w="1288"/>
          </w:tcPr>
          <w:p>
            <w:pPr>
              <w:spacing w:after="20" w:before="20" w:line="240" w:lineRule="auto"/>
              <w:jc w:val="left"/>
            </w:pPr>
            <w:r/>
            <w:r>
              <w:rPr>
                <w:b/>
                <w:sz w:val="16"/>
              </w:rPr>
              <w:t>1,000</w:t>
            </w:r>
          </w:p>
        </w:tc>
        <w:tc>
          <w:tcPr>
            <w:tcW w:type="dxa" w:w="1288"/>
          </w:tcPr>
          <w:p>
            <w:pPr>
              <w:spacing w:after="20" w:before="20" w:line="240" w:lineRule="auto"/>
              <w:jc w:val="left"/>
            </w:pPr>
            <w:r/>
            <w:r>
              <w:rPr>
                <w:sz w:val="16"/>
              </w:rPr>
              <w:t>0,985</w:t>
            </w:r>
          </w:p>
        </w:tc>
        <w:tc>
          <w:tcPr>
            <w:tcW w:type="dxa" w:w="920"/>
          </w:tcPr>
          <w:p>
            <w:pPr>
              <w:spacing w:after="20" w:before="20" w:line="240" w:lineRule="auto"/>
              <w:jc w:val="left"/>
            </w:pPr>
            <w:r/>
            <w:r>
              <w:rPr>
                <w:sz w:val="16"/>
              </w:rPr>
              <w:t>0,985</w:t>
            </w:r>
          </w:p>
        </w:tc>
        <w:tc>
          <w:tcPr>
            <w:tcW w:type="dxa" w:w="2209"/>
          </w:tcPr>
          <w:p>
            <w:pPr>
              <w:spacing w:after="20" w:before="20" w:line="240" w:lineRule="auto"/>
              <w:jc w:val="left"/>
            </w:pPr>
            <w:r/>
            <w:r>
              <w:rPr>
                <w:sz w:val="16"/>
              </w:rPr>
              <w:t>1,000</w:t>
            </w:r>
          </w:p>
        </w:tc>
      </w:tr>
      <w:tr>
        <w:trPr>
          <w:cantSplit w:val="true"/>
        </w:trPr>
        <w:tc>
          <w:tcPr>
            <w:tcW w:type="dxa" w:w="2578"/>
          </w:tcPr>
          <w:p>
            <w:pPr>
              <w:spacing w:after="20" w:before="20" w:line="240" w:lineRule="auto"/>
              <w:jc w:val="left"/>
            </w:pPr>
            <w:r/>
            <w:r>
              <w:rPr>
                <w:sz w:val="16"/>
              </w:rPr>
              <w:t>Vidage par rechargement</w:t>
            </w:r>
          </w:p>
        </w:tc>
        <w:tc>
          <w:tcPr>
            <w:tcW w:type="dxa" w:w="1104"/>
          </w:tcPr>
          <w:p>
            <w:pPr>
              <w:spacing w:after="20" w:before="20" w:line="240" w:lineRule="auto"/>
              <w:jc w:val="left"/>
            </w:pPr>
            <w:r/>
            <w:r>
              <w:rPr>
                <w:sz w:val="16"/>
              </w:rPr>
              <w:t>82</w:t>
            </w:r>
          </w:p>
        </w:tc>
        <w:tc>
          <w:tcPr>
            <w:tcW w:type="dxa" w:w="1288"/>
          </w:tcPr>
          <w:p>
            <w:pPr>
              <w:spacing w:after="20" w:before="20" w:line="240" w:lineRule="auto"/>
              <w:jc w:val="left"/>
            </w:pPr>
            <w:r/>
            <w:r>
              <w:rPr>
                <w:sz w:val="16"/>
              </w:rPr>
              <w:t>1,000</w:t>
            </w:r>
          </w:p>
        </w:tc>
        <w:tc>
          <w:tcPr>
            <w:tcW w:type="dxa" w:w="1288"/>
          </w:tcPr>
          <w:p>
            <w:pPr>
              <w:spacing w:after="20" w:before="20" w:line="240" w:lineRule="auto"/>
              <w:jc w:val="left"/>
            </w:pPr>
            <w:r/>
            <w:r>
              <w:rPr>
                <w:sz w:val="16"/>
              </w:rPr>
              <w:t>1,000</w:t>
            </w:r>
          </w:p>
        </w:tc>
        <w:tc>
          <w:tcPr>
            <w:tcW w:type="dxa" w:w="920"/>
          </w:tcPr>
          <w:p>
            <w:pPr>
              <w:spacing w:after="20" w:before="20" w:line="240" w:lineRule="auto"/>
              <w:jc w:val="left"/>
            </w:pPr>
            <w:r/>
            <w:r>
              <w:rPr>
                <w:sz w:val="16"/>
              </w:rPr>
              <w:t>1,000</w:t>
            </w:r>
          </w:p>
        </w:tc>
        <w:tc>
          <w:tcPr>
            <w:tcW w:type="dxa" w:w="2209"/>
          </w:tcPr>
          <w:p>
            <w:pPr>
              <w:spacing w:after="20" w:before="20" w:line="240" w:lineRule="auto"/>
              <w:jc w:val="left"/>
            </w:pPr>
            <w:r/>
            <w:r>
              <w:rPr>
                <w:sz w:val="16"/>
              </w:rPr>
              <w:t>1,000</w:t>
            </w:r>
          </w:p>
        </w:tc>
      </w:tr>
      <w:tr>
        <w:trPr>
          <w:cantSplit w:val="true"/>
        </w:trPr>
        <w:tc>
          <w:tcPr>
            <w:tcW w:type="dxa" w:w="2578"/>
          </w:tcPr>
          <w:p>
            <w:pPr>
              <w:spacing w:after="20" w:before="20" w:line="240" w:lineRule="auto"/>
              <w:jc w:val="left"/>
            </w:pPr>
            <w:r/>
            <w:r>
              <w:rPr>
                <w:sz w:val="16"/>
              </w:rPr>
              <w:t>Test de carte</w:t>
            </w:r>
          </w:p>
        </w:tc>
        <w:tc>
          <w:tcPr>
            <w:tcW w:type="dxa" w:w="1104"/>
          </w:tcPr>
          <w:p>
            <w:pPr>
              <w:spacing w:after="20" w:before="20" w:line="240" w:lineRule="auto"/>
              <w:jc w:val="left"/>
            </w:pPr>
            <w:r/>
            <w:r>
              <w:rPr>
                <w:sz w:val="16"/>
              </w:rPr>
              <w:t>81</w:t>
            </w:r>
          </w:p>
        </w:tc>
        <w:tc>
          <w:tcPr>
            <w:tcW w:type="dxa" w:w="1288"/>
          </w:tcPr>
          <w:p>
            <w:pPr>
              <w:spacing w:after="20" w:before="20" w:line="240" w:lineRule="auto"/>
              <w:jc w:val="left"/>
            </w:pPr>
            <w:r/>
            <w:r>
              <w:rPr>
                <w:sz w:val="16"/>
              </w:rPr>
              <w:t>1,000</w:t>
            </w:r>
          </w:p>
        </w:tc>
        <w:tc>
          <w:tcPr>
            <w:tcW w:type="dxa" w:w="1288"/>
          </w:tcPr>
          <w:p>
            <w:pPr>
              <w:spacing w:after="20" w:before="20" w:line="240" w:lineRule="auto"/>
              <w:jc w:val="left"/>
            </w:pPr>
            <w:r/>
            <w:r>
              <w:rPr>
                <w:sz w:val="16"/>
              </w:rPr>
              <w:t>1,000</w:t>
            </w:r>
          </w:p>
        </w:tc>
        <w:tc>
          <w:tcPr>
            <w:tcW w:type="dxa" w:w="920"/>
          </w:tcPr>
          <w:p>
            <w:pPr>
              <w:spacing w:after="20" w:before="20" w:line="240" w:lineRule="auto"/>
              <w:jc w:val="left"/>
            </w:pPr>
            <w:r/>
            <w:r>
              <w:rPr>
                <w:sz w:val="16"/>
              </w:rPr>
              <w:t>1,000</w:t>
            </w:r>
          </w:p>
        </w:tc>
        <w:tc>
          <w:tcPr>
            <w:tcW w:type="dxa" w:w="2209"/>
          </w:tcPr>
          <w:p>
            <w:pPr>
              <w:spacing w:after="20" w:before="20" w:line="240" w:lineRule="auto"/>
              <w:jc w:val="left"/>
            </w:pPr>
            <w:r/>
            <w:r>
              <w:rPr>
                <w:sz w:val="16"/>
              </w:rPr>
              <w:t>1,000</w:t>
            </w:r>
          </w:p>
        </w:tc>
      </w:tr>
    </w:tbl>
    <w:p>
      <w:pPr>
        <w:spacing w:after="120"/>
      </w:pPr>
    </w:p>
    <w:p>
      <w:pPr>
        <w:keepNext/>
        <w:spacing w:before="160" w:after="40"/>
        <w:jc w:val="center"/>
      </w:pPr>
      <w:r>
        <w:drawing>
          <wp:inline xmlns:a="http://schemas.openxmlformats.org/drawingml/2006/main" xmlns:pic="http://schemas.openxmlformats.org/drawingml/2006/picture">
            <wp:extent cx="5580000" cy="2372757"/>
            <wp:docPr id="52" name="Picture 52"/>
            <wp:cNvGraphicFramePr>
              <a:graphicFrameLocks noChangeAspect="1"/>
            </wp:cNvGraphicFramePr>
            <a:graphic>
              <a:graphicData uri="http://schemas.openxmlformats.org/drawingml/2006/picture">
                <pic:pic>
                  <pic:nvPicPr>
                    <pic:cNvPr id="0" name="fig_II_12_rappel_par_typologie.png"/>
                    <pic:cNvPicPr/>
                  </pic:nvPicPr>
                  <pic:blipFill>
                    <a:blip r:embed="rId26"/>
                    <a:stretch>
                      <a:fillRect/>
                    </a:stretch>
                  </pic:blipFill>
                  <pic:spPr>
                    <a:xfrm>
                      <a:off x="0" y="0"/>
                      <a:ext cx="5580000" cy="2372757"/>
                    </a:xfrm>
                    <a:prstGeom prst="rect"/>
                  </pic:spPr>
                </pic:pic>
              </a:graphicData>
            </a:graphic>
          </wp:inline>
        </w:drawing>
      </w:r>
    </w:p>
    <w:p>
      <w:pPr>
        <w:pStyle w:val="Légendefigure"/>
        <w:spacing w:before="40" w:after="240"/>
        <w:jc w:val="center"/>
      </w:pPr>
      <w:r>
        <w:rPr>
          <w:i/>
          <w:sz w:val="20"/>
        </w:rPr>
        <w:t>Figure III.11 — Rappel des huit méthodes par typologie de fraude (test).</w:t>
      </w:r>
    </w:p>
    <w:p>
      <w:pPr>
        <w:spacing w:before="0" w:after="120" w:line="360" w:lineRule="auto"/>
        <w:jc w:val="both"/>
      </w:pPr>
      <w:r>
        <w:rPr>
          <w:sz w:val="24"/>
        </w:rPr>
        <w:t>Les règles détectent 45 % du fractionnement mais seulement 0,3 % de l'ingénierie sociale ; l'autoencodeur et l'Isolation Forest y échouent presque totalement. Les autres typologies sont détectées à plus de 98 % par toutes les méthodes supervisées. L'apport de l'hybride se concentre sur l'</w:t>
      </w:r>
      <w:r>
        <w:rPr>
          <w:b/>
          <w:sz w:val="24"/>
        </w:rPr>
        <w:t>ingénierie sociale</w:t>
      </w:r>
      <w:r>
        <w:rPr>
          <w:sz w:val="24"/>
        </w:rPr>
        <w:t>, fraude la plus difficile car c'est la victime elle-même qui paie, et la plus en hausse sur la période : son rappel passe de 85,9 % (XGBoost) à 92,1 %.</w:t>
      </w:r>
    </w:p>
    <w:p>
      <w:pPr>
        <w:pStyle w:val="Titre4"/>
        <w:keepNext/>
        <w:numPr>
          <w:numId w:val="0"/>
        </w:numPr>
        <w:spacing w:before="200" w:after="120"/>
        <w:ind w:left="0" w:firstLine="0"/>
        <w:jc w:val="left"/>
      </w:pPr>
      <w:r>
        <w:rPr>
          <w:b/>
          <w:i/>
          <w:color w:val="000000"/>
          <w:sz w:val="25"/>
        </w:rPr>
        <w:t>2.5 Contribution de chaque composante</w:t>
      </w:r>
    </w:p>
    <w:p>
      <w:pPr>
        <w:spacing w:before="0" w:after="120" w:line="360" w:lineRule="auto"/>
        <w:jc w:val="both"/>
      </w:pPr>
      <w:r>
        <w:rPr>
          <w:sz w:val="24"/>
        </w:rPr>
        <w:t>Pour vérifier que chaque composante de l'hybride est utile, on la retire et on mesure la perte (tableau III.14).</w:t>
      </w:r>
    </w:p>
    <w:p>
      <w:pPr>
        <w:pStyle w:val="Légendetableau"/>
        <w:keepNext/>
        <w:spacing w:before="200" w:after="80"/>
        <w:jc w:val="center"/>
      </w:pPr>
      <w:r>
        <w:rPr>
          <w:b/>
          <w:sz w:val="20"/>
        </w:rPr>
        <w:t>Tableau III.14 — Ablation des composantes de l'hybride.</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3921"/>
        <w:gridCol w:w="1680"/>
        <w:gridCol w:w="1400"/>
        <w:gridCol w:w="2387"/>
      </w:tblGrid>
      <w:tr>
        <w:trPr>
          <w:tblHeader w:val="true"/>
        </w:trPr>
        <w:tc>
          <w:tcPr>
            <w:tcW w:type="dxa" w:w="3921"/>
            <w:shd w:val="clear" w:color="auto" w:fill="D9E2F3"/>
          </w:tcPr>
          <w:p>
            <w:pPr>
              <w:spacing w:after="20" w:before="20" w:line="240" w:lineRule="auto"/>
              <w:jc w:val="left"/>
            </w:pPr>
            <w:r/>
            <w:r>
              <w:rPr>
                <w:b/>
                <w:sz w:val="18"/>
              </w:rPr>
              <w:t>Modèle</w:t>
            </w:r>
          </w:p>
        </w:tc>
        <w:tc>
          <w:tcPr>
            <w:tcW w:type="dxa" w:w="1680"/>
            <w:shd w:val="clear" w:color="auto" w:fill="D9E2F3"/>
          </w:tcPr>
          <w:p>
            <w:pPr>
              <w:spacing w:after="20" w:before="20" w:line="240" w:lineRule="auto"/>
              <w:jc w:val="left"/>
            </w:pPr>
            <w:r/>
            <w:r>
              <w:rPr>
                <w:b/>
                <w:sz w:val="18"/>
              </w:rPr>
              <w:t>PR-AUC</w:t>
            </w:r>
          </w:p>
        </w:tc>
        <w:tc>
          <w:tcPr>
            <w:tcW w:type="dxa" w:w="1400"/>
            <w:shd w:val="clear" w:color="auto" w:fill="D9E2F3"/>
          </w:tcPr>
          <w:p>
            <w:pPr>
              <w:spacing w:after="20" w:before="20" w:line="240" w:lineRule="auto"/>
              <w:jc w:val="left"/>
            </w:pPr>
            <w:r/>
            <w:r>
              <w:rPr>
                <w:b/>
                <w:sz w:val="18"/>
              </w:rPr>
              <w:t>F1</w:t>
            </w:r>
          </w:p>
        </w:tc>
        <w:tc>
          <w:tcPr>
            <w:tcW w:type="dxa" w:w="2387"/>
            <w:shd w:val="clear" w:color="auto" w:fill="D9E2F3"/>
          </w:tcPr>
          <w:p>
            <w:pPr>
              <w:spacing w:after="20" w:before="20" w:line="240" w:lineRule="auto"/>
              <w:jc w:val="left"/>
            </w:pPr>
            <w:r/>
            <w:r>
              <w:rPr>
                <w:b/>
                <w:sz w:val="18"/>
              </w:rPr>
              <w:t>Taux de faux positifs</w:t>
            </w:r>
          </w:p>
        </w:tc>
      </w:tr>
      <w:tr>
        <w:trPr>
          <w:cantSplit w:val="true"/>
        </w:trPr>
        <w:tc>
          <w:tcPr>
            <w:tcW w:type="dxa" w:w="3921"/>
          </w:tcPr>
          <w:p>
            <w:pPr>
              <w:spacing w:after="20" w:before="20" w:line="240" w:lineRule="auto"/>
              <w:jc w:val="left"/>
            </w:pPr>
            <w:r/>
            <w:r>
              <w:rPr>
                <w:sz w:val="18"/>
              </w:rPr>
              <w:t>Hybride complet</w:t>
            </w:r>
          </w:p>
        </w:tc>
        <w:tc>
          <w:tcPr>
            <w:tcW w:type="dxa" w:w="1680"/>
          </w:tcPr>
          <w:p>
            <w:pPr>
              <w:spacing w:after="20" w:before="20" w:line="240" w:lineRule="auto"/>
              <w:jc w:val="left"/>
            </w:pPr>
            <w:r/>
            <w:r>
              <w:rPr>
                <w:b/>
                <w:sz w:val="18"/>
              </w:rPr>
              <w:t>0,9955</w:t>
            </w:r>
          </w:p>
        </w:tc>
        <w:tc>
          <w:tcPr>
            <w:tcW w:type="dxa" w:w="1400"/>
          </w:tcPr>
          <w:p>
            <w:pPr>
              <w:spacing w:after="20" w:before="20" w:line="240" w:lineRule="auto"/>
              <w:jc w:val="left"/>
            </w:pPr>
            <w:r/>
            <w:r>
              <w:rPr>
                <w:b/>
                <w:sz w:val="18"/>
              </w:rPr>
              <w:t>0,964</w:t>
            </w:r>
          </w:p>
        </w:tc>
        <w:tc>
          <w:tcPr>
            <w:tcW w:type="dxa" w:w="2387"/>
          </w:tcPr>
          <w:p>
            <w:pPr>
              <w:spacing w:after="20" w:before="20" w:line="240" w:lineRule="auto"/>
              <w:jc w:val="left"/>
            </w:pPr>
            <w:r/>
            <w:r>
              <w:rPr>
                <w:b/>
                <w:sz w:val="18"/>
              </w:rPr>
              <w:t>0,067 %</w:t>
            </w:r>
          </w:p>
        </w:tc>
      </w:tr>
      <w:tr>
        <w:trPr>
          <w:cantSplit w:val="true"/>
        </w:trPr>
        <w:tc>
          <w:tcPr>
            <w:tcW w:type="dxa" w:w="3921"/>
          </w:tcPr>
          <w:p>
            <w:pPr>
              <w:spacing w:after="20" w:before="20" w:line="240" w:lineRule="auto"/>
              <w:jc w:val="left"/>
            </w:pPr>
            <w:r/>
            <w:r>
              <w:rPr>
                <w:sz w:val="18"/>
              </w:rPr>
              <w:t>Sans LSTM-attention</w:t>
            </w:r>
          </w:p>
        </w:tc>
        <w:tc>
          <w:tcPr>
            <w:tcW w:type="dxa" w:w="1680"/>
          </w:tcPr>
          <w:p>
            <w:pPr>
              <w:spacing w:after="20" w:before="20" w:line="240" w:lineRule="auto"/>
              <w:jc w:val="left"/>
            </w:pPr>
            <w:r/>
            <w:r>
              <w:rPr>
                <w:sz w:val="18"/>
              </w:rPr>
              <w:t>0,9905</w:t>
            </w:r>
          </w:p>
        </w:tc>
        <w:tc>
          <w:tcPr>
            <w:tcW w:type="dxa" w:w="1400"/>
          </w:tcPr>
          <w:p>
            <w:pPr>
              <w:spacing w:after="20" w:before="20" w:line="240" w:lineRule="auto"/>
              <w:jc w:val="left"/>
            </w:pPr>
            <w:r/>
            <w:r>
              <w:rPr>
                <w:sz w:val="18"/>
              </w:rPr>
              <w:t>0,944</w:t>
            </w:r>
          </w:p>
        </w:tc>
        <w:tc>
          <w:tcPr>
            <w:tcW w:type="dxa" w:w="2387"/>
          </w:tcPr>
          <w:p>
            <w:pPr>
              <w:spacing w:after="20" w:before="20" w:line="240" w:lineRule="auto"/>
              <w:jc w:val="left"/>
            </w:pPr>
            <w:r/>
            <w:r>
              <w:rPr>
                <w:sz w:val="18"/>
              </w:rPr>
              <w:t>0,098 %</w:t>
            </w:r>
          </w:p>
        </w:tc>
      </w:tr>
      <w:tr>
        <w:trPr>
          <w:cantSplit w:val="true"/>
        </w:trPr>
        <w:tc>
          <w:tcPr>
            <w:tcW w:type="dxa" w:w="3921"/>
          </w:tcPr>
          <w:p>
            <w:pPr>
              <w:spacing w:after="20" w:before="20" w:line="240" w:lineRule="auto"/>
              <w:jc w:val="left"/>
            </w:pPr>
            <w:r/>
            <w:r>
              <w:rPr>
                <w:sz w:val="18"/>
              </w:rPr>
              <w:t>Sans XGBoost</w:t>
            </w:r>
          </w:p>
        </w:tc>
        <w:tc>
          <w:tcPr>
            <w:tcW w:type="dxa" w:w="1680"/>
          </w:tcPr>
          <w:p>
            <w:pPr>
              <w:spacing w:after="20" w:before="20" w:line="240" w:lineRule="auto"/>
              <w:jc w:val="left"/>
            </w:pPr>
            <w:r/>
            <w:r>
              <w:rPr>
                <w:sz w:val="18"/>
              </w:rPr>
              <w:t>0,9912</w:t>
            </w:r>
          </w:p>
        </w:tc>
        <w:tc>
          <w:tcPr>
            <w:tcW w:type="dxa" w:w="1400"/>
          </w:tcPr>
          <w:p>
            <w:pPr>
              <w:spacing w:after="20" w:before="20" w:line="240" w:lineRule="auto"/>
              <w:jc w:val="left"/>
            </w:pPr>
            <w:r/>
            <w:r>
              <w:rPr>
                <w:sz w:val="18"/>
              </w:rPr>
              <w:t>0,957</w:t>
            </w:r>
          </w:p>
        </w:tc>
        <w:tc>
          <w:tcPr>
            <w:tcW w:type="dxa" w:w="2387"/>
          </w:tcPr>
          <w:p>
            <w:pPr>
              <w:spacing w:after="20" w:before="20" w:line="240" w:lineRule="auto"/>
              <w:jc w:val="left"/>
            </w:pPr>
            <w:r/>
            <w:r>
              <w:rPr>
                <w:sz w:val="18"/>
              </w:rPr>
              <w:t>0,084 %</w:t>
            </w:r>
          </w:p>
        </w:tc>
      </w:tr>
      <w:tr>
        <w:trPr>
          <w:cantSplit w:val="true"/>
        </w:trPr>
        <w:tc>
          <w:tcPr>
            <w:tcW w:type="dxa" w:w="3921"/>
          </w:tcPr>
          <w:p>
            <w:pPr>
              <w:spacing w:after="20" w:before="20" w:line="240" w:lineRule="auto"/>
              <w:jc w:val="left"/>
            </w:pPr>
            <w:r/>
            <w:r>
              <w:rPr>
                <w:sz w:val="18"/>
              </w:rPr>
              <w:t>Sans autoencodeur</w:t>
            </w:r>
          </w:p>
        </w:tc>
        <w:tc>
          <w:tcPr>
            <w:tcW w:type="dxa" w:w="1680"/>
          </w:tcPr>
          <w:p>
            <w:pPr>
              <w:spacing w:after="20" w:before="20" w:line="240" w:lineRule="auto"/>
              <w:jc w:val="left"/>
            </w:pPr>
            <w:r/>
            <w:r>
              <w:rPr>
                <w:sz w:val="18"/>
              </w:rPr>
              <w:t>0,9950</w:t>
            </w:r>
          </w:p>
        </w:tc>
        <w:tc>
          <w:tcPr>
            <w:tcW w:type="dxa" w:w="1400"/>
          </w:tcPr>
          <w:p>
            <w:pPr>
              <w:spacing w:after="20" w:before="20" w:line="240" w:lineRule="auto"/>
              <w:jc w:val="left"/>
            </w:pPr>
            <w:r/>
            <w:r>
              <w:rPr>
                <w:sz w:val="18"/>
              </w:rPr>
              <w:t>0,960</w:t>
            </w:r>
          </w:p>
        </w:tc>
        <w:tc>
          <w:tcPr>
            <w:tcW w:type="dxa" w:w="2387"/>
          </w:tcPr>
          <w:p>
            <w:pPr>
              <w:spacing w:after="20" w:before="20" w:line="240" w:lineRule="auto"/>
              <w:jc w:val="left"/>
            </w:pPr>
            <w:r/>
            <w:r>
              <w:rPr>
                <w:sz w:val="18"/>
              </w:rPr>
              <w:t>0,080 %</w:t>
            </w:r>
          </w:p>
        </w:tc>
      </w:tr>
    </w:tbl>
    <w:p>
      <w:pPr>
        <w:spacing w:after="120"/>
      </w:pPr>
    </w:p>
    <w:p>
      <w:pPr>
        <w:spacing w:before="0" w:after="120" w:line="360" w:lineRule="auto"/>
        <w:jc w:val="both"/>
      </w:pPr>
      <w:r>
        <w:rPr>
          <w:sz w:val="24"/>
        </w:rPr>
        <w:t>Chaque retrait dégrade le modèle. Le LSTM et XGBoost sont les deux piliers : les coefficients du méta-apprenant sont de 1,69 pour XGBoost, 1,56 pour le LSTM et 0,46 pour l'autoencodeur. L'autoencodeur apporte peu en PR-AUC sur les fraudes connues du test, mais il réduit les fausses alertes et remplit un rôle qu'aucune autre composante ne remplit : il signale les comportements jamais vus.</w:t>
      </w:r>
    </w:p>
    <w:p>
      <w:pPr>
        <w:keepNext/>
        <w:spacing w:before="160" w:after="40"/>
        <w:jc w:val="center"/>
      </w:pPr>
      <w:r>
        <w:drawing>
          <wp:inline xmlns:a="http://schemas.openxmlformats.org/drawingml/2006/main" xmlns:pic="http://schemas.openxmlformats.org/drawingml/2006/picture">
            <wp:extent cx="5580000" cy="2075923"/>
            <wp:docPr id="53" name="Picture 53"/>
            <wp:cNvGraphicFramePr>
              <a:graphicFrameLocks noChangeAspect="1"/>
            </wp:cNvGraphicFramePr>
            <a:graphic>
              <a:graphicData uri="http://schemas.openxmlformats.org/drawingml/2006/picture">
                <pic:pic>
                  <pic:nvPicPr>
                    <pic:cNvPr id="0" name="fig_II_15_ablation.png"/>
                    <pic:cNvPicPr/>
                  </pic:nvPicPr>
                  <pic:blipFill>
                    <a:blip r:embed="rId27"/>
                    <a:stretch>
                      <a:fillRect/>
                    </a:stretch>
                  </pic:blipFill>
                  <pic:spPr>
                    <a:xfrm>
                      <a:off x="0" y="0"/>
                      <a:ext cx="5580000" cy="2075923"/>
                    </a:xfrm>
                    <a:prstGeom prst="rect"/>
                  </pic:spPr>
                </pic:pic>
              </a:graphicData>
            </a:graphic>
          </wp:inline>
        </w:drawing>
      </w:r>
    </w:p>
    <w:p>
      <w:pPr>
        <w:pStyle w:val="Légendefigure"/>
        <w:spacing w:before="40" w:after="240"/>
        <w:jc w:val="center"/>
      </w:pPr>
      <w:r>
        <w:rPr>
          <w:i/>
          <w:sz w:val="20"/>
        </w:rPr>
        <w:t>Figure III.12 — Ablation : PR-AUC, F1 et taux de faux positifs de l'hybride complet et de l'hybride privé d'une composante.</w:t>
      </w:r>
    </w:p>
    <w:p>
      <w:pPr>
        <w:pStyle w:val="Titre4"/>
        <w:keepNext/>
        <w:numPr>
          <w:numId w:val="0"/>
        </w:numPr>
        <w:spacing w:before="200" w:after="120"/>
        <w:ind w:left="0" w:firstLine="0"/>
        <w:jc w:val="left"/>
      </w:pPr>
      <w:r>
        <w:rPr>
          <w:b/>
          <w:i/>
          <w:color w:val="000000"/>
          <w:sz w:val="25"/>
        </w:rPr>
        <w:t>2.6 Matrice de décision multicritère</w:t>
      </w:r>
    </w:p>
    <w:p>
      <w:pPr>
        <w:spacing w:before="0" w:after="120" w:line="360" w:lineRule="auto"/>
        <w:jc w:val="both"/>
      </w:pPr>
      <w:r>
        <w:rPr>
          <w:sz w:val="24"/>
        </w:rPr>
        <w:t>Les critères et poids du tableau II.26 sont appliqués aux résultats mesurés (tableau III.15). Les notes de performance découlent des résultats ci-dessus ; les autres sont justifiées sous le tableau.</w:t>
      </w:r>
    </w:p>
    <w:p>
      <w:pPr>
        <w:pStyle w:val="Légendetableau"/>
        <w:keepNext/>
        <w:spacing w:before="200" w:after="80"/>
        <w:jc w:val="center"/>
      </w:pPr>
      <w:r>
        <w:rPr>
          <w:b/>
          <w:sz w:val="20"/>
        </w:rPr>
        <w:t>Tableau III.15 — Matrice de décision multicritère (notes de 1 à 5).</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1963"/>
        <w:gridCol w:w="840"/>
        <w:gridCol w:w="840"/>
        <w:gridCol w:w="1821"/>
        <w:gridCol w:w="840"/>
        <w:gridCol w:w="1261"/>
        <w:gridCol w:w="840"/>
        <w:gridCol w:w="981"/>
      </w:tblGrid>
      <w:tr>
        <w:trPr>
          <w:tblHeader w:val="true"/>
        </w:trPr>
        <w:tc>
          <w:tcPr>
            <w:tcW w:type="dxa" w:w="1963"/>
            <w:shd w:val="clear" w:color="auto" w:fill="D9E2F3"/>
          </w:tcPr>
          <w:p>
            <w:pPr>
              <w:spacing w:after="20" w:before="20" w:line="240" w:lineRule="auto"/>
              <w:jc w:val="left"/>
            </w:pPr>
            <w:r/>
            <w:r>
              <w:rPr>
                <w:b/>
                <w:sz w:val="16"/>
              </w:rPr>
              <w:t>Méthode</w:t>
            </w:r>
          </w:p>
        </w:tc>
        <w:tc>
          <w:tcPr>
            <w:tcW w:type="dxa" w:w="840"/>
            <w:shd w:val="clear" w:color="auto" w:fill="D9E2F3"/>
          </w:tcPr>
          <w:p>
            <w:pPr>
              <w:spacing w:after="20" w:before="20" w:line="240" w:lineRule="auto"/>
              <w:jc w:val="left"/>
            </w:pPr>
            <w:r/>
            <w:r>
              <w:rPr>
                <w:b/>
                <w:sz w:val="16"/>
              </w:rPr>
              <w:t>PR-AUC (30 %)</w:t>
            </w:r>
          </w:p>
        </w:tc>
        <w:tc>
          <w:tcPr>
            <w:tcW w:type="dxa" w:w="840"/>
            <w:shd w:val="clear" w:color="auto" w:fill="D9E2F3"/>
          </w:tcPr>
          <w:p>
            <w:pPr>
              <w:spacing w:after="20" w:before="20" w:line="240" w:lineRule="auto"/>
              <w:jc w:val="left"/>
            </w:pPr>
            <w:r/>
            <w:r>
              <w:rPr>
                <w:b/>
                <w:sz w:val="16"/>
              </w:rPr>
              <w:t>F1 (20 %)</w:t>
            </w:r>
          </w:p>
        </w:tc>
        <w:tc>
          <w:tcPr>
            <w:tcW w:type="dxa" w:w="1821"/>
            <w:shd w:val="clear" w:color="auto" w:fill="D9E2F3"/>
          </w:tcPr>
          <w:p>
            <w:pPr>
              <w:spacing w:after="20" w:before="20" w:line="240" w:lineRule="auto"/>
              <w:jc w:val="left"/>
            </w:pPr>
            <w:r/>
            <w:r>
              <w:rPr>
                <w:b/>
                <w:sz w:val="16"/>
              </w:rPr>
              <w:t>Explicabilité (15 %)</w:t>
            </w:r>
          </w:p>
        </w:tc>
        <w:tc>
          <w:tcPr>
            <w:tcW w:type="dxa" w:w="840"/>
            <w:shd w:val="clear" w:color="auto" w:fill="D9E2F3"/>
          </w:tcPr>
          <w:p>
            <w:pPr>
              <w:spacing w:after="20" w:before="20" w:line="240" w:lineRule="auto"/>
              <w:jc w:val="left"/>
            </w:pPr>
            <w:r/>
            <w:r>
              <w:rPr>
                <w:b/>
                <w:sz w:val="16"/>
              </w:rPr>
              <w:t>Temps réel (15 %)</w:t>
            </w:r>
          </w:p>
        </w:tc>
        <w:tc>
          <w:tcPr>
            <w:tcW w:type="dxa" w:w="1261"/>
            <w:shd w:val="clear" w:color="auto" w:fill="D9E2F3"/>
          </w:tcPr>
          <w:p>
            <w:pPr>
              <w:spacing w:after="20" w:before="20" w:line="240" w:lineRule="auto"/>
              <w:jc w:val="left"/>
            </w:pPr>
            <w:r/>
            <w:r>
              <w:rPr>
                <w:b/>
                <w:sz w:val="16"/>
              </w:rPr>
              <w:t>Dynamique (10 %)</w:t>
            </w:r>
          </w:p>
        </w:tc>
        <w:tc>
          <w:tcPr>
            <w:tcW w:type="dxa" w:w="840"/>
            <w:shd w:val="clear" w:color="auto" w:fill="D9E2F3"/>
          </w:tcPr>
          <w:p>
            <w:pPr>
              <w:spacing w:after="20" w:before="20" w:line="240" w:lineRule="auto"/>
              <w:jc w:val="left"/>
            </w:pPr>
            <w:r/>
            <w:r>
              <w:rPr>
                <w:b/>
                <w:sz w:val="16"/>
              </w:rPr>
              <w:t>Inédit (10 %)</w:t>
            </w:r>
          </w:p>
        </w:tc>
        <w:tc>
          <w:tcPr>
            <w:tcW w:type="dxa" w:w="981"/>
            <w:shd w:val="clear" w:color="auto" w:fill="D9E2F3"/>
          </w:tcPr>
          <w:p>
            <w:pPr>
              <w:spacing w:after="20" w:before="20" w:line="240" w:lineRule="auto"/>
              <w:jc w:val="left"/>
            </w:pPr>
            <w:r/>
            <w:r>
              <w:rPr>
                <w:b/>
                <w:sz w:val="16"/>
              </w:rPr>
              <w:t>Score pondéré / 5</w:t>
            </w:r>
          </w:p>
        </w:tc>
      </w:tr>
      <w:tr>
        <w:trPr>
          <w:cantSplit w:val="true"/>
        </w:trPr>
        <w:tc>
          <w:tcPr>
            <w:tcW w:type="dxa" w:w="1963"/>
          </w:tcPr>
          <w:p>
            <w:pPr>
              <w:spacing w:after="20" w:before="20" w:line="240" w:lineRule="auto"/>
              <w:jc w:val="left"/>
            </w:pPr>
            <w:r/>
            <w:r>
              <w:rPr>
                <w:sz w:val="16"/>
              </w:rPr>
              <w:t>Règles métier</w:t>
            </w:r>
          </w:p>
        </w:tc>
        <w:tc>
          <w:tcPr>
            <w:tcW w:type="dxa" w:w="840"/>
          </w:tcPr>
          <w:p>
            <w:pPr>
              <w:spacing w:after="20" w:before="20" w:line="240" w:lineRule="auto"/>
              <w:jc w:val="left"/>
            </w:pPr>
            <w:r/>
            <w:r>
              <w:rPr>
                <w:sz w:val="16"/>
              </w:rPr>
              <w:t>1</w:t>
            </w:r>
          </w:p>
        </w:tc>
        <w:tc>
          <w:tcPr>
            <w:tcW w:type="dxa" w:w="840"/>
          </w:tcPr>
          <w:p>
            <w:pPr>
              <w:spacing w:after="20" w:before="20" w:line="240" w:lineRule="auto"/>
              <w:jc w:val="left"/>
            </w:pPr>
            <w:r/>
            <w:r>
              <w:rPr>
                <w:sz w:val="16"/>
              </w:rPr>
              <w:t>1</w:t>
            </w:r>
          </w:p>
        </w:tc>
        <w:tc>
          <w:tcPr>
            <w:tcW w:type="dxa" w:w="1821"/>
          </w:tcPr>
          <w:p>
            <w:pPr>
              <w:spacing w:after="20" w:before="20" w:line="240" w:lineRule="auto"/>
              <w:jc w:val="left"/>
            </w:pPr>
            <w:r/>
            <w:r>
              <w:rPr>
                <w:sz w:val="16"/>
              </w:rPr>
              <w:t>5</w:t>
            </w:r>
          </w:p>
        </w:tc>
        <w:tc>
          <w:tcPr>
            <w:tcW w:type="dxa" w:w="840"/>
          </w:tcPr>
          <w:p>
            <w:pPr>
              <w:spacing w:after="20" w:before="20" w:line="240" w:lineRule="auto"/>
              <w:jc w:val="left"/>
            </w:pPr>
            <w:r/>
            <w:r>
              <w:rPr>
                <w:sz w:val="16"/>
              </w:rPr>
              <w:t>5</w:t>
            </w:r>
          </w:p>
        </w:tc>
        <w:tc>
          <w:tcPr>
            <w:tcW w:type="dxa" w:w="1261"/>
          </w:tcPr>
          <w:p>
            <w:pPr>
              <w:spacing w:after="20" w:before="20" w:line="240" w:lineRule="auto"/>
              <w:jc w:val="left"/>
            </w:pPr>
            <w:r/>
            <w:r>
              <w:rPr>
                <w:sz w:val="16"/>
              </w:rPr>
              <w:t>1</w:t>
            </w:r>
          </w:p>
        </w:tc>
        <w:tc>
          <w:tcPr>
            <w:tcW w:type="dxa" w:w="840"/>
          </w:tcPr>
          <w:p>
            <w:pPr>
              <w:spacing w:after="20" w:before="20" w:line="240" w:lineRule="auto"/>
              <w:jc w:val="left"/>
            </w:pPr>
            <w:r/>
            <w:r>
              <w:rPr>
                <w:sz w:val="16"/>
              </w:rPr>
              <w:t>2</w:t>
            </w:r>
          </w:p>
        </w:tc>
        <w:tc>
          <w:tcPr>
            <w:tcW w:type="dxa" w:w="981"/>
          </w:tcPr>
          <w:p>
            <w:pPr>
              <w:spacing w:after="20" w:before="20" w:line="240" w:lineRule="auto"/>
              <w:jc w:val="left"/>
            </w:pPr>
            <w:r/>
            <w:r>
              <w:rPr>
                <w:sz w:val="16"/>
              </w:rPr>
              <w:t>2,30</w:t>
            </w:r>
          </w:p>
        </w:tc>
      </w:tr>
      <w:tr>
        <w:trPr>
          <w:cantSplit w:val="true"/>
        </w:trPr>
        <w:tc>
          <w:tcPr>
            <w:tcW w:type="dxa" w:w="1963"/>
          </w:tcPr>
          <w:p>
            <w:pPr>
              <w:spacing w:after="20" w:before="20" w:line="240" w:lineRule="auto"/>
              <w:jc w:val="left"/>
            </w:pPr>
            <w:r/>
            <w:r>
              <w:rPr>
                <w:sz w:val="16"/>
              </w:rPr>
              <w:t>Régression logistique</w:t>
            </w:r>
          </w:p>
        </w:tc>
        <w:tc>
          <w:tcPr>
            <w:tcW w:type="dxa" w:w="840"/>
          </w:tcPr>
          <w:p>
            <w:pPr>
              <w:spacing w:after="20" w:before="20" w:line="240" w:lineRule="auto"/>
              <w:jc w:val="left"/>
            </w:pPr>
            <w:r/>
            <w:r>
              <w:rPr>
                <w:sz w:val="16"/>
              </w:rPr>
              <w:t>3</w:t>
            </w:r>
          </w:p>
        </w:tc>
        <w:tc>
          <w:tcPr>
            <w:tcW w:type="dxa" w:w="840"/>
          </w:tcPr>
          <w:p>
            <w:pPr>
              <w:spacing w:after="20" w:before="20" w:line="240" w:lineRule="auto"/>
              <w:jc w:val="left"/>
            </w:pPr>
            <w:r/>
            <w:r>
              <w:rPr>
                <w:sz w:val="16"/>
              </w:rPr>
              <w:t>3</w:t>
            </w:r>
          </w:p>
        </w:tc>
        <w:tc>
          <w:tcPr>
            <w:tcW w:type="dxa" w:w="1821"/>
          </w:tcPr>
          <w:p>
            <w:pPr>
              <w:spacing w:after="20" w:before="20" w:line="240" w:lineRule="auto"/>
              <w:jc w:val="left"/>
            </w:pPr>
            <w:r/>
            <w:r>
              <w:rPr>
                <w:sz w:val="16"/>
              </w:rPr>
              <w:t>5</w:t>
            </w:r>
          </w:p>
        </w:tc>
        <w:tc>
          <w:tcPr>
            <w:tcW w:type="dxa" w:w="840"/>
          </w:tcPr>
          <w:p>
            <w:pPr>
              <w:spacing w:after="20" w:before="20" w:line="240" w:lineRule="auto"/>
              <w:jc w:val="left"/>
            </w:pPr>
            <w:r/>
            <w:r>
              <w:rPr>
                <w:sz w:val="16"/>
              </w:rPr>
              <w:t>5</w:t>
            </w:r>
          </w:p>
        </w:tc>
        <w:tc>
          <w:tcPr>
            <w:tcW w:type="dxa" w:w="1261"/>
          </w:tcPr>
          <w:p>
            <w:pPr>
              <w:spacing w:after="20" w:before="20" w:line="240" w:lineRule="auto"/>
              <w:jc w:val="left"/>
            </w:pPr>
            <w:r/>
            <w:r>
              <w:rPr>
                <w:sz w:val="16"/>
              </w:rPr>
              <w:t>1</w:t>
            </w:r>
          </w:p>
        </w:tc>
        <w:tc>
          <w:tcPr>
            <w:tcW w:type="dxa" w:w="840"/>
          </w:tcPr>
          <w:p>
            <w:pPr>
              <w:spacing w:after="20" w:before="20" w:line="240" w:lineRule="auto"/>
              <w:jc w:val="left"/>
            </w:pPr>
            <w:r/>
            <w:r>
              <w:rPr>
                <w:sz w:val="16"/>
              </w:rPr>
              <w:t>1</w:t>
            </w:r>
          </w:p>
        </w:tc>
        <w:tc>
          <w:tcPr>
            <w:tcW w:type="dxa" w:w="981"/>
          </w:tcPr>
          <w:p>
            <w:pPr>
              <w:spacing w:after="20" w:before="20" w:line="240" w:lineRule="auto"/>
              <w:jc w:val="left"/>
            </w:pPr>
            <w:r/>
            <w:r>
              <w:rPr>
                <w:sz w:val="16"/>
              </w:rPr>
              <w:t>3,20</w:t>
            </w:r>
          </w:p>
        </w:tc>
      </w:tr>
      <w:tr>
        <w:trPr>
          <w:cantSplit w:val="true"/>
        </w:trPr>
        <w:tc>
          <w:tcPr>
            <w:tcW w:type="dxa" w:w="1963"/>
          </w:tcPr>
          <w:p>
            <w:pPr>
              <w:spacing w:after="20" w:before="20" w:line="240" w:lineRule="auto"/>
              <w:jc w:val="left"/>
            </w:pPr>
            <w:r/>
            <w:r>
              <w:rPr>
                <w:sz w:val="16"/>
              </w:rPr>
              <w:t>Random Forest</w:t>
            </w:r>
          </w:p>
        </w:tc>
        <w:tc>
          <w:tcPr>
            <w:tcW w:type="dxa" w:w="840"/>
          </w:tcPr>
          <w:p>
            <w:pPr>
              <w:spacing w:after="20" w:before="20" w:line="240" w:lineRule="auto"/>
              <w:jc w:val="left"/>
            </w:pPr>
            <w:r/>
            <w:r>
              <w:rPr>
                <w:sz w:val="16"/>
              </w:rPr>
              <w:t>4</w:t>
            </w:r>
          </w:p>
        </w:tc>
        <w:tc>
          <w:tcPr>
            <w:tcW w:type="dxa" w:w="840"/>
          </w:tcPr>
          <w:p>
            <w:pPr>
              <w:spacing w:after="20" w:before="20" w:line="240" w:lineRule="auto"/>
              <w:jc w:val="left"/>
            </w:pPr>
            <w:r/>
            <w:r>
              <w:rPr>
                <w:sz w:val="16"/>
              </w:rPr>
              <w:t>4</w:t>
            </w:r>
          </w:p>
        </w:tc>
        <w:tc>
          <w:tcPr>
            <w:tcW w:type="dxa" w:w="1821"/>
          </w:tcPr>
          <w:p>
            <w:pPr>
              <w:spacing w:after="20" w:before="20" w:line="240" w:lineRule="auto"/>
              <w:jc w:val="left"/>
            </w:pPr>
            <w:r/>
            <w:r>
              <w:rPr>
                <w:sz w:val="16"/>
              </w:rPr>
              <w:t>3</w:t>
            </w:r>
          </w:p>
        </w:tc>
        <w:tc>
          <w:tcPr>
            <w:tcW w:type="dxa" w:w="840"/>
          </w:tcPr>
          <w:p>
            <w:pPr>
              <w:spacing w:after="20" w:before="20" w:line="240" w:lineRule="auto"/>
              <w:jc w:val="left"/>
            </w:pPr>
            <w:r/>
            <w:r>
              <w:rPr>
                <w:sz w:val="16"/>
              </w:rPr>
              <w:t>4</w:t>
            </w:r>
          </w:p>
        </w:tc>
        <w:tc>
          <w:tcPr>
            <w:tcW w:type="dxa" w:w="1261"/>
          </w:tcPr>
          <w:p>
            <w:pPr>
              <w:spacing w:after="20" w:before="20" w:line="240" w:lineRule="auto"/>
              <w:jc w:val="left"/>
            </w:pPr>
            <w:r/>
            <w:r>
              <w:rPr>
                <w:sz w:val="16"/>
              </w:rPr>
              <w:t>1</w:t>
            </w:r>
          </w:p>
        </w:tc>
        <w:tc>
          <w:tcPr>
            <w:tcW w:type="dxa" w:w="840"/>
          </w:tcPr>
          <w:p>
            <w:pPr>
              <w:spacing w:after="20" w:before="20" w:line="240" w:lineRule="auto"/>
              <w:jc w:val="left"/>
            </w:pPr>
            <w:r/>
            <w:r>
              <w:rPr>
                <w:sz w:val="16"/>
              </w:rPr>
              <w:t>1</w:t>
            </w:r>
          </w:p>
        </w:tc>
        <w:tc>
          <w:tcPr>
            <w:tcW w:type="dxa" w:w="981"/>
          </w:tcPr>
          <w:p>
            <w:pPr>
              <w:spacing w:after="20" w:before="20" w:line="240" w:lineRule="auto"/>
              <w:jc w:val="left"/>
            </w:pPr>
            <w:r/>
            <w:r>
              <w:rPr>
                <w:sz w:val="16"/>
              </w:rPr>
              <w:t>3,25</w:t>
            </w:r>
          </w:p>
        </w:tc>
      </w:tr>
      <w:tr>
        <w:trPr>
          <w:cantSplit w:val="true"/>
        </w:trPr>
        <w:tc>
          <w:tcPr>
            <w:tcW w:type="dxa" w:w="1963"/>
          </w:tcPr>
          <w:p>
            <w:pPr>
              <w:spacing w:after="20" w:before="20" w:line="240" w:lineRule="auto"/>
              <w:jc w:val="left"/>
            </w:pPr>
            <w:r/>
            <w:r>
              <w:rPr>
                <w:sz w:val="16"/>
              </w:rPr>
              <w:t>Isolation Forest</w:t>
            </w:r>
          </w:p>
        </w:tc>
        <w:tc>
          <w:tcPr>
            <w:tcW w:type="dxa" w:w="840"/>
          </w:tcPr>
          <w:p>
            <w:pPr>
              <w:spacing w:after="20" w:before="20" w:line="240" w:lineRule="auto"/>
              <w:jc w:val="left"/>
            </w:pPr>
            <w:r/>
            <w:r>
              <w:rPr>
                <w:sz w:val="16"/>
              </w:rPr>
              <w:t>1</w:t>
            </w:r>
          </w:p>
        </w:tc>
        <w:tc>
          <w:tcPr>
            <w:tcW w:type="dxa" w:w="840"/>
          </w:tcPr>
          <w:p>
            <w:pPr>
              <w:spacing w:after="20" w:before="20" w:line="240" w:lineRule="auto"/>
              <w:jc w:val="left"/>
            </w:pPr>
            <w:r/>
            <w:r>
              <w:rPr>
                <w:sz w:val="16"/>
              </w:rPr>
              <w:t>1</w:t>
            </w:r>
          </w:p>
        </w:tc>
        <w:tc>
          <w:tcPr>
            <w:tcW w:type="dxa" w:w="1821"/>
          </w:tcPr>
          <w:p>
            <w:pPr>
              <w:spacing w:after="20" w:before="20" w:line="240" w:lineRule="auto"/>
              <w:jc w:val="left"/>
            </w:pPr>
            <w:r/>
            <w:r>
              <w:rPr>
                <w:sz w:val="16"/>
              </w:rPr>
              <w:t>2</w:t>
            </w:r>
          </w:p>
        </w:tc>
        <w:tc>
          <w:tcPr>
            <w:tcW w:type="dxa" w:w="840"/>
          </w:tcPr>
          <w:p>
            <w:pPr>
              <w:spacing w:after="20" w:before="20" w:line="240" w:lineRule="auto"/>
              <w:jc w:val="left"/>
            </w:pPr>
            <w:r/>
            <w:r>
              <w:rPr>
                <w:sz w:val="16"/>
              </w:rPr>
              <w:t>4</w:t>
            </w:r>
          </w:p>
        </w:tc>
        <w:tc>
          <w:tcPr>
            <w:tcW w:type="dxa" w:w="1261"/>
          </w:tcPr>
          <w:p>
            <w:pPr>
              <w:spacing w:after="20" w:before="20" w:line="240" w:lineRule="auto"/>
              <w:jc w:val="left"/>
            </w:pPr>
            <w:r/>
            <w:r>
              <w:rPr>
                <w:sz w:val="16"/>
              </w:rPr>
              <w:t>1</w:t>
            </w:r>
          </w:p>
        </w:tc>
        <w:tc>
          <w:tcPr>
            <w:tcW w:type="dxa" w:w="840"/>
          </w:tcPr>
          <w:p>
            <w:pPr>
              <w:spacing w:after="20" w:before="20" w:line="240" w:lineRule="auto"/>
              <w:jc w:val="left"/>
            </w:pPr>
            <w:r/>
            <w:r>
              <w:rPr>
                <w:sz w:val="16"/>
              </w:rPr>
              <w:t>4</w:t>
            </w:r>
          </w:p>
        </w:tc>
        <w:tc>
          <w:tcPr>
            <w:tcW w:type="dxa" w:w="981"/>
          </w:tcPr>
          <w:p>
            <w:pPr>
              <w:spacing w:after="20" w:before="20" w:line="240" w:lineRule="auto"/>
              <w:jc w:val="left"/>
            </w:pPr>
            <w:r/>
            <w:r>
              <w:rPr>
                <w:sz w:val="16"/>
              </w:rPr>
              <w:t>1,90</w:t>
            </w:r>
          </w:p>
        </w:tc>
      </w:tr>
      <w:tr>
        <w:trPr>
          <w:cantSplit w:val="true"/>
        </w:trPr>
        <w:tc>
          <w:tcPr>
            <w:tcW w:type="dxa" w:w="1963"/>
          </w:tcPr>
          <w:p>
            <w:pPr>
              <w:spacing w:after="20" w:before="20" w:line="240" w:lineRule="auto"/>
              <w:jc w:val="left"/>
            </w:pPr>
            <w:r/>
            <w:r>
              <w:rPr>
                <w:sz w:val="16"/>
              </w:rPr>
              <w:t>Autoencodeur</w:t>
            </w:r>
          </w:p>
        </w:tc>
        <w:tc>
          <w:tcPr>
            <w:tcW w:type="dxa" w:w="840"/>
          </w:tcPr>
          <w:p>
            <w:pPr>
              <w:spacing w:after="20" w:before="20" w:line="240" w:lineRule="auto"/>
              <w:jc w:val="left"/>
            </w:pPr>
            <w:r/>
            <w:r>
              <w:rPr>
                <w:sz w:val="16"/>
              </w:rPr>
              <w:t>2</w:t>
            </w:r>
          </w:p>
        </w:tc>
        <w:tc>
          <w:tcPr>
            <w:tcW w:type="dxa" w:w="840"/>
          </w:tcPr>
          <w:p>
            <w:pPr>
              <w:spacing w:after="20" w:before="20" w:line="240" w:lineRule="auto"/>
              <w:jc w:val="left"/>
            </w:pPr>
            <w:r/>
            <w:r>
              <w:rPr>
                <w:sz w:val="16"/>
              </w:rPr>
              <w:t>2</w:t>
            </w:r>
          </w:p>
        </w:tc>
        <w:tc>
          <w:tcPr>
            <w:tcW w:type="dxa" w:w="1821"/>
          </w:tcPr>
          <w:p>
            <w:pPr>
              <w:spacing w:after="20" w:before="20" w:line="240" w:lineRule="auto"/>
              <w:jc w:val="left"/>
            </w:pPr>
            <w:r/>
            <w:r>
              <w:rPr>
                <w:sz w:val="16"/>
              </w:rPr>
              <w:t>2</w:t>
            </w:r>
          </w:p>
        </w:tc>
        <w:tc>
          <w:tcPr>
            <w:tcW w:type="dxa" w:w="840"/>
          </w:tcPr>
          <w:p>
            <w:pPr>
              <w:spacing w:after="20" w:before="20" w:line="240" w:lineRule="auto"/>
              <w:jc w:val="left"/>
            </w:pPr>
            <w:r/>
            <w:r>
              <w:rPr>
                <w:sz w:val="16"/>
              </w:rPr>
              <w:t>4</w:t>
            </w:r>
          </w:p>
        </w:tc>
        <w:tc>
          <w:tcPr>
            <w:tcW w:type="dxa" w:w="1261"/>
          </w:tcPr>
          <w:p>
            <w:pPr>
              <w:spacing w:after="20" w:before="20" w:line="240" w:lineRule="auto"/>
              <w:jc w:val="left"/>
            </w:pPr>
            <w:r/>
            <w:r>
              <w:rPr>
                <w:sz w:val="16"/>
              </w:rPr>
              <w:t>1</w:t>
            </w:r>
          </w:p>
        </w:tc>
        <w:tc>
          <w:tcPr>
            <w:tcW w:type="dxa" w:w="840"/>
          </w:tcPr>
          <w:p>
            <w:pPr>
              <w:spacing w:after="20" w:before="20" w:line="240" w:lineRule="auto"/>
              <w:jc w:val="left"/>
            </w:pPr>
            <w:r/>
            <w:r>
              <w:rPr>
                <w:sz w:val="16"/>
              </w:rPr>
              <w:t>5</w:t>
            </w:r>
          </w:p>
        </w:tc>
        <w:tc>
          <w:tcPr>
            <w:tcW w:type="dxa" w:w="981"/>
          </w:tcPr>
          <w:p>
            <w:pPr>
              <w:spacing w:after="20" w:before="20" w:line="240" w:lineRule="auto"/>
              <w:jc w:val="left"/>
            </w:pPr>
            <w:r/>
            <w:r>
              <w:rPr>
                <w:sz w:val="16"/>
              </w:rPr>
              <w:t>2,50</w:t>
            </w:r>
          </w:p>
        </w:tc>
      </w:tr>
      <w:tr>
        <w:trPr>
          <w:cantSplit w:val="true"/>
        </w:trPr>
        <w:tc>
          <w:tcPr>
            <w:tcW w:type="dxa" w:w="1963"/>
          </w:tcPr>
          <w:p>
            <w:pPr>
              <w:spacing w:after="20" w:before="20" w:line="240" w:lineRule="auto"/>
              <w:jc w:val="left"/>
            </w:pPr>
            <w:r/>
            <w:r>
              <w:rPr>
                <w:sz w:val="16"/>
              </w:rPr>
              <w:t>XGBoost</w:t>
            </w:r>
          </w:p>
        </w:tc>
        <w:tc>
          <w:tcPr>
            <w:tcW w:type="dxa" w:w="840"/>
          </w:tcPr>
          <w:p>
            <w:pPr>
              <w:spacing w:after="20" w:before="20" w:line="240" w:lineRule="auto"/>
              <w:jc w:val="left"/>
            </w:pPr>
            <w:r/>
            <w:r>
              <w:rPr>
                <w:sz w:val="16"/>
              </w:rPr>
              <w:t>4</w:t>
            </w:r>
          </w:p>
        </w:tc>
        <w:tc>
          <w:tcPr>
            <w:tcW w:type="dxa" w:w="840"/>
          </w:tcPr>
          <w:p>
            <w:pPr>
              <w:spacing w:after="20" w:before="20" w:line="240" w:lineRule="auto"/>
              <w:jc w:val="left"/>
            </w:pPr>
            <w:r/>
            <w:r>
              <w:rPr>
                <w:sz w:val="16"/>
              </w:rPr>
              <w:t>4</w:t>
            </w:r>
          </w:p>
        </w:tc>
        <w:tc>
          <w:tcPr>
            <w:tcW w:type="dxa" w:w="1821"/>
          </w:tcPr>
          <w:p>
            <w:pPr>
              <w:spacing w:after="20" w:before="20" w:line="240" w:lineRule="auto"/>
              <w:jc w:val="left"/>
            </w:pPr>
            <w:r/>
            <w:r>
              <w:rPr>
                <w:sz w:val="16"/>
              </w:rPr>
              <w:t>4</w:t>
            </w:r>
          </w:p>
        </w:tc>
        <w:tc>
          <w:tcPr>
            <w:tcW w:type="dxa" w:w="840"/>
          </w:tcPr>
          <w:p>
            <w:pPr>
              <w:spacing w:after="20" w:before="20" w:line="240" w:lineRule="auto"/>
              <w:jc w:val="left"/>
            </w:pPr>
            <w:r/>
            <w:r>
              <w:rPr>
                <w:sz w:val="16"/>
              </w:rPr>
              <w:t>5</w:t>
            </w:r>
          </w:p>
        </w:tc>
        <w:tc>
          <w:tcPr>
            <w:tcW w:type="dxa" w:w="1261"/>
          </w:tcPr>
          <w:p>
            <w:pPr>
              <w:spacing w:after="20" w:before="20" w:line="240" w:lineRule="auto"/>
              <w:jc w:val="left"/>
            </w:pPr>
            <w:r/>
            <w:r>
              <w:rPr>
                <w:sz w:val="16"/>
              </w:rPr>
              <w:t>2</w:t>
            </w:r>
          </w:p>
        </w:tc>
        <w:tc>
          <w:tcPr>
            <w:tcW w:type="dxa" w:w="840"/>
          </w:tcPr>
          <w:p>
            <w:pPr>
              <w:spacing w:after="20" w:before="20" w:line="240" w:lineRule="auto"/>
              <w:jc w:val="left"/>
            </w:pPr>
            <w:r/>
            <w:r>
              <w:rPr>
                <w:sz w:val="16"/>
              </w:rPr>
              <w:t>1</w:t>
            </w:r>
          </w:p>
        </w:tc>
        <w:tc>
          <w:tcPr>
            <w:tcW w:type="dxa" w:w="981"/>
          </w:tcPr>
          <w:p>
            <w:pPr>
              <w:spacing w:after="20" w:before="20" w:line="240" w:lineRule="auto"/>
              <w:jc w:val="left"/>
            </w:pPr>
            <w:r/>
            <w:r>
              <w:rPr>
                <w:sz w:val="16"/>
              </w:rPr>
              <w:t>3,65</w:t>
            </w:r>
          </w:p>
        </w:tc>
      </w:tr>
      <w:tr>
        <w:trPr>
          <w:cantSplit w:val="true"/>
        </w:trPr>
        <w:tc>
          <w:tcPr>
            <w:tcW w:type="dxa" w:w="1963"/>
          </w:tcPr>
          <w:p>
            <w:pPr>
              <w:spacing w:after="20" w:before="20" w:line="240" w:lineRule="auto"/>
              <w:jc w:val="left"/>
            </w:pPr>
            <w:r/>
            <w:r>
              <w:rPr>
                <w:sz w:val="16"/>
              </w:rPr>
              <w:t>LSTM-attention</w:t>
            </w:r>
          </w:p>
        </w:tc>
        <w:tc>
          <w:tcPr>
            <w:tcW w:type="dxa" w:w="840"/>
          </w:tcPr>
          <w:p>
            <w:pPr>
              <w:spacing w:after="20" w:before="20" w:line="240" w:lineRule="auto"/>
              <w:jc w:val="left"/>
            </w:pPr>
            <w:r/>
            <w:r>
              <w:rPr>
                <w:sz w:val="16"/>
              </w:rPr>
              <w:t>4</w:t>
            </w:r>
          </w:p>
        </w:tc>
        <w:tc>
          <w:tcPr>
            <w:tcW w:type="dxa" w:w="840"/>
          </w:tcPr>
          <w:p>
            <w:pPr>
              <w:spacing w:after="20" w:before="20" w:line="240" w:lineRule="auto"/>
              <w:jc w:val="left"/>
            </w:pPr>
            <w:r/>
            <w:r>
              <w:rPr>
                <w:sz w:val="16"/>
              </w:rPr>
              <w:t>4</w:t>
            </w:r>
          </w:p>
        </w:tc>
        <w:tc>
          <w:tcPr>
            <w:tcW w:type="dxa" w:w="1821"/>
          </w:tcPr>
          <w:p>
            <w:pPr>
              <w:spacing w:after="20" w:before="20" w:line="240" w:lineRule="auto"/>
              <w:jc w:val="left"/>
            </w:pPr>
            <w:r/>
            <w:r>
              <w:rPr>
                <w:sz w:val="16"/>
              </w:rPr>
              <w:t>2</w:t>
            </w:r>
          </w:p>
        </w:tc>
        <w:tc>
          <w:tcPr>
            <w:tcW w:type="dxa" w:w="840"/>
          </w:tcPr>
          <w:p>
            <w:pPr>
              <w:spacing w:after="20" w:before="20" w:line="240" w:lineRule="auto"/>
              <w:jc w:val="left"/>
            </w:pPr>
            <w:r/>
            <w:r>
              <w:rPr>
                <w:sz w:val="16"/>
              </w:rPr>
              <w:t>3</w:t>
            </w:r>
          </w:p>
        </w:tc>
        <w:tc>
          <w:tcPr>
            <w:tcW w:type="dxa" w:w="1261"/>
          </w:tcPr>
          <w:p>
            <w:pPr>
              <w:spacing w:after="20" w:before="20" w:line="240" w:lineRule="auto"/>
              <w:jc w:val="left"/>
            </w:pPr>
            <w:r/>
            <w:r>
              <w:rPr>
                <w:sz w:val="16"/>
              </w:rPr>
              <w:t>5</w:t>
            </w:r>
          </w:p>
        </w:tc>
        <w:tc>
          <w:tcPr>
            <w:tcW w:type="dxa" w:w="840"/>
          </w:tcPr>
          <w:p>
            <w:pPr>
              <w:spacing w:after="20" w:before="20" w:line="240" w:lineRule="auto"/>
              <w:jc w:val="left"/>
            </w:pPr>
            <w:r/>
            <w:r>
              <w:rPr>
                <w:sz w:val="16"/>
              </w:rPr>
              <w:t>2</w:t>
            </w:r>
          </w:p>
        </w:tc>
        <w:tc>
          <w:tcPr>
            <w:tcW w:type="dxa" w:w="981"/>
          </w:tcPr>
          <w:p>
            <w:pPr>
              <w:spacing w:after="20" w:before="20" w:line="240" w:lineRule="auto"/>
              <w:jc w:val="left"/>
            </w:pPr>
            <w:r/>
            <w:r>
              <w:rPr>
                <w:sz w:val="16"/>
              </w:rPr>
              <w:t>3,45</w:t>
            </w:r>
          </w:p>
        </w:tc>
      </w:tr>
      <w:tr>
        <w:trPr>
          <w:cantSplit w:val="true"/>
        </w:trPr>
        <w:tc>
          <w:tcPr>
            <w:tcW w:type="dxa" w:w="1963"/>
          </w:tcPr>
          <w:p>
            <w:pPr>
              <w:spacing w:after="20" w:before="20" w:line="240" w:lineRule="auto"/>
              <w:jc w:val="left"/>
            </w:pPr>
            <w:r/>
            <w:r>
              <w:rPr>
                <w:b/>
                <w:sz w:val="16"/>
              </w:rPr>
              <w:t>Hybride</w:t>
            </w:r>
          </w:p>
        </w:tc>
        <w:tc>
          <w:tcPr>
            <w:tcW w:type="dxa" w:w="840"/>
          </w:tcPr>
          <w:p>
            <w:pPr>
              <w:spacing w:after="20" w:before="20" w:line="240" w:lineRule="auto"/>
              <w:jc w:val="left"/>
            </w:pPr>
            <w:r/>
            <w:r>
              <w:rPr>
                <w:b/>
                <w:sz w:val="16"/>
              </w:rPr>
              <w:t>5</w:t>
            </w:r>
          </w:p>
        </w:tc>
        <w:tc>
          <w:tcPr>
            <w:tcW w:type="dxa" w:w="840"/>
          </w:tcPr>
          <w:p>
            <w:pPr>
              <w:spacing w:after="20" w:before="20" w:line="240" w:lineRule="auto"/>
              <w:jc w:val="left"/>
            </w:pPr>
            <w:r/>
            <w:r>
              <w:rPr>
                <w:b/>
                <w:sz w:val="16"/>
              </w:rPr>
              <w:t>5</w:t>
            </w:r>
          </w:p>
        </w:tc>
        <w:tc>
          <w:tcPr>
            <w:tcW w:type="dxa" w:w="1821"/>
          </w:tcPr>
          <w:p>
            <w:pPr>
              <w:spacing w:after="20" w:before="20" w:line="240" w:lineRule="auto"/>
              <w:jc w:val="left"/>
            </w:pPr>
            <w:r/>
            <w:r>
              <w:rPr>
                <w:b/>
                <w:sz w:val="16"/>
              </w:rPr>
              <w:t>4</w:t>
            </w:r>
          </w:p>
        </w:tc>
        <w:tc>
          <w:tcPr>
            <w:tcW w:type="dxa" w:w="840"/>
          </w:tcPr>
          <w:p>
            <w:pPr>
              <w:spacing w:after="20" w:before="20" w:line="240" w:lineRule="auto"/>
              <w:jc w:val="left"/>
            </w:pPr>
            <w:r/>
            <w:r>
              <w:rPr>
                <w:b/>
                <w:sz w:val="16"/>
              </w:rPr>
              <w:t>3</w:t>
            </w:r>
          </w:p>
        </w:tc>
        <w:tc>
          <w:tcPr>
            <w:tcW w:type="dxa" w:w="1261"/>
          </w:tcPr>
          <w:p>
            <w:pPr>
              <w:spacing w:after="20" w:before="20" w:line="240" w:lineRule="auto"/>
              <w:jc w:val="left"/>
            </w:pPr>
            <w:r/>
            <w:r>
              <w:rPr>
                <w:b/>
                <w:sz w:val="16"/>
              </w:rPr>
              <w:t>5</w:t>
            </w:r>
          </w:p>
        </w:tc>
        <w:tc>
          <w:tcPr>
            <w:tcW w:type="dxa" w:w="840"/>
          </w:tcPr>
          <w:p>
            <w:pPr>
              <w:spacing w:after="20" w:before="20" w:line="240" w:lineRule="auto"/>
              <w:jc w:val="left"/>
            </w:pPr>
            <w:r/>
            <w:r>
              <w:rPr>
                <w:b/>
                <w:sz w:val="16"/>
              </w:rPr>
              <w:t>4</w:t>
            </w:r>
          </w:p>
        </w:tc>
        <w:tc>
          <w:tcPr>
            <w:tcW w:type="dxa" w:w="981"/>
          </w:tcPr>
          <w:p>
            <w:pPr>
              <w:spacing w:after="20" w:before="20" w:line="240" w:lineRule="auto"/>
              <w:jc w:val="left"/>
            </w:pPr>
            <w:r/>
            <w:r>
              <w:rPr>
                <w:b/>
                <w:sz w:val="16"/>
              </w:rPr>
              <w:t>4,45</w:t>
            </w:r>
          </w:p>
        </w:tc>
      </w:tr>
    </w:tbl>
    <w:p>
      <w:pPr>
        <w:spacing w:after="120"/>
      </w:pPr>
    </w:p>
    <w:p>
      <w:pPr>
        <w:spacing w:before="0" w:after="120" w:line="360" w:lineRule="auto"/>
        <w:jc w:val="both"/>
      </w:pPr>
      <w:r>
        <w:rPr>
          <w:sz w:val="24"/>
        </w:rPr>
        <w:t>L'</w:t>
      </w:r>
      <w:r>
        <w:rPr>
          <w:b/>
          <w:sz w:val="24"/>
        </w:rPr>
        <w:t>explicabilité</w:t>
      </w:r>
      <w:r>
        <w:rPr>
          <w:sz w:val="24"/>
        </w:rPr>
        <w:t xml:space="preserve"> reçoit 5 pour les règles et la régression logistique, transparentes par nature ; 4 pour XGBoost (TreeSHAP exact) et l'hybride (TreeSHAP, contribution de chaque composante, poids d'attention) ; 2 pour le LSTM seul (attention seulement) et les méthodes d'anomalie (score global). Le </w:t>
      </w:r>
      <w:r>
        <w:rPr>
          <w:b/>
          <w:sz w:val="24"/>
        </w:rPr>
        <w:t>temps réel</w:t>
      </w:r>
      <w:r>
        <w:rPr>
          <w:sz w:val="24"/>
        </w:rPr>
        <w:t xml:space="preserve"> reçoit 4 ou 5 pour les modèles linéaires et à arbres, 3 pour le LSTM et l'hybride, plus coûteux. La </w:t>
      </w:r>
      <w:r>
        <w:rPr>
          <w:b/>
          <w:sz w:val="24"/>
        </w:rPr>
        <w:t>dynamique</w:t>
      </w:r>
      <w:r>
        <w:rPr>
          <w:sz w:val="24"/>
        </w:rPr>
        <w:t xml:space="preserve"> reçoit 5 pour les seuls modèles qui lisent la séquence (LSTM, hybride). L'</w:t>
      </w:r>
      <w:r>
        <w:rPr>
          <w:b/>
          <w:sz w:val="24"/>
        </w:rPr>
        <w:t>inédit</w:t>
      </w:r>
      <w:r>
        <w:rPr>
          <w:sz w:val="24"/>
        </w:rPr>
        <w:t xml:space="preserve"> reçoit 5 et 4 pour les méthodes sans étiquette, et 4 pour l'hybride, qui hérite de l'autoencodeur et des lois physiques.</w:t>
      </w:r>
    </w:p>
    <w:p>
      <w:pPr>
        <w:spacing w:before="0" w:after="120" w:line="360" w:lineRule="auto"/>
        <w:jc w:val="both"/>
      </w:pPr>
      <w:r>
        <w:rPr>
          <w:sz w:val="24"/>
        </w:rPr>
        <w:t xml:space="preserve">La pondération comporte une part de jugement ; deux contrôles vérifient que le choix n'en dépend pas. Avec des </w:t>
      </w:r>
      <w:r>
        <w:rPr>
          <w:b/>
          <w:sz w:val="24"/>
        </w:rPr>
        <w:t>poids égaux</w:t>
      </w:r>
      <w:r>
        <w:rPr>
          <w:sz w:val="24"/>
        </w:rPr>
        <w:t xml:space="preserve">, l'hybride reste premier (4,33 contre 3,33 pour XGBoost et le LSTM). Sur </w:t>
      </w:r>
      <w:r>
        <w:rPr>
          <w:b/>
          <w:sz w:val="24"/>
        </w:rPr>
        <w:t>2 000 pondérations tirées au hasard</w:t>
      </w:r>
      <w:r>
        <w:rPr>
          <w:sz w:val="24"/>
        </w:rPr>
        <w:t>, il arrive premier dans 91 % des cas (1 817 sur 2 000) ; XGBoost ne passe devant que lorsque presque tout le poids porte sur la simplicité et l'explicabilité. Le modèle retenu est donc l'hybride, XGBoost restant la solution de repli naturelle.</w:t>
      </w:r>
    </w:p>
    <w:p>
      <w:pPr>
        <w:pStyle w:val="Titre4"/>
        <w:keepNext/>
        <w:numPr>
          <w:numId w:val="0"/>
        </w:numPr>
        <w:spacing w:before="200" w:after="120"/>
        <w:ind w:left="0" w:firstLine="0"/>
        <w:jc w:val="left"/>
      </w:pPr>
      <w:r>
        <w:rPr>
          <w:b/>
          <w:i/>
          <w:color w:val="000000"/>
          <w:sz w:val="25"/>
        </w:rPr>
        <w:t>2.7 Résultats sur les cinq hypothèses</w:t>
      </w:r>
    </w:p>
    <w:p>
      <w:pPr>
        <w:pStyle w:val="Légendetableau"/>
        <w:keepNext/>
        <w:spacing w:before="200" w:after="80"/>
        <w:jc w:val="center"/>
      </w:pPr>
      <w:r>
        <w:rPr>
          <w:b/>
          <w:sz w:val="20"/>
        </w:rPr>
        <w:t>Tableau III.16 — Synthèse des hypothèses.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2723"/>
        <w:gridCol w:w="5161"/>
        <w:gridCol w:w="1505"/>
      </w:tblGrid>
      <w:tr>
        <w:trPr>
          <w:tblHeader w:val="true"/>
        </w:trPr>
        <w:tc>
          <w:tcPr>
            <w:tcW w:type="dxa" w:w="2723"/>
            <w:shd w:val="clear" w:color="auto" w:fill="D9E2F3"/>
          </w:tcPr>
          <w:p>
            <w:pPr>
              <w:spacing w:after="20" w:before="20" w:line="240" w:lineRule="auto"/>
              <w:jc w:val="left"/>
            </w:pPr>
            <w:r/>
            <w:r>
              <w:rPr>
                <w:b/>
                <w:sz w:val="20"/>
              </w:rPr>
              <w:t>Hypothèse</w:t>
            </w:r>
          </w:p>
        </w:tc>
        <w:tc>
          <w:tcPr>
            <w:tcW w:type="dxa" w:w="5161"/>
            <w:shd w:val="clear" w:color="auto" w:fill="D9E2F3"/>
          </w:tcPr>
          <w:p>
            <w:pPr>
              <w:spacing w:after="20" w:before="20" w:line="240" w:lineRule="auto"/>
              <w:jc w:val="left"/>
            </w:pPr>
            <w:r/>
            <w:r>
              <w:rPr>
                <w:b/>
                <w:sz w:val="20"/>
              </w:rPr>
              <w:t>Résultat principal</w:t>
            </w:r>
          </w:p>
        </w:tc>
        <w:tc>
          <w:tcPr>
            <w:tcW w:type="dxa" w:w="1505"/>
            <w:shd w:val="clear" w:color="auto" w:fill="D9E2F3"/>
          </w:tcPr>
          <w:p>
            <w:pPr>
              <w:spacing w:after="20" w:before="20" w:line="240" w:lineRule="auto"/>
              <w:jc w:val="left"/>
            </w:pPr>
            <w:r/>
            <w:r>
              <w:rPr>
                <w:b/>
                <w:sz w:val="20"/>
              </w:rPr>
              <w:t>Conclusion</w:t>
            </w:r>
          </w:p>
        </w:tc>
      </w:tr>
      <w:tr>
        <w:trPr>
          <w:cantSplit w:val="true"/>
        </w:trPr>
        <w:tc>
          <w:tcPr>
            <w:tcW w:type="dxa" w:w="2723"/>
          </w:tcPr>
          <w:p>
            <w:pPr>
              <w:spacing w:after="20" w:before="20" w:line="240" w:lineRule="auto"/>
              <w:jc w:val="left"/>
            </w:pPr>
            <w:r/>
            <w:r>
              <w:rPr>
                <w:sz w:val="20"/>
              </w:rPr>
              <w:t>H1 — le profilage bat le statique</w:t>
            </w:r>
          </w:p>
        </w:tc>
        <w:tc>
          <w:tcPr>
            <w:tcW w:type="dxa" w:w="5161"/>
          </w:tcPr>
          <w:p>
            <w:pPr>
              <w:spacing w:after="20" w:before="20" w:line="240" w:lineRule="auto"/>
              <w:jc w:val="left"/>
            </w:pPr>
            <w:r/>
            <w:r>
              <w:rPr>
                <w:sz w:val="20"/>
              </w:rPr>
              <w:t>PR-AUC 0,9893 avec profilage, 0,7533 sans historique, 0,2726 pour les règles ; écarts de −0,236 et −0,717, significatifs</w:t>
            </w:r>
          </w:p>
        </w:tc>
        <w:tc>
          <w:tcPr>
            <w:tcW w:type="dxa" w:w="1505"/>
          </w:tcPr>
          <w:p>
            <w:pPr>
              <w:spacing w:after="20" w:before="20" w:line="240" w:lineRule="auto"/>
              <w:jc w:val="left"/>
            </w:pPr>
            <w:r/>
            <w:r>
              <w:rPr>
                <w:b/>
                <w:sz w:val="20"/>
              </w:rPr>
              <w:t>Confirmée</w:t>
            </w:r>
          </w:p>
        </w:tc>
      </w:tr>
      <w:tr>
        <w:trPr>
          <w:cantSplit w:val="true"/>
        </w:trPr>
        <w:tc>
          <w:tcPr>
            <w:tcW w:type="dxa" w:w="2723"/>
          </w:tcPr>
          <w:p>
            <w:pPr>
              <w:spacing w:after="20" w:before="20" w:line="240" w:lineRule="auto"/>
              <w:jc w:val="left"/>
            </w:pPr>
            <w:r/>
            <w:r>
              <w:rPr>
                <w:sz w:val="20"/>
              </w:rPr>
              <w:t>H2 — les variables comportementales discriminent</w:t>
            </w:r>
          </w:p>
        </w:tc>
        <w:tc>
          <w:tcPr>
            <w:tcW w:type="dxa" w:w="5161"/>
          </w:tcPr>
          <w:p>
            <w:pPr>
              <w:spacing w:after="20" w:before="20" w:line="240" w:lineRule="auto"/>
              <w:jc w:val="left"/>
            </w:pPr>
            <w:r/>
            <w:r>
              <w:rPr>
                <w:sz w:val="20"/>
              </w:rPr>
              <w:t>Le retrait des familles contextuelle, de montant et fréquentielle dégrade significativement le modèle ; la famille temporelle est redondante</w:t>
            </w:r>
          </w:p>
        </w:tc>
        <w:tc>
          <w:tcPr>
            <w:tcW w:type="dxa" w:w="1505"/>
          </w:tcPr>
          <w:p>
            <w:pPr>
              <w:spacing w:after="20" w:before="20" w:line="240" w:lineRule="auto"/>
              <w:jc w:val="left"/>
            </w:pPr>
            <w:r/>
            <w:r>
              <w:rPr>
                <w:b/>
                <w:sz w:val="20"/>
              </w:rPr>
              <w:t>Confirmée</w:t>
            </w:r>
          </w:p>
        </w:tc>
      </w:tr>
      <w:tr>
        <w:trPr>
          <w:cantSplit w:val="true"/>
        </w:trPr>
        <w:tc>
          <w:tcPr>
            <w:tcW w:type="dxa" w:w="2723"/>
          </w:tcPr>
          <w:p>
            <w:pPr>
              <w:spacing w:after="20" w:before="20" w:line="240" w:lineRule="auto"/>
              <w:jc w:val="left"/>
            </w:pPr>
            <w:r/>
            <w:r>
              <w:rPr>
                <w:sz w:val="20"/>
              </w:rPr>
              <w:t>H3 — la famille de modèles compte</w:t>
            </w:r>
          </w:p>
        </w:tc>
        <w:tc>
          <w:tcPr>
            <w:tcW w:type="dxa" w:w="5161"/>
          </w:tcPr>
          <w:p>
            <w:pPr>
              <w:spacing w:after="20" w:before="20" w:line="240" w:lineRule="auto"/>
              <w:jc w:val="left"/>
            </w:pPr>
            <w:r/>
            <w:r>
              <w:rPr>
                <w:sz w:val="20"/>
              </w:rPr>
              <w:t>Tous les modèles diffèrent significativement de XGBoost (de −0,010 à −0,717)</w:t>
            </w:r>
          </w:p>
        </w:tc>
        <w:tc>
          <w:tcPr>
            <w:tcW w:type="dxa" w:w="1505"/>
          </w:tcPr>
          <w:p>
            <w:pPr>
              <w:spacing w:after="20" w:before="20" w:line="240" w:lineRule="auto"/>
              <w:jc w:val="left"/>
            </w:pPr>
            <w:r/>
            <w:r>
              <w:rPr>
                <w:b/>
                <w:sz w:val="20"/>
              </w:rPr>
              <w:t>Confirmée</w:t>
            </w:r>
          </w:p>
        </w:tc>
      </w:tr>
      <w:tr>
        <w:trPr>
          <w:cantSplit w:val="true"/>
        </w:trPr>
        <w:tc>
          <w:tcPr>
            <w:tcW w:type="dxa" w:w="2723"/>
          </w:tcPr>
          <w:p>
            <w:pPr>
              <w:spacing w:after="20" w:before="20" w:line="240" w:lineRule="auto"/>
              <w:jc w:val="left"/>
            </w:pPr>
            <w:r/>
            <w:r>
              <w:rPr>
                <w:sz w:val="20"/>
              </w:rPr>
              <w:t>H4 — la logique se transpose à la carte</w:t>
            </w:r>
          </w:p>
        </w:tc>
        <w:tc>
          <w:tcPr>
            <w:tcW w:type="dxa" w:w="5161"/>
          </w:tcPr>
          <w:p>
            <w:pPr>
              <w:spacing w:after="20" w:before="20" w:line="240" w:lineRule="auto"/>
              <w:jc w:val="left"/>
            </w:pPr>
            <w:r/>
            <w:r>
              <w:rPr>
                <w:sz w:val="20"/>
              </w:rPr>
              <w:t>PR-AUC 0,9849 sur Visa sans aucune donnée Visa ; rapport de transfert 0,985</w:t>
            </w:r>
          </w:p>
        </w:tc>
        <w:tc>
          <w:tcPr>
            <w:tcW w:type="dxa" w:w="1505"/>
          </w:tcPr>
          <w:p>
            <w:pPr>
              <w:spacing w:after="20" w:before="20" w:line="240" w:lineRule="auto"/>
              <w:jc w:val="left"/>
            </w:pPr>
            <w:r/>
            <w:r>
              <w:rPr>
                <w:b/>
                <w:sz w:val="20"/>
              </w:rPr>
              <w:t>Confirmée</w:t>
            </w:r>
            <w:r>
              <w:rPr>
                <w:sz w:val="20"/>
              </w:rPr>
              <w:t xml:space="preserve"> (réserve : effet plafond)</w:t>
            </w:r>
          </w:p>
        </w:tc>
      </w:tr>
      <w:tr>
        <w:trPr>
          <w:cantSplit w:val="true"/>
        </w:trPr>
        <w:tc>
          <w:tcPr>
            <w:tcW w:type="dxa" w:w="2723"/>
          </w:tcPr>
          <w:p>
            <w:pPr>
              <w:spacing w:after="20" w:before="20" w:line="240" w:lineRule="auto"/>
              <w:jc w:val="left"/>
            </w:pPr>
            <w:r/>
            <w:r>
              <w:rPr>
                <w:sz w:val="20"/>
              </w:rPr>
              <w:t>H5 — mettre à jour le modèle</w:t>
            </w:r>
          </w:p>
        </w:tc>
        <w:tc>
          <w:tcPr>
            <w:tcW w:type="dxa" w:w="5161"/>
          </w:tcPr>
          <w:p>
            <w:pPr>
              <w:spacing w:after="20" w:before="20" w:line="240" w:lineRule="auto"/>
              <w:jc w:val="left"/>
            </w:pPr>
            <w:r/>
            <w:r>
              <w:rPr>
                <w:sz w:val="20"/>
              </w:rPr>
              <w:t>Écart cumulatif − figé de +0,0299 en 2025, qui se creuse de +0,0105 par an</w:t>
            </w:r>
          </w:p>
        </w:tc>
        <w:tc>
          <w:tcPr>
            <w:tcW w:type="dxa" w:w="1505"/>
          </w:tcPr>
          <w:p>
            <w:pPr>
              <w:spacing w:after="20" w:before="20" w:line="240" w:lineRule="auto"/>
              <w:jc w:val="left"/>
            </w:pPr>
            <w:r/>
            <w:r>
              <w:rPr>
                <w:b/>
                <w:sz w:val="20"/>
              </w:rPr>
              <w:t>Confirmée</w:t>
            </w:r>
            <w:r>
              <w:rPr>
                <w:sz w:val="20"/>
              </w:rPr>
              <w:t xml:space="preserve"> (réserve : circularité)</w:t>
            </w:r>
          </w:p>
        </w:tc>
      </w:tr>
    </w:tbl>
    <w:p>
      <w:pPr>
        <w:spacing w:after="120"/>
      </w:pPr>
    </w:p>
    <w:p>
      <w:pPr>
        <w:spacing w:before="0" w:after="120" w:line="360" w:lineRule="auto"/>
        <w:jc w:val="both"/>
      </w:pPr>
      <w:r>
        <w:rPr>
          <w:b/>
          <w:sz w:val="24"/>
        </w:rPr>
        <w:t>H1.</w:t>
      </w:r>
      <w:r>
        <w:rPr>
          <w:sz w:val="24"/>
        </w:rPr>
        <w:t xml:space="preserve"> Le tableau III.17 compare le modèle de profilage à deux références statiques : un XGBoost privé de toute variable d'historique, et les règles métier. Les écarts sont considérables : sans historique du client, la PR-AUC tombe à 0,753. La variance selon la graine est faible (0,9895 ± 0,0004 pour le profilage). L'ingénierie sociale est la plus sensible : son rappel passe de 0,856 avec profilage à 0,137 sans historique.</w:t>
      </w:r>
    </w:p>
    <w:p>
      <w:pPr>
        <w:pStyle w:val="Légendetableau"/>
        <w:keepNext/>
        <w:spacing w:before="200" w:after="80"/>
        <w:jc w:val="center"/>
      </w:pPr>
      <w:r>
        <w:rPr>
          <w:b/>
          <w:sz w:val="20"/>
        </w:rPr>
        <w:t>Tableau III.17 — H1 : profilage contre approches statiques.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2153"/>
        <w:gridCol w:w="3106"/>
        <w:gridCol w:w="2859"/>
        <w:gridCol w:w="1270"/>
      </w:tblGrid>
      <w:tr>
        <w:trPr>
          <w:tblHeader w:val="true"/>
        </w:trPr>
        <w:tc>
          <w:tcPr>
            <w:tcW w:type="dxa" w:w="2153"/>
            <w:shd w:val="clear" w:color="auto" w:fill="D9E2F3"/>
          </w:tcPr>
          <w:p>
            <w:pPr>
              <w:spacing w:after="20" w:before="20" w:line="240" w:lineRule="auto"/>
              <w:jc w:val="left"/>
            </w:pPr>
            <w:r/>
            <w:r>
              <w:rPr>
                <w:b/>
                <w:sz w:val="18"/>
              </w:rPr>
              <w:t>Modèle</w:t>
            </w:r>
          </w:p>
        </w:tc>
        <w:tc>
          <w:tcPr>
            <w:tcW w:type="dxa" w:w="3106"/>
            <w:shd w:val="clear" w:color="auto" w:fill="D9E2F3"/>
          </w:tcPr>
          <w:p>
            <w:pPr>
              <w:spacing w:after="20" w:before="20" w:line="240" w:lineRule="auto"/>
              <w:jc w:val="left"/>
            </w:pPr>
            <w:r/>
            <w:r>
              <w:rPr>
                <w:b/>
                <w:sz w:val="18"/>
              </w:rPr>
              <w:t>PR-AUC [IC 95 %]</w:t>
            </w:r>
          </w:p>
        </w:tc>
        <w:tc>
          <w:tcPr>
            <w:tcW w:type="dxa" w:w="2859"/>
            <w:shd w:val="clear" w:color="auto" w:fill="D9E2F3"/>
          </w:tcPr>
          <w:p>
            <w:pPr>
              <w:spacing w:after="20" w:before="20" w:line="240" w:lineRule="auto"/>
              <w:jc w:val="left"/>
            </w:pPr>
            <w:r/>
            <w:r>
              <w:rPr>
                <w:b/>
                <w:sz w:val="18"/>
              </w:rPr>
              <w:t>Écart vs profilage</w:t>
            </w:r>
          </w:p>
        </w:tc>
        <w:tc>
          <w:tcPr>
            <w:tcW w:type="dxa" w:w="1270"/>
            <w:shd w:val="clear" w:color="auto" w:fill="D9E2F3"/>
          </w:tcPr>
          <w:p>
            <w:pPr>
              <w:spacing w:after="20" w:before="20" w:line="240" w:lineRule="auto"/>
              <w:jc w:val="left"/>
            </w:pPr>
            <w:r/>
            <w:r>
              <w:rPr>
                <w:b/>
                <w:sz w:val="18"/>
              </w:rPr>
              <w:t>Rappel à 1 % de FP</w:t>
            </w:r>
          </w:p>
        </w:tc>
      </w:tr>
      <w:tr>
        <w:trPr>
          <w:cantSplit w:val="true"/>
        </w:trPr>
        <w:tc>
          <w:tcPr>
            <w:tcW w:type="dxa" w:w="2153"/>
          </w:tcPr>
          <w:p>
            <w:pPr>
              <w:spacing w:after="20" w:before="20" w:line="240" w:lineRule="auto"/>
              <w:jc w:val="left"/>
            </w:pPr>
            <w:r/>
            <w:r>
              <w:rPr>
                <w:sz w:val="18"/>
              </w:rPr>
              <w:t>Profilage</w:t>
            </w:r>
          </w:p>
        </w:tc>
        <w:tc>
          <w:tcPr>
            <w:tcW w:type="dxa" w:w="3106"/>
          </w:tcPr>
          <w:p>
            <w:pPr>
              <w:spacing w:after="20" w:before="20" w:line="240" w:lineRule="auto"/>
              <w:jc w:val="left"/>
            </w:pPr>
            <w:r/>
            <w:r>
              <w:rPr>
                <w:sz w:val="18"/>
              </w:rPr>
              <w:t>0,9893 [0,9857 ; 0,9917]</w:t>
            </w:r>
          </w:p>
        </w:tc>
        <w:tc>
          <w:tcPr>
            <w:tcW w:type="dxa" w:w="2859"/>
          </w:tcPr>
          <w:p>
            <w:pPr>
              <w:spacing w:after="20" w:before="20" w:line="240" w:lineRule="auto"/>
              <w:jc w:val="left"/>
            </w:pPr>
            <w:r/>
            <w:r>
              <w:rPr>
                <w:sz w:val="18"/>
              </w:rPr>
              <w:t>référence</w:t>
            </w:r>
          </w:p>
        </w:tc>
        <w:tc>
          <w:tcPr>
            <w:tcW w:type="dxa" w:w="1270"/>
          </w:tcPr>
          <w:p>
            <w:pPr>
              <w:spacing w:after="20" w:before="20" w:line="240" w:lineRule="auto"/>
              <w:jc w:val="left"/>
            </w:pPr>
            <w:r/>
            <w:r>
              <w:rPr>
                <w:sz w:val="18"/>
              </w:rPr>
              <w:t>0,9996</w:t>
            </w:r>
          </w:p>
        </w:tc>
      </w:tr>
      <w:tr>
        <w:trPr>
          <w:cantSplit w:val="true"/>
        </w:trPr>
        <w:tc>
          <w:tcPr>
            <w:tcW w:type="dxa" w:w="2153"/>
          </w:tcPr>
          <w:p>
            <w:pPr>
              <w:spacing w:after="20" w:before="20" w:line="240" w:lineRule="auto"/>
              <w:jc w:val="left"/>
            </w:pPr>
            <w:r/>
            <w:r>
              <w:rPr>
                <w:sz w:val="18"/>
              </w:rPr>
              <w:t>Statique appris (sans historique)</w:t>
            </w:r>
          </w:p>
        </w:tc>
        <w:tc>
          <w:tcPr>
            <w:tcW w:type="dxa" w:w="3106"/>
          </w:tcPr>
          <w:p>
            <w:pPr>
              <w:spacing w:after="20" w:before="20" w:line="240" w:lineRule="auto"/>
              <w:jc w:val="left"/>
            </w:pPr>
            <w:r/>
            <w:r>
              <w:rPr>
                <w:sz w:val="18"/>
              </w:rPr>
              <w:t>0,7533 [0,7027 ; 0,7897]</w:t>
            </w:r>
          </w:p>
        </w:tc>
        <w:tc>
          <w:tcPr>
            <w:tcW w:type="dxa" w:w="2859"/>
          </w:tcPr>
          <w:p>
            <w:pPr>
              <w:spacing w:after="20" w:before="20" w:line="240" w:lineRule="auto"/>
              <w:jc w:val="left"/>
            </w:pPr>
            <w:r/>
            <w:r>
              <w:rPr>
                <w:sz w:val="18"/>
              </w:rPr>
              <w:t>−0,2360 [−0,2831 ; −0,2014]</w:t>
            </w:r>
          </w:p>
        </w:tc>
        <w:tc>
          <w:tcPr>
            <w:tcW w:type="dxa" w:w="1270"/>
          </w:tcPr>
          <w:p>
            <w:pPr>
              <w:spacing w:after="20" w:before="20" w:line="240" w:lineRule="auto"/>
              <w:jc w:val="left"/>
            </w:pPr>
            <w:r/>
            <w:r>
              <w:rPr>
                <w:sz w:val="18"/>
              </w:rPr>
              <w:t>0,7505</w:t>
            </w:r>
          </w:p>
        </w:tc>
      </w:tr>
      <w:tr>
        <w:trPr>
          <w:cantSplit w:val="true"/>
        </w:trPr>
        <w:tc>
          <w:tcPr>
            <w:tcW w:type="dxa" w:w="2153"/>
          </w:tcPr>
          <w:p>
            <w:pPr>
              <w:spacing w:after="20" w:before="20" w:line="240" w:lineRule="auto"/>
              <w:jc w:val="left"/>
            </w:pPr>
            <w:r/>
            <w:r>
              <w:rPr>
                <w:sz w:val="18"/>
              </w:rPr>
              <w:t>Règles métier</w:t>
            </w:r>
          </w:p>
        </w:tc>
        <w:tc>
          <w:tcPr>
            <w:tcW w:type="dxa" w:w="3106"/>
          </w:tcPr>
          <w:p>
            <w:pPr>
              <w:spacing w:after="20" w:before="20" w:line="240" w:lineRule="auto"/>
              <w:jc w:val="left"/>
            </w:pPr>
            <w:r/>
            <w:r>
              <w:rPr>
                <w:sz w:val="18"/>
              </w:rPr>
              <w:t>0,2726 [0,2405 ; 0,3041]</w:t>
            </w:r>
          </w:p>
        </w:tc>
        <w:tc>
          <w:tcPr>
            <w:tcW w:type="dxa" w:w="2859"/>
          </w:tcPr>
          <w:p>
            <w:pPr>
              <w:spacing w:after="20" w:before="20" w:line="240" w:lineRule="auto"/>
              <w:jc w:val="left"/>
            </w:pPr>
            <w:r/>
            <w:r>
              <w:rPr>
                <w:sz w:val="18"/>
              </w:rPr>
              <w:t>−0,7167 [−0,7477 ; −0,6845]</w:t>
            </w:r>
          </w:p>
        </w:tc>
        <w:tc>
          <w:tcPr>
            <w:tcW w:type="dxa" w:w="1270"/>
          </w:tcPr>
          <w:p>
            <w:pPr>
              <w:spacing w:after="20" w:before="20" w:line="240" w:lineRule="auto"/>
              <w:jc w:val="left"/>
            </w:pPr>
            <w:r/>
            <w:r>
              <w:rPr>
                <w:sz w:val="18"/>
              </w:rPr>
              <w:t>0,2860</w:t>
            </w:r>
          </w:p>
        </w:tc>
      </w:tr>
    </w:tbl>
    <w:p>
      <w:pPr>
        <w:spacing w:after="120"/>
      </w:pPr>
    </w:p>
    <w:p>
      <w:pPr>
        <w:spacing w:before="0" w:after="120" w:line="360" w:lineRule="auto"/>
        <w:jc w:val="both"/>
      </w:pPr>
      <w:r>
        <w:rPr>
          <w:b/>
          <w:sz w:val="24"/>
        </w:rPr>
        <w:t>H2.</w:t>
      </w:r>
      <w:r>
        <w:rPr>
          <w:sz w:val="24"/>
        </w:rPr>
        <w:t xml:space="preserve"> Les familles contextuelles (appareil, localisation, contrepartie) sont les plus déterminantes : sans elles, la PR-AUC tombe de 0,989 à 0,843 (tableau III.18). Les variables de montant (−0,083) et fréquentielles (−0,035) comptent aussi. Les variables temporelles, seules, n'apportent presque rien (0,162 ajoutées au socle) et leur retrait est non significatif (+0,0009) : c'est de la </w:t>
      </w:r>
      <w:r>
        <w:rPr>
          <w:b/>
          <w:sz w:val="24"/>
        </w:rPr>
        <w:t>redondance</w:t>
      </w:r>
      <w:r>
        <w:rPr>
          <w:sz w:val="24"/>
        </w:rPr>
        <w:t>, comme l'analyse exploratoire l'avait laissé voir (</w:t>
      </w:r>
      <w:r>
        <w:rPr>
          <w:rFonts w:ascii="Courier New" w:hAnsi="Courier New"/>
          <w:b w:val="0"/>
          <w:sz w:val="20"/>
        </w:rPr>
        <w:t>is_night</w:t>
      </w:r>
      <w:r>
        <w:rPr>
          <w:sz w:val="24"/>
        </w:rPr>
        <w:t xml:space="preserve">, </w:t>
      </w:r>
      <w:r>
        <w:rPr>
          <w:rFonts w:ascii="Courier New" w:hAnsi="Courier New"/>
          <w:b w:val="0"/>
          <w:sz w:val="20"/>
        </w:rPr>
        <w:t>night_unusual</w:t>
      </w:r>
      <w:r>
        <w:rPr>
          <w:sz w:val="24"/>
        </w:rPr>
        <w:t>), les autres familles compensant.</w:t>
      </w:r>
    </w:p>
    <w:p>
      <w:pPr>
        <w:pStyle w:val="Légendetableau"/>
        <w:keepNext/>
        <w:spacing w:before="200" w:after="80"/>
        <w:jc w:val="center"/>
      </w:pPr>
      <w:r>
        <w:rPr>
          <w:b/>
          <w:sz w:val="20"/>
        </w:rPr>
        <w:t>Tableau III.18 — H2 : ablation et ajout par famille de variables.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2965"/>
        <w:gridCol w:w="1482"/>
        <w:gridCol w:w="3345"/>
        <w:gridCol w:w="1596"/>
      </w:tblGrid>
      <w:tr>
        <w:trPr>
          <w:tblHeader w:val="true"/>
        </w:trPr>
        <w:tc>
          <w:tcPr>
            <w:tcW w:type="dxa" w:w="2965"/>
            <w:shd w:val="clear" w:color="auto" w:fill="D9E2F3"/>
          </w:tcPr>
          <w:p>
            <w:pPr>
              <w:spacing w:after="20" w:before="20" w:line="240" w:lineRule="auto"/>
              <w:jc w:val="left"/>
            </w:pPr>
            <w:r/>
            <w:r>
              <w:rPr>
                <w:b/>
                <w:sz w:val="18"/>
              </w:rPr>
              <w:t>Famille</w:t>
            </w:r>
          </w:p>
        </w:tc>
        <w:tc>
          <w:tcPr>
            <w:tcW w:type="dxa" w:w="1482"/>
            <w:shd w:val="clear" w:color="auto" w:fill="D9E2F3"/>
          </w:tcPr>
          <w:p>
            <w:pPr>
              <w:spacing w:after="20" w:before="20" w:line="240" w:lineRule="auto"/>
              <w:jc w:val="left"/>
            </w:pPr>
            <w:r/>
            <w:r>
              <w:rPr>
                <w:b/>
                <w:sz w:val="18"/>
              </w:rPr>
              <w:t>PR-AUC sans la famille</w:t>
            </w:r>
          </w:p>
        </w:tc>
        <w:tc>
          <w:tcPr>
            <w:tcW w:type="dxa" w:w="3345"/>
            <w:shd w:val="clear" w:color="auto" w:fill="D9E2F3"/>
          </w:tcPr>
          <w:p>
            <w:pPr>
              <w:spacing w:after="20" w:before="20" w:line="240" w:lineRule="auto"/>
              <w:jc w:val="left"/>
            </w:pPr>
            <w:r/>
            <w:r>
              <w:rPr>
                <w:b/>
                <w:sz w:val="18"/>
              </w:rPr>
              <w:t>Écart vs complet</w:t>
            </w:r>
          </w:p>
        </w:tc>
        <w:tc>
          <w:tcPr>
            <w:tcW w:type="dxa" w:w="1596"/>
            <w:shd w:val="clear" w:color="auto" w:fill="D9E2F3"/>
          </w:tcPr>
          <w:p>
            <w:pPr>
              <w:spacing w:after="20" w:before="20" w:line="240" w:lineRule="auto"/>
              <w:jc w:val="left"/>
            </w:pPr>
            <w:r/>
            <w:r>
              <w:rPr>
                <w:b/>
                <w:sz w:val="18"/>
              </w:rPr>
              <w:t>PR-AUC socle + famille</w:t>
            </w:r>
          </w:p>
        </w:tc>
      </w:tr>
      <w:tr>
        <w:trPr>
          <w:cantSplit w:val="true"/>
        </w:trPr>
        <w:tc>
          <w:tcPr>
            <w:tcW w:type="dxa" w:w="2965"/>
          </w:tcPr>
          <w:p>
            <w:pPr>
              <w:spacing w:after="20" w:before="20" w:line="240" w:lineRule="auto"/>
              <w:jc w:val="left"/>
            </w:pPr>
            <w:r/>
            <w:r>
              <w:rPr>
                <w:sz w:val="18"/>
              </w:rPr>
              <w:t>Contextuelles</w:t>
            </w:r>
          </w:p>
        </w:tc>
        <w:tc>
          <w:tcPr>
            <w:tcW w:type="dxa" w:w="1482"/>
          </w:tcPr>
          <w:p>
            <w:pPr>
              <w:spacing w:after="20" w:before="20" w:line="240" w:lineRule="auto"/>
              <w:jc w:val="left"/>
            </w:pPr>
            <w:r/>
            <w:r>
              <w:rPr>
                <w:sz w:val="18"/>
              </w:rPr>
              <w:t>0,8426</w:t>
            </w:r>
          </w:p>
        </w:tc>
        <w:tc>
          <w:tcPr>
            <w:tcW w:type="dxa" w:w="3345"/>
          </w:tcPr>
          <w:p>
            <w:pPr>
              <w:spacing w:after="20" w:before="20" w:line="240" w:lineRule="auto"/>
              <w:jc w:val="left"/>
            </w:pPr>
            <w:r/>
            <w:r>
              <w:rPr>
                <w:sz w:val="18"/>
              </w:rPr>
              <w:t>−0,1467 (significatif)</w:t>
            </w:r>
          </w:p>
        </w:tc>
        <w:tc>
          <w:tcPr>
            <w:tcW w:type="dxa" w:w="1596"/>
          </w:tcPr>
          <w:p>
            <w:pPr>
              <w:spacing w:after="20" w:before="20" w:line="240" w:lineRule="auto"/>
              <w:jc w:val="left"/>
            </w:pPr>
            <w:r/>
            <w:r>
              <w:rPr>
                <w:sz w:val="18"/>
              </w:rPr>
              <w:t>0,8174</w:t>
            </w:r>
          </w:p>
        </w:tc>
      </w:tr>
      <w:tr>
        <w:trPr>
          <w:cantSplit w:val="true"/>
        </w:trPr>
        <w:tc>
          <w:tcPr>
            <w:tcW w:type="dxa" w:w="2965"/>
          </w:tcPr>
          <w:p>
            <w:pPr>
              <w:spacing w:after="20" w:before="20" w:line="240" w:lineRule="auto"/>
              <w:jc w:val="left"/>
            </w:pPr>
            <w:r/>
            <w:r>
              <w:rPr>
                <w:sz w:val="18"/>
              </w:rPr>
              <w:t>Montants</w:t>
            </w:r>
          </w:p>
        </w:tc>
        <w:tc>
          <w:tcPr>
            <w:tcW w:type="dxa" w:w="1482"/>
          </w:tcPr>
          <w:p>
            <w:pPr>
              <w:spacing w:after="20" w:before="20" w:line="240" w:lineRule="auto"/>
              <w:jc w:val="left"/>
            </w:pPr>
            <w:r/>
            <w:r>
              <w:rPr>
                <w:sz w:val="18"/>
              </w:rPr>
              <w:t>0,9066</w:t>
            </w:r>
          </w:p>
        </w:tc>
        <w:tc>
          <w:tcPr>
            <w:tcW w:type="dxa" w:w="3345"/>
          </w:tcPr>
          <w:p>
            <w:pPr>
              <w:spacing w:after="20" w:before="20" w:line="240" w:lineRule="auto"/>
              <w:jc w:val="left"/>
            </w:pPr>
            <w:r/>
            <w:r>
              <w:rPr>
                <w:sz w:val="18"/>
              </w:rPr>
              <w:t>−0,0827 (significatif)</w:t>
            </w:r>
          </w:p>
        </w:tc>
        <w:tc>
          <w:tcPr>
            <w:tcW w:type="dxa" w:w="1596"/>
          </w:tcPr>
          <w:p>
            <w:pPr>
              <w:spacing w:after="20" w:before="20" w:line="240" w:lineRule="auto"/>
              <w:jc w:val="left"/>
            </w:pPr>
            <w:r/>
            <w:r>
              <w:rPr>
                <w:sz w:val="18"/>
              </w:rPr>
              <w:t>0,6898</w:t>
            </w:r>
          </w:p>
        </w:tc>
      </w:tr>
      <w:tr>
        <w:trPr>
          <w:cantSplit w:val="true"/>
        </w:trPr>
        <w:tc>
          <w:tcPr>
            <w:tcW w:type="dxa" w:w="2965"/>
          </w:tcPr>
          <w:p>
            <w:pPr>
              <w:spacing w:after="20" w:before="20" w:line="240" w:lineRule="auto"/>
              <w:jc w:val="left"/>
            </w:pPr>
            <w:r/>
            <w:r>
              <w:rPr>
                <w:sz w:val="18"/>
              </w:rPr>
              <w:t>Fréquentielles</w:t>
            </w:r>
          </w:p>
        </w:tc>
        <w:tc>
          <w:tcPr>
            <w:tcW w:type="dxa" w:w="1482"/>
          </w:tcPr>
          <w:p>
            <w:pPr>
              <w:spacing w:after="20" w:before="20" w:line="240" w:lineRule="auto"/>
              <w:jc w:val="left"/>
            </w:pPr>
            <w:r/>
            <w:r>
              <w:rPr>
                <w:sz w:val="18"/>
              </w:rPr>
              <w:t>0,9539</w:t>
            </w:r>
          </w:p>
        </w:tc>
        <w:tc>
          <w:tcPr>
            <w:tcW w:type="dxa" w:w="3345"/>
          </w:tcPr>
          <w:p>
            <w:pPr>
              <w:spacing w:after="20" w:before="20" w:line="240" w:lineRule="auto"/>
              <w:jc w:val="left"/>
            </w:pPr>
            <w:r/>
            <w:r>
              <w:rPr>
                <w:sz w:val="18"/>
              </w:rPr>
              <w:t>−0,0354 (significatif)</w:t>
            </w:r>
          </w:p>
        </w:tc>
        <w:tc>
          <w:tcPr>
            <w:tcW w:type="dxa" w:w="1596"/>
          </w:tcPr>
          <w:p>
            <w:pPr>
              <w:spacing w:after="20" w:before="20" w:line="240" w:lineRule="auto"/>
              <w:jc w:val="left"/>
            </w:pPr>
            <w:r/>
            <w:r>
              <w:rPr>
                <w:sz w:val="18"/>
              </w:rPr>
              <w:t>0,4646</w:t>
            </w:r>
          </w:p>
        </w:tc>
      </w:tr>
      <w:tr>
        <w:trPr>
          <w:cantSplit w:val="true"/>
        </w:trPr>
        <w:tc>
          <w:tcPr>
            <w:tcW w:type="dxa" w:w="2965"/>
          </w:tcPr>
          <w:p>
            <w:pPr>
              <w:spacing w:after="20" w:before="20" w:line="240" w:lineRule="auto"/>
              <w:jc w:val="left"/>
            </w:pPr>
            <w:r/>
            <w:r>
              <w:rPr>
                <w:sz w:val="18"/>
              </w:rPr>
              <w:t>Temporelles</w:t>
            </w:r>
          </w:p>
        </w:tc>
        <w:tc>
          <w:tcPr>
            <w:tcW w:type="dxa" w:w="1482"/>
          </w:tcPr>
          <w:p>
            <w:pPr>
              <w:spacing w:after="20" w:before="20" w:line="240" w:lineRule="auto"/>
              <w:jc w:val="left"/>
            </w:pPr>
            <w:r/>
            <w:r>
              <w:rPr>
                <w:sz w:val="18"/>
              </w:rPr>
              <w:t>0,9902</w:t>
            </w:r>
          </w:p>
        </w:tc>
        <w:tc>
          <w:tcPr>
            <w:tcW w:type="dxa" w:w="3345"/>
          </w:tcPr>
          <w:p>
            <w:pPr>
              <w:spacing w:after="20" w:before="20" w:line="240" w:lineRule="auto"/>
              <w:jc w:val="left"/>
            </w:pPr>
            <w:r/>
            <w:r>
              <w:rPr>
                <w:sz w:val="18"/>
              </w:rPr>
              <w:t>+0,0009 (non significatif)</w:t>
            </w:r>
          </w:p>
        </w:tc>
        <w:tc>
          <w:tcPr>
            <w:tcW w:type="dxa" w:w="1596"/>
          </w:tcPr>
          <w:p>
            <w:pPr>
              <w:spacing w:after="20" w:before="20" w:line="240" w:lineRule="auto"/>
              <w:jc w:val="left"/>
            </w:pPr>
            <w:r/>
            <w:r>
              <w:rPr>
                <w:sz w:val="18"/>
              </w:rPr>
              <w:t>0,1623</w:t>
            </w:r>
          </w:p>
        </w:tc>
      </w:tr>
      <w:tr>
        <w:trPr>
          <w:cantSplit w:val="true"/>
        </w:trPr>
        <w:tc>
          <w:tcPr>
            <w:tcW w:type="dxa" w:w="2965"/>
          </w:tcPr>
          <w:p>
            <w:pPr>
              <w:spacing w:after="20" w:before="20" w:line="240" w:lineRule="auto"/>
              <w:jc w:val="left"/>
            </w:pPr>
            <w:r/>
            <w:r>
              <w:rPr>
                <w:sz w:val="18"/>
              </w:rPr>
              <w:t>Socle seul</w:t>
            </w:r>
          </w:p>
        </w:tc>
        <w:tc>
          <w:tcPr>
            <w:tcW w:type="dxa" w:w="1482"/>
          </w:tcPr>
          <w:p>
            <w:pPr>
              <w:spacing w:after="20" w:before="20" w:line="240" w:lineRule="auto"/>
              <w:jc w:val="left"/>
            </w:pPr>
            <w:r/>
            <w:r>
              <w:rPr>
                <w:sz w:val="18"/>
              </w:rPr>
              <w:t>—</w:t>
            </w:r>
          </w:p>
        </w:tc>
        <w:tc>
          <w:tcPr>
            <w:tcW w:type="dxa" w:w="3345"/>
          </w:tcPr>
          <w:p>
            <w:pPr>
              <w:spacing w:after="20" w:before="20" w:line="240" w:lineRule="auto"/>
              <w:jc w:val="left"/>
            </w:pPr>
            <w:r/>
            <w:r>
              <w:rPr>
                <w:sz w:val="18"/>
              </w:rPr>
              <w:t>—</w:t>
            </w:r>
          </w:p>
        </w:tc>
        <w:tc>
          <w:tcPr>
            <w:tcW w:type="dxa" w:w="1596"/>
          </w:tcPr>
          <w:p>
            <w:pPr>
              <w:spacing w:after="20" w:before="20" w:line="240" w:lineRule="auto"/>
              <w:jc w:val="left"/>
            </w:pPr>
            <w:r/>
            <w:r>
              <w:rPr>
                <w:sz w:val="18"/>
              </w:rPr>
              <w:t>0,0561</w:t>
            </w:r>
          </w:p>
        </w:tc>
      </w:tr>
    </w:tbl>
    <w:p>
      <w:pPr>
        <w:spacing w:after="120"/>
      </w:pPr>
    </w:p>
    <w:p>
      <w:pPr>
        <w:spacing w:before="0" w:after="120" w:line="360" w:lineRule="auto"/>
        <w:jc w:val="both"/>
      </w:pPr>
      <w:r>
        <w:rPr>
          <w:b/>
          <w:sz w:val="24"/>
        </w:rPr>
        <w:t>H4.</w:t>
      </w:r>
      <w:r>
        <w:rPr>
          <w:sz w:val="24"/>
        </w:rPr>
        <w:t xml:space="preserve"> Entraîné sur le seul Mobile Money, le modèle atteint une PR-AUC de 0,9849 sur la carte Visa (tableau III.19), soit 35,5 fois le hasard. Le </w:t>
      </w:r>
      <w:r>
        <w:rPr>
          <w:b/>
          <w:sz w:val="24"/>
        </w:rPr>
        <w:t>classement</w:t>
      </w:r>
      <w:r>
        <w:rPr>
          <w:sz w:val="24"/>
        </w:rPr>
        <w:t xml:space="preserve"> des opérations se transpose donc très bien ; le </w:t>
      </w:r>
      <w:r>
        <w:rPr>
          <w:b/>
          <w:sz w:val="24"/>
        </w:rPr>
        <w:t>seuil</w:t>
      </w:r>
      <w:r>
        <w:rPr>
          <w:sz w:val="24"/>
        </w:rPr>
        <w:t xml:space="preserve"> moins bien (F1 de 0,929 avec le seuil Mobile Money, 0,950 une fois recalibré sur Visa). Avec 5 % ou 20 % de données Visa, l'écart au modèle mixte n'est plus significatif. Dans le sens inverse, un modèle entraîné sur Visa seule s'effondre sur le Mobile Money (PR-AUC 0,555). La PR-AUC Visa du modèle mixte est proche de 1 : la carte simulée est très séparable (la seule variable d'adresse IP étrangère a une AUC de 0,97), ce qui peut surestimer la transposabilité.</w:t>
      </w:r>
    </w:p>
    <w:p>
      <w:pPr>
        <w:pStyle w:val="Légendetableau"/>
        <w:keepNext/>
        <w:spacing w:before="200" w:after="80"/>
        <w:jc w:val="center"/>
      </w:pPr>
      <w:r>
        <w:rPr>
          <w:b/>
          <w:sz w:val="20"/>
        </w:rPr>
        <w:t>Tableau III.19 — H4 : transposition du Mobile Money vers la carte Visa (294 fraudes Visa).</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2173"/>
        <w:gridCol w:w="2548"/>
        <w:gridCol w:w="2667"/>
        <w:gridCol w:w="1047"/>
        <w:gridCol w:w="954"/>
      </w:tblGrid>
      <w:tr>
        <w:trPr>
          <w:tblHeader w:val="true"/>
        </w:trPr>
        <w:tc>
          <w:tcPr>
            <w:tcW w:type="dxa" w:w="2173"/>
            <w:shd w:val="clear" w:color="auto" w:fill="D9E2F3"/>
          </w:tcPr>
          <w:p>
            <w:pPr>
              <w:spacing w:after="20" w:before="20" w:line="240" w:lineRule="auto"/>
              <w:jc w:val="left"/>
            </w:pPr>
            <w:r/>
            <w:r>
              <w:rPr>
                <w:b/>
                <w:sz w:val="18"/>
              </w:rPr>
              <w:t>Entraînement</w:t>
            </w:r>
          </w:p>
        </w:tc>
        <w:tc>
          <w:tcPr>
            <w:tcW w:type="dxa" w:w="2548"/>
            <w:shd w:val="clear" w:color="auto" w:fill="D9E2F3"/>
          </w:tcPr>
          <w:p>
            <w:pPr>
              <w:spacing w:after="20" w:before="20" w:line="240" w:lineRule="auto"/>
              <w:jc w:val="left"/>
            </w:pPr>
            <w:r/>
            <w:r>
              <w:rPr>
                <w:b/>
                <w:sz w:val="18"/>
              </w:rPr>
              <w:t>PR-AUC Visa [IC 95 %]</w:t>
            </w:r>
          </w:p>
        </w:tc>
        <w:tc>
          <w:tcPr>
            <w:tcW w:type="dxa" w:w="2667"/>
            <w:shd w:val="clear" w:color="auto" w:fill="D9E2F3"/>
          </w:tcPr>
          <w:p>
            <w:pPr>
              <w:spacing w:after="20" w:before="20" w:line="240" w:lineRule="auto"/>
              <w:jc w:val="left"/>
            </w:pPr>
            <w:r/>
            <w:r>
              <w:rPr>
                <w:b/>
                <w:sz w:val="18"/>
              </w:rPr>
              <w:t>Écart vs mixte</w:t>
            </w:r>
          </w:p>
        </w:tc>
        <w:tc>
          <w:tcPr>
            <w:tcW w:type="dxa" w:w="1047"/>
            <w:shd w:val="clear" w:color="auto" w:fill="D9E2F3"/>
          </w:tcPr>
          <w:p>
            <w:pPr>
              <w:spacing w:after="20" w:before="20" w:line="240" w:lineRule="auto"/>
              <w:jc w:val="left"/>
            </w:pPr>
            <w:r/>
            <w:r>
              <w:rPr>
                <w:b/>
                <w:sz w:val="18"/>
              </w:rPr>
              <w:t>F1 (seuil Mobile Money)</w:t>
            </w:r>
          </w:p>
        </w:tc>
        <w:tc>
          <w:tcPr>
            <w:tcW w:type="dxa" w:w="954"/>
            <w:shd w:val="clear" w:color="auto" w:fill="D9E2F3"/>
          </w:tcPr>
          <w:p>
            <w:pPr>
              <w:spacing w:after="20" w:before="20" w:line="240" w:lineRule="auto"/>
              <w:jc w:val="left"/>
            </w:pPr>
            <w:r/>
            <w:r>
              <w:rPr>
                <w:b/>
                <w:sz w:val="18"/>
              </w:rPr>
              <w:t>F1 (seuil Visa)</w:t>
            </w:r>
          </w:p>
        </w:tc>
      </w:tr>
      <w:tr>
        <w:trPr>
          <w:cantSplit w:val="true"/>
        </w:trPr>
        <w:tc>
          <w:tcPr>
            <w:tcW w:type="dxa" w:w="2173"/>
          </w:tcPr>
          <w:p>
            <w:pPr>
              <w:spacing w:after="20" w:before="20" w:line="240" w:lineRule="auto"/>
              <w:jc w:val="left"/>
            </w:pPr>
            <w:r/>
            <w:r>
              <w:rPr>
                <w:sz w:val="18"/>
              </w:rPr>
              <w:t>Mobile Money seul</w:t>
            </w:r>
          </w:p>
        </w:tc>
        <w:tc>
          <w:tcPr>
            <w:tcW w:type="dxa" w:w="2548"/>
          </w:tcPr>
          <w:p>
            <w:pPr>
              <w:spacing w:after="20" w:before="20" w:line="240" w:lineRule="auto"/>
              <w:jc w:val="left"/>
            </w:pPr>
            <w:r/>
            <w:r>
              <w:rPr>
                <w:sz w:val="18"/>
              </w:rPr>
              <w:t>0,9849 [0,9734 ; 0,9959]</w:t>
            </w:r>
          </w:p>
        </w:tc>
        <w:tc>
          <w:tcPr>
            <w:tcW w:type="dxa" w:w="2667"/>
          </w:tcPr>
          <w:p>
            <w:pPr>
              <w:spacing w:after="20" w:before="20" w:line="240" w:lineRule="auto"/>
              <w:jc w:val="left"/>
            </w:pPr>
            <w:r/>
            <w:r>
              <w:rPr>
                <w:sz w:val="18"/>
              </w:rPr>
              <w:t>−0,0151 (significatif)</w:t>
            </w:r>
          </w:p>
        </w:tc>
        <w:tc>
          <w:tcPr>
            <w:tcW w:type="dxa" w:w="1047"/>
          </w:tcPr>
          <w:p>
            <w:pPr>
              <w:spacing w:after="20" w:before="20" w:line="240" w:lineRule="auto"/>
              <w:jc w:val="left"/>
            </w:pPr>
            <w:r/>
            <w:r>
              <w:rPr>
                <w:sz w:val="18"/>
              </w:rPr>
              <w:t>0,929</w:t>
            </w:r>
          </w:p>
        </w:tc>
        <w:tc>
          <w:tcPr>
            <w:tcW w:type="dxa" w:w="954"/>
          </w:tcPr>
          <w:p>
            <w:pPr>
              <w:spacing w:after="20" w:before="20" w:line="240" w:lineRule="auto"/>
              <w:jc w:val="left"/>
            </w:pPr>
            <w:r/>
            <w:r>
              <w:rPr>
                <w:sz w:val="18"/>
              </w:rPr>
              <w:t>0,950</w:t>
            </w:r>
          </w:p>
        </w:tc>
      </w:tr>
      <w:tr>
        <w:trPr>
          <w:cantSplit w:val="true"/>
        </w:trPr>
        <w:tc>
          <w:tcPr>
            <w:tcW w:type="dxa" w:w="2173"/>
          </w:tcPr>
          <w:p>
            <w:pPr>
              <w:spacing w:after="20" w:before="20" w:line="240" w:lineRule="auto"/>
              <w:jc w:val="left"/>
            </w:pPr>
            <w:r/>
            <w:r>
              <w:rPr>
                <w:sz w:val="18"/>
              </w:rPr>
              <w:t>Mobile Money + 5 % de Visa</w:t>
            </w:r>
          </w:p>
        </w:tc>
        <w:tc>
          <w:tcPr>
            <w:tcW w:type="dxa" w:w="2548"/>
          </w:tcPr>
          <w:p>
            <w:pPr>
              <w:spacing w:after="20" w:before="20" w:line="240" w:lineRule="auto"/>
              <w:jc w:val="left"/>
            </w:pPr>
            <w:r/>
            <w:r>
              <w:rPr>
                <w:sz w:val="18"/>
              </w:rPr>
              <w:t>0,9977 [0,9930 ; 1,0000]</w:t>
            </w:r>
          </w:p>
        </w:tc>
        <w:tc>
          <w:tcPr>
            <w:tcW w:type="dxa" w:w="2667"/>
          </w:tcPr>
          <w:p>
            <w:pPr>
              <w:spacing w:after="20" w:before="20" w:line="240" w:lineRule="auto"/>
              <w:jc w:val="left"/>
            </w:pPr>
            <w:r/>
            <w:r>
              <w:rPr>
                <w:sz w:val="18"/>
              </w:rPr>
              <w:t>−0,0023 (non significatif)</w:t>
            </w:r>
          </w:p>
        </w:tc>
        <w:tc>
          <w:tcPr>
            <w:tcW w:type="dxa" w:w="1047"/>
          </w:tcPr>
          <w:p>
            <w:pPr>
              <w:spacing w:after="20" w:before="20" w:line="240" w:lineRule="auto"/>
              <w:jc w:val="left"/>
            </w:pPr>
            <w:r/>
            <w:r>
              <w:rPr>
                <w:sz w:val="18"/>
              </w:rPr>
              <w:t>0,970</w:t>
            </w:r>
          </w:p>
        </w:tc>
        <w:tc>
          <w:tcPr>
            <w:tcW w:type="dxa" w:w="954"/>
          </w:tcPr>
          <w:p>
            <w:pPr>
              <w:spacing w:after="20" w:before="20" w:line="240" w:lineRule="auto"/>
              <w:jc w:val="left"/>
            </w:pPr>
            <w:r/>
            <w:r>
              <w:rPr>
                <w:sz w:val="18"/>
              </w:rPr>
              <w:t>0,993</w:t>
            </w:r>
          </w:p>
        </w:tc>
      </w:tr>
      <w:tr>
        <w:trPr>
          <w:cantSplit w:val="true"/>
        </w:trPr>
        <w:tc>
          <w:tcPr>
            <w:tcW w:type="dxa" w:w="2173"/>
          </w:tcPr>
          <w:p>
            <w:pPr>
              <w:spacing w:after="20" w:before="20" w:line="240" w:lineRule="auto"/>
              <w:jc w:val="left"/>
            </w:pPr>
            <w:r/>
            <w:r>
              <w:rPr>
                <w:sz w:val="18"/>
              </w:rPr>
              <w:t>Mobile Money + 20 % de Visa</w:t>
            </w:r>
          </w:p>
        </w:tc>
        <w:tc>
          <w:tcPr>
            <w:tcW w:type="dxa" w:w="2548"/>
          </w:tcPr>
          <w:p>
            <w:pPr>
              <w:spacing w:after="20" w:before="20" w:line="240" w:lineRule="auto"/>
              <w:jc w:val="left"/>
            </w:pPr>
            <w:r/>
            <w:r>
              <w:rPr>
                <w:sz w:val="18"/>
              </w:rPr>
              <w:t>0,9988 [0,9959 ; 1,0000]</w:t>
            </w:r>
          </w:p>
        </w:tc>
        <w:tc>
          <w:tcPr>
            <w:tcW w:type="dxa" w:w="2667"/>
          </w:tcPr>
          <w:p>
            <w:pPr>
              <w:spacing w:after="20" w:before="20" w:line="240" w:lineRule="auto"/>
              <w:jc w:val="left"/>
            </w:pPr>
            <w:r/>
            <w:r>
              <w:rPr>
                <w:sz w:val="18"/>
              </w:rPr>
              <w:t>−0,0012 (non significatif)</w:t>
            </w:r>
          </w:p>
        </w:tc>
        <w:tc>
          <w:tcPr>
            <w:tcW w:type="dxa" w:w="1047"/>
          </w:tcPr>
          <w:p>
            <w:pPr>
              <w:spacing w:after="20" w:before="20" w:line="240" w:lineRule="auto"/>
              <w:jc w:val="left"/>
            </w:pPr>
            <w:r/>
            <w:r>
              <w:rPr>
                <w:sz w:val="18"/>
              </w:rPr>
              <w:t>0,993</w:t>
            </w:r>
          </w:p>
        </w:tc>
        <w:tc>
          <w:tcPr>
            <w:tcW w:type="dxa" w:w="954"/>
          </w:tcPr>
          <w:p>
            <w:pPr>
              <w:spacing w:after="20" w:before="20" w:line="240" w:lineRule="auto"/>
              <w:jc w:val="left"/>
            </w:pPr>
            <w:r/>
            <w:r>
              <w:rPr>
                <w:sz w:val="18"/>
              </w:rPr>
              <w:t>0,993</w:t>
            </w:r>
          </w:p>
        </w:tc>
      </w:tr>
      <w:tr>
        <w:trPr>
          <w:cantSplit w:val="true"/>
        </w:trPr>
        <w:tc>
          <w:tcPr>
            <w:tcW w:type="dxa" w:w="2173"/>
          </w:tcPr>
          <w:p>
            <w:pPr>
              <w:spacing w:after="20" w:before="20" w:line="240" w:lineRule="auto"/>
              <w:jc w:val="left"/>
            </w:pPr>
            <w:r/>
            <w:r>
              <w:rPr>
                <w:sz w:val="18"/>
              </w:rPr>
              <w:t>Visa seule</w:t>
            </w:r>
          </w:p>
        </w:tc>
        <w:tc>
          <w:tcPr>
            <w:tcW w:type="dxa" w:w="2548"/>
          </w:tcPr>
          <w:p>
            <w:pPr>
              <w:spacing w:after="20" w:before="20" w:line="240" w:lineRule="auto"/>
              <w:jc w:val="left"/>
            </w:pPr>
            <w:r/>
            <w:r>
              <w:rPr>
                <w:sz w:val="18"/>
              </w:rPr>
              <w:t>1,0000</w:t>
            </w:r>
          </w:p>
        </w:tc>
        <w:tc>
          <w:tcPr>
            <w:tcW w:type="dxa" w:w="2667"/>
          </w:tcPr>
          <w:p>
            <w:pPr>
              <w:spacing w:after="20" w:before="20" w:line="240" w:lineRule="auto"/>
              <w:jc w:val="left"/>
            </w:pPr>
            <w:r/>
            <w:r>
              <w:rPr>
                <w:sz w:val="18"/>
              </w:rPr>
              <w:t>non significatif</w:t>
            </w:r>
          </w:p>
        </w:tc>
        <w:tc>
          <w:tcPr>
            <w:tcW w:type="dxa" w:w="1047"/>
          </w:tcPr>
          <w:p>
            <w:pPr>
              <w:spacing w:after="20" w:before="20" w:line="240" w:lineRule="auto"/>
              <w:jc w:val="left"/>
            </w:pPr>
            <w:r/>
            <w:r>
              <w:rPr>
                <w:sz w:val="18"/>
              </w:rPr>
              <w:t>0,998</w:t>
            </w:r>
          </w:p>
        </w:tc>
        <w:tc>
          <w:tcPr>
            <w:tcW w:type="dxa" w:w="954"/>
          </w:tcPr>
          <w:p>
            <w:pPr>
              <w:spacing w:after="20" w:before="20" w:line="240" w:lineRule="auto"/>
              <w:jc w:val="left"/>
            </w:pPr>
            <w:r/>
            <w:r>
              <w:rPr>
                <w:sz w:val="18"/>
              </w:rPr>
              <w:t>0,998</w:t>
            </w:r>
          </w:p>
        </w:tc>
      </w:tr>
      <w:tr>
        <w:trPr>
          <w:cantSplit w:val="true"/>
        </w:trPr>
        <w:tc>
          <w:tcPr>
            <w:tcW w:type="dxa" w:w="2173"/>
          </w:tcPr>
          <w:p>
            <w:pPr>
              <w:spacing w:after="20" w:before="20" w:line="240" w:lineRule="auto"/>
              <w:jc w:val="left"/>
            </w:pPr>
            <w:r/>
            <w:r>
              <w:rPr>
                <w:sz w:val="18"/>
              </w:rPr>
              <w:t>Mixte</w:t>
            </w:r>
          </w:p>
        </w:tc>
        <w:tc>
          <w:tcPr>
            <w:tcW w:type="dxa" w:w="2548"/>
          </w:tcPr>
          <w:p>
            <w:pPr>
              <w:spacing w:after="20" w:before="20" w:line="240" w:lineRule="auto"/>
              <w:jc w:val="left"/>
            </w:pPr>
            <w:r/>
            <w:r>
              <w:rPr>
                <w:sz w:val="18"/>
              </w:rPr>
              <w:t>1,0000</w:t>
            </w:r>
          </w:p>
        </w:tc>
        <w:tc>
          <w:tcPr>
            <w:tcW w:type="dxa" w:w="2667"/>
          </w:tcPr>
          <w:p>
            <w:pPr>
              <w:spacing w:after="20" w:before="20" w:line="240" w:lineRule="auto"/>
              <w:jc w:val="left"/>
            </w:pPr>
            <w:r/>
            <w:r>
              <w:rPr>
                <w:sz w:val="18"/>
              </w:rPr>
              <w:t>référence</w:t>
            </w:r>
          </w:p>
        </w:tc>
        <w:tc>
          <w:tcPr>
            <w:tcW w:type="dxa" w:w="1047"/>
          </w:tcPr>
          <w:p>
            <w:pPr>
              <w:spacing w:after="20" w:before="20" w:line="240" w:lineRule="auto"/>
              <w:jc w:val="left"/>
            </w:pPr>
            <w:r/>
            <w:r>
              <w:rPr>
                <w:sz w:val="18"/>
              </w:rPr>
              <w:t>0,997</w:t>
            </w:r>
          </w:p>
        </w:tc>
        <w:tc>
          <w:tcPr>
            <w:tcW w:type="dxa" w:w="954"/>
          </w:tcPr>
          <w:p>
            <w:pPr>
              <w:spacing w:after="20" w:before="20" w:line="240" w:lineRule="auto"/>
              <w:jc w:val="left"/>
            </w:pPr>
            <w:r/>
            <w:r>
              <w:rPr>
                <w:sz w:val="18"/>
              </w:rPr>
              <w:t>0,995</w:t>
            </w:r>
          </w:p>
        </w:tc>
      </w:tr>
      <w:tr>
        <w:trPr>
          <w:cantSplit w:val="true"/>
        </w:trPr>
        <w:tc>
          <w:tcPr>
            <w:tcW w:type="dxa" w:w="2173"/>
          </w:tcPr>
          <w:p>
            <w:pPr>
              <w:spacing w:after="20" w:before="20" w:line="240" w:lineRule="auto"/>
              <w:jc w:val="left"/>
            </w:pPr>
            <w:r/>
            <w:r>
              <w:rPr>
                <w:sz w:val="18"/>
              </w:rPr>
              <w:t>Règles métier</w:t>
            </w:r>
          </w:p>
        </w:tc>
        <w:tc>
          <w:tcPr>
            <w:tcW w:type="dxa" w:w="2548"/>
          </w:tcPr>
          <w:p>
            <w:pPr>
              <w:spacing w:after="20" w:before="20" w:line="240" w:lineRule="auto"/>
              <w:jc w:val="left"/>
            </w:pPr>
            <w:r/>
            <w:r>
              <w:rPr>
                <w:sz w:val="18"/>
              </w:rPr>
              <w:t>0,6343 [0,5634 ; 0,7107]</w:t>
            </w:r>
          </w:p>
        </w:tc>
        <w:tc>
          <w:tcPr>
            <w:tcW w:type="dxa" w:w="2667"/>
          </w:tcPr>
          <w:p>
            <w:pPr>
              <w:spacing w:after="20" w:before="20" w:line="240" w:lineRule="auto"/>
              <w:jc w:val="left"/>
            </w:pPr>
            <w:r/>
            <w:r>
              <w:rPr>
                <w:sz w:val="18"/>
              </w:rPr>
              <w:t>−0,3657 (significatif)</w:t>
            </w:r>
          </w:p>
        </w:tc>
        <w:tc>
          <w:tcPr>
            <w:tcW w:type="dxa" w:w="1047"/>
          </w:tcPr>
          <w:p>
            <w:pPr>
              <w:spacing w:after="20" w:before="20" w:line="240" w:lineRule="auto"/>
              <w:jc w:val="left"/>
            </w:pPr>
            <w:r/>
            <w:r>
              <w:rPr>
                <w:sz w:val="18"/>
              </w:rPr>
              <w:t>0,670</w:t>
            </w:r>
          </w:p>
        </w:tc>
        <w:tc>
          <w:tcPr>
            <w:tcW w:type="dxa" w:w="954"/>
          </w:tcPr>
          <w:p>
            <w:pPr>
              <w:spacing w:after="20" w:before="20" w:line="240" w:lineRule="auto"/>
              <w:jc w:val="left"/>
            </w:pPr>
            <w:r/>
            <w:r>
              <w:rPr>
                <w:sz w:val="18"/>
              </w:rPr>
              <w:t>0,670</w:t>
            </w:r>
          </w:p>
        </w:tc>
      </w:tr>
    </w:tbl>
    <w:p>
      <w:pPr>
        <w:spacing w:after="120"/>
      </w:pPr>
    </w:p>
    <w:p>
      <w:pPr>
        <w:spacing w:before="0" w:after="120" w:line="360" w:lineRule="auto"/>
        <w:jc w:val="both"/>
      </w:pPr>
      <w:r>
        <w:rPr>
          <w:b/>
          <w:sz w:val="24"/>
        </w:rPr>
        <w:t>H5.</w:t>
      </w:r>
      <w:r>
        <w:rPr>
          <w:sz w:val="24"/>
        </w:rPr>
        <w:t xml:space="preserve"> Un modèle figé sur 2019-2021 perd en qualité d'année en année, de 0,986 de PR-AUC en 2022 à 0,968 en 2025, alors qu'un modèle réentraîné la gagne (0,998 en 2025) : l'écart cumulatif − figé passe de 0 en 2022 à +0,030 en 2025 (tableau III.20). Le rappel au seuil du modèle figé chute de 0,887 à 0,834, et celui de l'ingénierie sociale à 0,425, alors que le modèle mis à jour la retrouve à 0,967. Une fenêtre glissante de trois ans fait aussi bien que le cumul : la </w:t>
      </w:r>
      <w:r>
        <w:rPr>
          <w:b/>
          <w:sz w:val="24"/>
        </w:rPr>
        <w:t>récence</w:t>
      </w:r>
      <w:r>
        <w:rPr>
          <w:sz w:val="24"/>
        </w:rPr>
        <w:t xml:space="preserve"> compte plus que le volume.</w:t>
      </w:r>
    </w:p>
    <w:p>
      <w:pPr>
        <w:pStyle w:val="Légendetableau"/>
        <w:keepNext/>
        <w:spacing w:before="200" w:after="80"/>
        <w:jc w:val="center"/>
      </w:pPr>
      <w:r>
        <w:rPr>
          <w:b/>
          <w:sz w:val="20"/>
        </w:rPr>
        <w:t>Tableau III.20 — H5 : modèle figé contre modèle mis à jour (PR-AUC).</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1078"/>
        <w:gridCol w:w="1510"/>
        <w:gridCol w:w="1294"/>
        <w:gridCol w:w="1941"/>
        <w:gridCol w:w="3565"/>
      </w:tblGrid>
      <w:tr>
        <w:trPr>
          <w:tblHeader w:val="true"/>
        </w:trPr>
        <w:tc>
          <w:tcPr>
            <w:tcW w:type="dxa" w:w="1078"/>
            <w:shd w:val="clear" w:color="auto" w:fill="D9E2F3"/>
          </w:tcPr>
          <w:p>
            <w:pPr>
              <w:spacing w:after="20" w:before="20" w:line="240" w:lineRule="auto"/>
              <w:jc w:val="left"/>
            </w:pPr>
            <w:r/>
            <w:r>
              <w:rPr>
                <w:b/>
                <w:sz w:val="18"/>
              </w:rPr>
              <w:t>Année</w:t>
            </w:r>
          </w:p>
        </w:tc>
        <w:tc>
          <w:tcPr>
            <w:tcW w:type="dxa" w:w="1510"/>
            <w:shd w:val="clear" w:color="auto" w:fill="D9E2F3"/>
          </w:tcPr>
          <w:p>
            <w:pPr>
              <w:spacing w:after="20" w:before="20" w:line="240" w:lineRule="auto"/>
              <w:jc w:val="left"/>
            </w:pPr>
            <w:r/>
            <w:r>
              <w:rPr>
                <w:b/>
                <w:sz w:val="18"/>
              </w:rPr>
              <w:t>Fraudes</w:t>
            </w:r>
          </w:p>
        </w:tc>
        <w:tc>
          <w:tcPr>
            <w:tcW w:type="dxa" w:w="1294"/>
            <w:shd w:val="clear" w:color="auto" w:fill="D9E2F3"/>
          </w:tcPr>
          <w:p>
            <w:pPr>
              <w:spacing w:after="20" w:before="20" w:line="240" w:lineRule="auto"/>
              <w:jc w:val="left"/>
            </w:pPr>
            <w:r/>
            <w:r>
              <w:rPr>
                <w:b/>
                <w:sz w:val="18"/>
              </w:rPr>
              <w:t>Figé</w:t>
            </w:r>
          </w:p>
        </w:tc>
        <w:tc>
          <w:tcPr>
            <w:tcW w:type="dxa" w:w="1941"/>
            <w:shd w:val="clear" w:color="auto" w:fill="D9E2F3"/>
          </w:tcPr>
          <w:p>
            <w:pPr>
              <w:spacing w:after="20" w:before="20" w:line="240" w:lineRule="auto"/>
              <w:jc w:val="left"/>
            </w:pPr>
            <w:r/>
            <w:r>
              <w:rPr>
                <w:b/>
                <w:sz w:val="18"/>
              </w:rPr>
              <w:t>Cumulatif</w:t>
            </w:r>
          </w:p>
        </w:tc>
        <w:tc>
          <w:tcPr>
            <w:tcW w:type="dxa" w:w="3565"/>
            <w:shd w:val="clear" w:color="auto" w:fill="D9E2F3"/>
          </w:tcPr>
          <w:p>
            <w:pPr>
              <w:spacing w:after="20" w:before="20" w:line="240" w:lineRule="auto"/>
              <w:jc w:val="left"/>
            </w:pPr>
            <w:r/>
            <w:r>
              <w:rPr>
                <w:b/>
                <w:sz w:val="18"/>
              </w:rPr>
              <w:t>Écart cumulatif − figé</w:t>
            </w:r>
          </w:p>
        </w:tc>
      </w:tr>
      <w:tr>
        <w:trPr>
          <w:cantSplit w:val="true"/>
        </w:trPr>
        <w:tc>
          <w:tcPr>
            <w:tcW w:type="dxa" w:w="1078"/>
          </w:tcPr>
          <w:p>
            <w:pPr>
              <w:spacing w:after="20" w:before="20" w:line="240" w:lineRule="auto"/>
              <w:jc w:val="left"/>
            </w:pPr>
            <w:r/>
            <w:r>
              <w:rPr>
                <w:sz w:val="18"/>
              </w:rPr>
              <w:t>2022</w:t>
            </w:r>
          </w:p>
        </w:tc>
        <w:tc>
          <w:tcPr>
            <w:tcW w:type="dxa" w:w="1510"/>
          </w:tcPr>
          <w:p>
            <w:pPr>
              <w:spacing w:after="20" w:before="20" w:line="240" w:lineRule="auto"/>
              <w:jc w:val="left"/>
            </w:pPr>
            <w:r/>
            <w:r>
              <w:rPr>
                <w:sz w:val="18"/>
              </w:rPr>
              <w:t>1 164</w:t>
            </w:r>
          </w:p>
        </w:tc>
        <w:tc>
          <w:tcPr>
            <w:tcW w:type="dxa" w:w="1294"/>
          </w:tcPr>
          <w:p>
            <w:pPr>
              <w:spacing w:after="20" w:before="20" w:line="240" w:lineRule="auto"/>
              <w:jc w:val="left"/>
            </w:pPr>
            <w:r/>
            <w:r>
              <w:rPr>
                <w:sz w:val="18"/>
              </w:rPr>
              <w:t>0,9858</w:t>
            </w:r>
          </w:p>
        </w:tc>
        <w:tc>
          <w:tcPr>
            <w:tcW w:type="dxa" w:w="1941"/>
          </w:tcPr>
          <w:p>
            <w:pPr>
              <w:spacing w:after="20" w:before="20" w:line="240" w:lineRule="auto"/>
              <w:jc w:val="left"/>
            </w:pPr>
            <w:r/>
            <w:r>
              <w:rPr>
                <w:sz w:val="18"/>
              </w:rPr>
              <w:t>0,9858</w:t>
            </w:r>
          </w:p>
        </w:tc>
        <w:tc>
          <w:tcPr>
            <w:tcW w:type="dxa" w:w="3565"/>
          </w:tcPr>
          <w:p>
            <w:pPr>
              <w:spacing w:after="20" w:before="20" w:line="240" w:lineRule="auto"/>
              <w:jc w:val="left"/>
            </w:pPr>
            <w:r/>
            <w:r>
              <w:rPr>
                <w:sz w:val="18"/>
              </w:rPr>
              <w:t>+0,0000</w:t>
            </w:r>
          </w:p>
        </w:tc>
      </w:tr>
      <w:tr>
        <w:trPr>
          <w:cantSplit w:val="true"/>
        </w:trPr>
        <w:tc>
          <w:tcPr>
            <w:tcW w:type="dxa" w:w="1078"/>
          </w:tcPr>
          <w:p>
            <w:pPr>
              <w:spacing w:after="20" w:before="20" w:line="240" w:lineRule="auto"/>
              <w:jc w:val="left"/>
            </w:pPr>
            <w:r/>
            <w:r>
              <w:rPr>
                <w:sz w:val="18"/>
              </w:rPr>
              <w:t>2023</w:t>
            </w:r>
          </w:p>
        </w:tc>
        <w:tc>
          <w:tcPr>
            <w:tcW w:type="dxa" w:w="1510"/>
          </w:tcPr>
          <w:p>
            <w:pPr>
              <w:spacing w:after="20" w:before="20" w:line="240" w:lineRule="auto"/>
              <w:jc w:val="left"/>
            </w:pPr>
            <w:r/>
            <w:r>
              <w:rPr>
                <w:sz w:val="18"/>
              </w:rPr>
              <w:t>1 449</w:t>
            </w:r>
          </w:p>
        </w:tc>
        <w:tc>
          <w:tcPr>
            <w:tcW w:type="dxa" w:w="1294"/>
          </w:tcPr>
          <w:p>
            <w:pPr>
              <w:spacing w:after="20" w:before="20" w:line="240" w:lineRule="auto"/>
              <w:jc w:val="left"/>
            </w:pPr>
            <w:r/>
            <w:r>
              <w:rPr>
                <w:sz w:val="18"/>
              </w:rPr>
              <w:t>0,9835</w:t>
            </w:r>
          </w:p>
        </w:tc>
        <w:tc>
          <w:tcPr>
            <w:tcW w:type="dxa" w:w="1941"/>
          </w:tcPr>
          <w:p>
            <w:pPr>
              <w:spacing w:after="20" w:before="20" w:line="240" w:lineRule="auto"/>
              <w:jc w:val="left"/>
            </w:pPr>
            <w:r/>
            <w:r>
              <w:rPr>
                <w:sz w:val="18"/>
              </w:rPr>
              <w:t>0,9911</w:t>
            </w:r>
          </w:p>
        </w:tc>
        <w:tc>
          <w:tcPr>
            <w:tcW w:type="dxa" w:w="3565"/>
          </w:tcPr>
          <w:p>
            <w:pPr>
              <w:spacing w:after="20" w:before="20" w:line="240" w:lineRule="auto"/>
              <w:jc w:val="left"/>
            </w:pPr>
            <w:r/>
            <w:r>
              <w:rPr>
                <w:sz w:val="18"/>
              </w:rPr>
              <w:t>+0,0076 (significatif)</w:t>
            </w:r>
          </w:p>
        </w:tc>
      </w:tr>
      <w:tr>
        <w:trPr>
          <w:cantSplit w:val="true"/>
        </w:trPr>
        <w:tc>
          <w:tcPr>
            <w:tcW w:type="dxa" w:w="1078"/>
          </w:tcPr>
          <w:p>
            <w:pPr>
              <w:spacing w:after="20" w:before="20" w:line="240" w:lineRule="auto"/>
              <w:jc w:val="left"/>
            </w:pPr>
            <w:r/>
            <w:r>
              <w:rPr>
                <w:sz w:val="18"/>
              </w:rPr>
              <w:t>2024</w:t>
            </w:r>
          </w:p>
        </w:tc>
        <w:tc>
          <w:tcPr>
            <w:tcW w:type="dxa" w:w="1510"/>
          </w:tcPr>
          <w:p>
            <w:pPr>
              <w:spacing w:after="20" w:before="20" w:line="240" w:lineRule="auto"/>
              <w:jc w:val="left"/>
            </w:pPr>
            <w:r/>
            <w:r>
              <w:rPr>
                <w:sz w:val="18"/>
              </w:rPr>
              <w:t>1 916</w:t>
            </w:r>
          </w:p>
        </w:tc>
        <w:tc>
          <w:tcPr>
            <w:tcW w:type="dxa" w:w="1294"/>
          </w:tcPr>
          <w:p>
            <w:pPr>
              <w:spacing w:after="20" w:before="20" w:line="240" w:lineRule="auto"/>
              <w:jc w:val="left"/>
            </w:pPr>
            <w:r/>
            <w:r>
              <w:rPr>
                <w:sz w:val="18"/>
              </w:rPr>
              <w:t>0,9729</w:t>
            </w:r>
          </w:p>
        </w:tc>
        <w:tc>
          <w:tcPr>
            <w:tcW w:type="dxa" w:w="1941"/>
          </w:tcPr>
          <w:p>
            <w:pPr>
              <w:spacing w:after="20" w:before="20" w:line="240" w:lineRule="auto"/>
              <w:jc w:val="left"/>
            </w:pPr>
            <w:r/>
            <w:r>
              <w:rPr>
                <w:sz w:val="18"/>
              </w:rPr>
              <w:t>0,9958</w:t>
            </w:r>
          </w:p>
        </w:tc>
        <w:tc>
          <w:tcPr>
            <w:tcW w:type="dxa" w:w="3565"/>
          </w:tcPr>
          <w:p>
            <w:pPr>
              <w:spacing w:after="20" w:before="20" w:line="240" w:lineRule="auto"/>
              <w:jc w:val="left"/>
            </w:pPr>
            <w:r/>
            <w:r>
              <w:rPr>
                <w:sz w:val="18"/>
              </w:rPr>
              <w:t>+0,0229 (significatif)</w:t>
            </w:r>
          </w:p>
        </w:tc>
      </w:tr>
      <w:tr>
        <w:trPr>
          <w:cantSplit w:val="true"/>
        </w:trPr>
        <w:tc>
          <w:tcPr>
            <w:tcW w:type="dxa" w:w="1078"/>
          </w:tcPr>
          <w:p>
            <w:pPr>
              <w:spacing w:after="20" w:before="20" w:line="240" w:lineRule="auto"/>
              <w:jc w:val="left"/>
            </w:pPr>
            <w:r/>
            <w:r>
              <w:rPr>
                <w:sz w:val="18"/>
              </w:rPr>
              <w:t>2025</w:t>
            </w:r>
          </w:p>
        </w:tc>
        <w:tc>
          <w:tcPr>
            <w:tcW w:type="dxa" w:w="1510"/>
          </w:tcPr>
          <w:p>
            <w:pPr>
              <w:spacing w:after="20" w:before="20" w:line="240" w:lineRule="auto"/>
              <w:jc w:val="left"/>
            </w:pPr>
            <w:r/>
            <w:r>
              <w:rPr>
                <w:sz w:val="18"/>
              </w:rPr>
              <w:t>2 355</w:t>
            </w:r>
          </w:p>
        </w:tc>
        <w:tc>
          <w:tcPr>
            <w:tcW w:type="dxa" w:w="1294"/>
          </w:tcPr>
          <w:p>
            <w:pPr>
              <w:spacing w:after="20" w:before="20" w:line="240" w:lineRule="auto"/>
              <w:jc w:val="left"/>
            </w:pPr>
            <w:r/>
            <w:r>
              <w:rPr>
                <w:sz w:val="18"/>
              </w:rPr>
              <w:t>0,9681</w:t>
            </w:r>
          </w:p>
        </w:tc>
        <w:tc>
          <w:tcPr>
            <w:tcW w:type="dxa" w:w="1941"/>
          </w:tcPr>
          <w:p>
            <w:pPr>
              <w:spacing w:after="20" w:before="20" w:line="240" w:lineRule="auto"/>
              <w:jc w:val="left"/>
            </w:pPr>
            <w:r/>
            <w:r>
              <w:rPr>
                <w:sz w:val="18"/>
              </w:rPr>
              <w:t>0,9980</w:t>
            </w:r>
          </w:p>
        </w:tc>
        <w:tc>
          <w:tcPr>
            <w:tcW w:type="dxa" w:w="3565"/>
          </w:tcPr>
          <w:p>
            <w:pPr>
              <w:spacing w:after="20" w:before="20" w:line="240" w:lineRule="auto"/>
              <w:jc w:val="left"/>
            </w:pPr>
            <w:r/>
            <w:r>
              <w:rPr>
                <w:sz w:val="18"/>
              </w:rPr>
              <w:t>+0,0299 (significatif)</w:t>
            </w:r>
          </w:p>
        </w:tc>
      </w:tr>
    </w:tbl>
    <w:p>
      <w:pPr>
        <w:spacing w:after="120"/>
      </w:pPr>
    </w:p>
    <w:p>
      <w:pPr>
        <w:pStyle w:val="Titre4"/>
        <w:keepNext/>
        <w:numPr>
          <w:numId w:val="0"/>
        </w:numPr>
        <w:spacing w:before="200" w:after="120"/>
        <w:ind w:left="0" w:firstLine="0"/>
        <w:jc w:val="left"/>
      </w:pPr>
      <w:r>
        <w:rPr>
          <w:b/>
          <w:i/>
          <w:color w:val="000000"/>
          <w:sz w:val="25"/>
        </w:rPr>
        <w:t>2.8 Classifieur de typologie</w:t>
      </w:r>
    </w:p>
    <w:p>
      <w:pPr>
        <w:spacing w:before="0" w:after="120" w:line="360" w:lineRule="auto"/>
        <w:jc w:val="both"/>
      </w:pPr>
      <w:r>
        <w:rPr>
          <w:sz w:val="24"/>
        </w:rPr>
        <w:t>Le second étage identifie la typologie avec une exactitude de 96,2 % (macro-F1 de 0,971), contre 28,9 % pour un classifieur qui prédirait toujours la typologie majoritaire ; la bonne typologie figure toujours parmi les deux premières propositions. Les confusions se concentrent entre échange de SIM et prise de contrôle : 54 échanges de SIM sont pris pour des prises de contrôle (rappel de 0,901) et 26 prises de contrôle pour des échanges de SIM (rappel de 0,936), deux fraudes qui ont la même signature (nouvel appareil, vidage). Ingénierie sociale, fractionnement, vidage par rechargement sont identifiés sans erreur ; l'exactitude est de 0,986 sur la carte et de 0,959 en Mobile Money.</w:t>
      </w:r>
    </w:p>
    <w:p>
      <w:pPr>
        <w:pStyle w:val="Titre4"/>
        <w:keepNext/>
        <w:numPr>
          <w:numId w:val="0"/>
        </w:numPr>
        <w:spacing w:before="200" w:after="120"/>
        <w:ind w:left="0" w:firstLine="0"/>
        <w:jc w:val="left"/>
      </w:pPr>
      <w:r>
        <w:rPr>
          <w:b/>
          <w:i/>
          <w:color w:val="000000"/>
          <w:sz w:val="25"/>
        </w:rPr>
        <w:t>2.9 Lois physiques</w:t>
      </w:r>
    </w:p>
    <w:p>
      <w:pPr>
        <w:spacing w:before="0" w:after="120" w:line="360" w:lineRule="auto"/>
        <w:jc w:val="both"/>
      </w:pPr>
      <w:r>
        <w:rPr>
          <w:sz w:val="24"/>
        </w:rPr>
        <w:t xml:space="preserve">Les déplacements légitimes du jeu respectent la physique : seules 75 opérations légitimes (0,01 %) violent nettement la cinématique, contre 88 fraudes (1,04 %), et 54 % des opérations qui la violent sont des fraudes, contre 1,33 % en moyenne. Ajoutées comme variables du modèle de données, les valeurs physiques n'apportent rien de significatif (+0,0001 de PR-AUC, du même ordre que l'écart-type d'une graine à l'autre) : le modèle appris retrouve par ailleurs ce qu'elles diraient pour les fraudes connues. Leur valeur est ailleurs : la </w:t>
      </w:r>
      <w:r>
        <w:rPr>
          <w:b/>
          <w:sz w:val="24"/>
        </w:rPr>
        <w:t>robustesse</w:t>
      </w:r>
      <w:r>
        <w:rPr>
          <w:sz w:val="24"/>
        </w:rPr>
        <w:t xml:space="preserve"> (tableau III.21).</w:t>
      </w:r>
    </w:p>
    <w:p>
      <w:pPr>
        <w:pStyle w:val="Légendetableau"/>
        <w:keepNext/>
        <w:spacing w:before="200" w:after="80"/>
        <w:jc w:val="center"/>
      </w:pPr>
      <w:r>
        <w:rPr>
          <w:b/>
          <w:sz w:val="20"/>
        </w:rPr>
        <w:t>Tableau III.21 — Robustesse face à une attaque « session relayée » inédite (300 attaques, province à 1 568 km en moyenne, 3 minutes après une opération légitime).</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5071"/>
        <w:gridCol w:w="1943"/>
        <w:gridCol w:w="2375"/>
      </w:tblGrid>
      <w:tr>
        <w:trPr>
          <w:tblHeader w:val="true"/>
        </w:trPr>
        <w:tc>
          <w:tcPr>
            <w:tcW w:type="dxa" w:w="5071"/>
            <w:shd w:val="clear" w:color="auto" w:fill="D9E2F3"/>
          </w:tcPr>
          <w:p>
            <w:pPr>
              <w:spacing w:after="20" w:before="20" w:line="240" w:lineRule="auto"/>
              <w:jc w:val="left"/>
            </w:pPr>
            <w:r/>
            <w:r>
              <w:rPr>
                <w:b/>
                <w:sz w:val="20"/>
              </w:rPr>
              <w:t>Détecteur</w:t>
            </w:r>
          </w:p>
        </w:tc>
        <w:tc>
          <w:tcPr>
            <w:tcW w:type="dxa" w:w="1943"/>
            <w:shd w:val="clear" w:color="auto" w:fill="D9E2F3"/>
          </w:tcPr>
          <w:p>
            <w:pPr>
              <w:spacing w:after="20" w:before="20" w:line="240" w:lineRule="auto"/>
              <w:jc w:val="left"/>
            </w:pPr>
            <w:r/>
            <w:r>
              <w:rPr>
                <w:b/>
                <w:sz w:val="20"/>
              </w:rPr>
              <w:t>Attaques détectées</w:t>
            </w:r>
          </w:p>
        </w:tc>
        <w:tc>
          <w:tcPr>
            <w:tcW w:type="dxa" w:w="2375"/>
            <w:shd w:val="clear" w:color="auto" w:fill="D9E2F3"/>
          </w:tcPr>
          <w:p>
            <w:pPr>
              <w:spacing w:after="20" w:before="20" w:line="240" w:lineRule="auto"/>
              <w:jc w:val="left"/>
            </w:pPr>
            <w:r/>
            <w:r>
              <w:rPr>
                <w:b/>
                <w:sz w:val="20"/>
              </w:rPr>
              <w:t>Fausses alertes (opérations légitimes)</w:t>
            </w:r>
          </w:p>
        </w:tc>
      </w:tr>
      <w:tr>
        <w:trPr>
          <w:cantSplit w:val="true"/>
        </w:trPr>
        <w:tc>
          <w:tcPr>
            <w:tcW w:type="dxa" w:w="5071"/>
          </w:tcPr>
          <w:p>
            <w:pPr>
              <w:spacing w:after="20" w:before="20" w:line="240" w:lineRule="auto"/>
              <w:jc w:val="left"/>
            </w:pPr>
            <w:r/>
            <w:r>
              <w:rPr>
                <w:sz w:val="20"/>
              </w:rPr>
              <w:t>Modèle de données (seuil F1)</w:t>
            </w:r>
          </w:p>
        </w:tc>
        <w:tc>
          <w:tcPr>
            <w:tcW w:type="dxa" w:w="1943"/>
          </w:tcPr>
          <w:p>
            <w:pPr>
              <w:spacing w:after="20" w:before="20" w:line="240" w:lineRule="auto"/>
              <w:jc w:val="left"/>
            </w:pPr>
            <w:r/>
            <w:r>
              <w:rPr>
                <w:sz w:val="20"/>
              </w:rPr>
              <w:t>0,3 %</w:t>
            </w:r>
          </w:p>
        </w:tc>
        <w:tc>
          <w:tcPr>
            <w:tcW w:type="dxa" w:w="2375"/>
          </w:tcPr>
          <w:p>
            <w:pPr>
              <w:spacing w:after="20" w:before="20" w:line="240" w:lineRule="auto"/>
              <w:jc w:val="left"/>
            </w:pPr>
            <w:r/>
            <w:r>
              <w:rPr>
                <w:sz w:val="20"/>
              </w:rPr>
              <w:t>0,12 %</w:t>
            </w:r>
          </w:p>
        </w:tc>
      </w:tr>
      <w:tr>
        <w:trPr>
          <w:cantSplit w:val="true"/>
        </w:trPr>
        <w:tc>
          <w:tcPr>
            <w:tcW w:type="dxa" w:w="5071"/>
          </w:tcPr>
          <w:p>
            <w:pPr>
              <w:spacing w:after="20" w:before="20" w:line="240" w:lineRule="auto"/>
              <w:jc w:val="left"/>
            </w:pPr>
            <w:r/>
            <w:r>
              <w:rPr>
                <w:sz w:val="20"/>
              </w:rPr>
              <w:t>Modèle de données (seuil à 1 % de faux positifs)</w:t>
            </w:r>
          </w:p>
        </w:tc>
        <w:tc>
          <w:tcPr>
            <w:tcW w:type="dxa" w:w="1943"/>
          </w:tcPr>
          <w:p>
            <w:pPr>
              <w:spacing w:after="20" w:before="20" w:line="240" w:lineRule="auto"/>
              <w:jc w:val="left"/>
            </w:pPr>
            <w:r/>
            <w:r>
              <w:rPr>
                <w:sz w:val="20"/>
              </w:rPr>
              <w:t>7,0 %</w:t>
            </w:r>
          </w:p>
        </w:tc>
        <w:tc>
          <w:tcPr>
            <w:tcW w:type="dxa" w:w="2375"/>
          </w:tcPr>
          <w:p>
            <w:pPr>
              <w:spacing w:after="20" w:before="20" w:line="240" w:lineRule="auto"/>
              <w:jc w:val="left"/>
            </w:pPr>
            <w:r/>
            <w:r>
              <w:rPr>
                <w:sz w:val="20"/>
              </w:rPr>
              <w:t>1,00 %</w:t>
            </w:r>
          </w:p>
        </w:tc>
      </w:tr>
      <w:tr>
        <w:trPr>
          <w:cantSplit w:val="true"/>
        </w:trPr>
        <w:tc>
          <w:tcPr>
            <w:tcW w:type="dxa" w:w="5071"/>
          </w:tcPr>
          <w:p>
            <w:pPr>
              <w:spacing w:after="20" w:before="20" w:line="240" w:lineRule="auto"/>
              <w:jc w:val="left"/>
            </w:pPr>
            <w:r/>
            <w:r>
              <w:rPr>
                <w:sz w:val="20"/>
              </w:rPr>
              <w:t>Lois physiques seules</w:t>
            </w:r>
          </w:p>
        </w:tc>
        <w:tc>
          <w:tcPr>
            <w:tcW w:type="dxa" w:w="1943"/>
          </w:tcPr>
          <w:p>
            <w:pPr>
              <w:spacing w:after="20" w:before="20" w:line="240" w:lineRule="auto"/>
              <w:jc w:val="left"/>
            </w:pPr>
            <w:r/>
            <w:r>
              <w:rPr>
                <w:sz w:val="20"/>
              </w:rPr>
              <w:t>100 %</w:t>
            </w:r>
          </w:p>
        </w:tc>
        <w:tc>
          <w:tcPr>
            <w:tcW w:type="dxa" w:w="2375"/>
          </w:tcPr>
          <w:p>
            <w:pPr>
              <w:spacing w:after="20" w:before="20" w:line="240" w:lineRule="auto"/>
              <w:jc w:val="left"/>
            </w:pPr>
            <w:r/>
            <w:r>
              <w:rPr>
                <w:sz w:val="20"/>
              </w:rPr>
              <w:t>0,01 %</w:t>
            </w:r>
          </w:p>
        </w:tc>
      </w:tr>
      <w:tr>
        <w:trPr>
          <w:cantSplit w:val="true"/>
        </w:trPr>
        <w:tc>
          <w:tcPr>
            <w:tcW w:type="dxa" w:w="5071"/>
          </w:tcPr>
          <w:p>
            <w:pPr>
              <w:spacing w:after="20" w:before="20" w:line="240" w:lineRule="auto"/>
              <w:jc w:val="left"/>
            </w:pPr>
            <w:r/>
            <w:r>
              <w:rPr>
                <w:b/>
                <w:sz w:val="20"/>
              </w:rPr>
              <w:t>Hybride (données OU physique)</w:t>
            </w:r>
          </w:p>
        </w:tc>
        <w:tc>
          <w:tcPr>
            <w:tcW w:type="dxa" w:w="1943"/>
          </w:tcPr>
          <w:p>
            <w:pPr>
              <w:spacing w:after="20" w:before="20" w:line="240" w:lineRule="auto"/>
              <w:jc w:val="left"/>
            </w:pPr>
            <w:r/>
            <w:r>
              <w:rPr>
                <w:b/>
                <w:sz w:val="20"/>
              </w:rPr>
              <w:t>100 %</w:t>
            </w:r>
          </w:p>
        </w:tc>
        <w:tc>
          <w:tcPr>
            <w:tcW w:type="dxa" w:w="2375"/>
          </w:tcPr>
          <w:p>
            <w:pPr>
              <w:spacing w:after="20" w:before="20" w:line="240" w:lineRule="auto"/>
              <w:jc w:val="left"/>
            </w:pPr>
            <w:r/>
            <w:r>
              <w:rPr>
                <w:sz w:val="20"/>
              </w:rPr>
              <w:t>0,13 %</w:t>
            </w:r>
          </w:p>
        </w:tc>
      </w:tr>
    </w:tbl>
    <w:p>
      <w:pPr>
        <w:spacing w:after="120"/>
      </w:pPr>
    </w:p>
    <w:p>
      <w:pPr>
        <w:spacing w:before="0" w:after="120" w:line="360" w:lineRule="auto"/>
        <w:jc w:val="both"/>
      </w:pPr>
      <w:r>
        <w:rPr>
          <w:sz w:val="24"/>
        </w:rPr>
        <w:t>Face à une attaque jamais vue à l'entraînement, le modèle appris est quasi aveugle (0,3 %), alors que les lois physiques la détectent entièrement à un coût de 0,01 % de vérifications inutiles. C'est le complément qui justifie la défense en profondeur. Il s'agit d'un scénario construit par l'équipe, non d'une mesure sur des fraudes réelles.</w:t>
      </w:r>
    </w:p>
    <w:p>
      <w:pPr>
        <w:pStyle w:val="Titre4"/>
        <w:keepNext/>
        <w:numPr>
          <w:numId w:val="0"/>
        </w:numPr>
        <w:spacing w:before="200" w:after="120"/>
        <w:ind w:left="0" w:firstLine="0"/>
        <w:jc w:val="left"/>
      </w:pPr>
      <w:r>
        <w:rPr>
          <w:b/>
          <w:i/>
          <w:color w:val="000000"/>
          <w:sz w:val="25"/>
        </w:rPr>
        <w:t>2.10 Explication et preuves</w:t>
      </w:r>
    </w:p>
    <w:p>
      <w:pPr>
        <w:spacing w:before="0" w:after="120" w:line="360" w:lineRule="auto"/>
        <w:jc w:val="both"/>
      </w:pPr>
      <w:r>
        <w:rPr>
          <w:b/>
          <w:sz w:val="24"/>
        </w:rPr>
        <w:t>Cas similaires.</w:t>
      </w:r>
      <w:r>
        <w:rPr>
          <w:sz w:val="24"/>
        </w:rPr>
        <w:t xml:space="preserve"> La part de fraudes parmi les sept cas passés les plus proches identifie à elle seule les fraudes avec une PR-AUC de 0,960 [0,950 ; 0,970], contre 0,990 pour le modèle. Surtout, elle sert de contrôle de cohérence (tableau III.22) : quand les cas proches confirment une alerte, elle est justifiée dans 98,0 % des cas ; quand ils la contredisent, seulement 60,9 % : c'est le signal qui dit à l'analyste de redoubler d'attention. Les cas proches retrouvent 22 des 99 fraudes manquées, mais au prix de 53 fausses alertes supplémentaires, ce qui n'en fait pas un détecteur de remplacement. Pour le type de fraude, le vote des cas proches atteint 88,0 % contre 96,2 % pour le classifieur.</w:t>
      </w:r>
    </w:p>
    <w:p>
      <w:pPr>
        <w:pStyle w:val="Légendetableau"/>
        <w:keepNext/>
        <w:spacing w:before="200" w:after="80"/>
        <w:jc w:val="center"/>
      </w:pPr>
      <w:r>
        <w:rPr>
          <w:b/>
          <w:sz w:val="20"/>
        </w:rPr>
        <w:t>Tableau III.22 — Précision des alertes selon l'avis des cas proches.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2856"/>
        <w:gridCol w:w="1613"/>
        <w:gridCol w:w="1613"/>
        <w:gridCol w:w="3307"/>
      </w:tblGrid>
      <w:tr>
        <w:trPr>
          <w:tblHeader w:val="true"/>
        </w:trPr>
        <w:tc>
          <w:tcPr>
            <w:tcW w:type="dxa" w:w="2856"/>
            <w:shd w:val="clear" w:color="auto" w:fill="D9E2F3"/>
          </w:tcPr>
          <w:p>
            <w:pPr>
              <w:spacing w:after="20" w:before="20" w:line="240" w:lineRule="auto"/>
              <w:jc w:val="left"/>
            </w:pPr>
            <w:r/>
            <w:r>
              <w:rPr>
                <w:b/>
                <w:sz w:val="18"/>
              </w:rPr>
              <w:t>Avis des cas proches</w:t>
            </w:r>
          </w:p>
        </w:tc>
        <w:tc>
          <w:tcPr>
            <w:tcW w:type="dxa" w:w="1613"/>
            <w:shd w:val="clear" w:color="auto" w:fill="D9E2F3"/>
          </w:tcPr>
          <w:p>
            <w:pPr>
              <w:spacing w:after="20" w:before="20" w:line="240" w:lineRule="auto"/>
              <w:jc w:val="left"/>
            </w:pPr>
            <w:r/>
            <w:r>
              <w:rPr>
                <w:b/>
                <w:sz w:val="18"/>
              </w:rPr>
              <w:t>Alertes</w:t>
            </w:r>
          </w:p>
        </w:tc>
        <w:tc>
          <w:tcPr>
            <w:tcW w:type="dxa" w:w="1613"/>
            <w:shd w:val="clear" w:color="auto" w:fill="D9E2F3"/>
          </w:tcPr>
          <w:p>
            <w:pPr>
              <w:spacing w:after="20" w:before="20" w:line="240" w:lineRule="auto"/>
              <w:jc w:val="left"/>
            </w:pPr>
            <w:r/>
            <w:r>
              <w:rPr>
                <w:b/>
                <w:sz w:val="18"/>
              </w:rPr>
              <w:t>Vraies fraudes</w:t>
            </w:r>
          </w:p>
        </w:tc>
        <w:tc>
          <w:tcPr>
            <w:tcW w:type="dxa" w:w="3307"/>
            <w:shd w:val="clear" w:color="auto" w:fill="D9E2F3"/>
          </w:tcPr>
          <w:p>
            <w:pPr>
              <w:spacing w:after="20" w:before="20" w:line="240" w:lineRule="auto"/>
              <w:jc w:val="left"/>
            </w:pPr>
            <w:r/>
            <w:r>
              <w:rPr>
                <w:b/>
                <w:sz w:val="18"/>
              </w:rPr>
              <w:t>Précision [IC 95 %]</w:t>
            </w:r>
          </w:p>
        </w:tc>
      </w:tr>
      <w:tr>
        <w:trPr>
          <w:cantSplit w:val="true"/>
        </w:trPr>
        <w:tc>
          <w:tcPr>
            <w:tcW w:type="dxa" w:w="2856"/>
          </w:tcPr>
          <w:p>
            <w:pPr>
              <w:spacing w:after="20" w:before="20" w:line="240" w:lineRule="auto"/>
              <w:jc w:val="left"/>
            </w:pPr>
            <w:r/>
            <w:r>
              <w:rPr>
                <w:sz w:val="18"/>
              </w:rPr>
              <w:t>Confirment</w:t>
            </w:r>
          </w:p>
        </w:tc>
        <w:tc>
          <w:tcPr>
            <w:tcW w:type="dxa" w:w="1613"/>
          </w:tcPr>
          <w:p>
            <w:pPr>
              <w:spacing w:after="20" w:before="20" w:line="240" w:lineRule="auto"/>
              <w:jc w:val="left"/>
            </w:pPr>
            <w:r/>
            <w:r>
              <w:rPr>
                <w:sz w:val="18"/>
              </w:rPr>
              <w:t>1 978</w:t>
            </w:r>
          </w:p>
        </w:tc>
        <w:tc>
          <w:tcPr>
            <w:tcW w:type="dxa" w:w="1613"/>
          </w:tcPr>
          <w:p>
            <w:pPr>
              <w:spacing w:after="20" w:before="20" w:line="240" w:lineRule="auto"/>
              <w:jc w:val="left"/>
            </w:pPr>
            <w:r/>
            <w:r>
              <w:rPr>
                <w:sz w:val="18"/>
              </w:rPr>
              <w:t>1 939</w:t>
            </w:r>
          </w:p>
        </w:tc>
        <w:tc>
          <w:tcPr>
            <w:tcW w:type="dxa" w:w="3307"/>
          </w:tcPr>
          <w:p>
            <w:pPr>
              <w:spacing w:after="20" w:before="20" w:line="240" w:lineRule="auto"/>
              <w:jc w:val="left"/>
            </w:pPr>
            <w:r/>
            <w:r>
              <w:rPr>
                <w:sz w:val="18"/>
              </w:rPr>
              <w:t>0,980 [0,972 ; 0,987]</w:t>
            </w:r>
          </w:p>
        </w:tc>
      </w:tr>
      <w:tr>
        <w:trPr>
          <w:cantSplit w:val="true"/>
        </w:trPr>
        <w:tc>
          <w:tcPr>
            <w:tcW w:type="dxa" w:w="2856"/>
          </w:tcPr>
          <w:p>
            <w:pPr>
              <w:spacing w:after="20" w:before="20" w:line="240" w:lineRule="auto"/>
              <w:jc w:val="left"/>
            </w:pPr>
            <w:r/>
            <w:r>
              <w:rPr>
                <w:sz w:val="18"/>
              </w:rPr>
              <w:t>Contredisent</w:t>
            </w:r>
          </w:p>
        </w:tc>
        <w:tc>
          <w:tcPr>
            <w:tcW w:type="dxa" w:w="1613"/>
          </w:tcPr>
          <w:p>
            <w:pPr>
              <w:spacing w:after="20" w:before="20" w:line="240" w:lineRule="auto"/>
              <w:jc w:val="left"/>
            </w:pPr>
            <w:r/>
            <w:r>
              <w:rPr>
                <w:sz w:val="18"/>
              </w:rPr>
              <w:t>437</w:t>
            </w:r>
          </w:p>
        </w:tc>
        <w:tc>
          <w:tcPr>
            <w:tcW w:type="dxa" w:w="1613"/>
          </w:tcPr>
          <w:p>
            <w:pPr>
              <w:spacing w:after="20" w:before="20" w:line="240" w:lineRule="auto"/>
              <w:jc w:val="left"/>
            </w:pPr>
            <w:r/>
            <w:r>
              <w:rPr>
                <w:sz w:val="18"/>
              </w:rPr>
              <w:t>266</w:t>
            </w:r>
          </w:p>
        </w:tc>
        <w:tc>
          <w:tcPr>
            <w:tcW w:type="dxa" w:w="3307"/>
          </w:tcPr>
          <w:p>
            <w:pPr>
              <w:spacing w:after="20" w:before="20" w:line="240" w:lineRule="auto"/>
              <w:jc w:val="left"/>
            </w:pPr>
            <w:r/>
            <w:r>
              <w:rPr>
                <w:sz w:val="18"/>
              </w:rPr>
              <w:t>0,609 [0,550 ; 0,661]</w:t>
            </w:r>
          </w:p>
        </w:tc>
      </w:tr>
      <w:tr>
        <w:trPr>
          <w:cantSplit w:val="true"/>
        </w:trPr>
        <w:tc>
          <w:tcPr>
            <w:tcW w:type="dxa" w:w="2856"/>
          </w:tcPr>
          <w:p>
            <w:pPr>
              <w:spacing w:after="20" w:before="20" w:line="240" w:lineRule="auto"/>
              <w:jc w:val="left"/>
            </w:pPr>
            <w:r/>
            <w:r>
              <w:rPr>
                <w:sz w:val="18"/>
              </w:rPr>
              <w:t>Peu comparables</w:t>
            </w:r>
          </w:p>
        </w:tc>
        <w:tc>
          <w:tcPr>
            <w:tcW w:type="dxa" w:w="1613"/>
          </w:tcPr>
          <w:p>
            <w:pPr>
              <w:spacing w:after="20" w:before="20" w:line="240" w:lineRule="auto"/>
              <w:jc w:val="left"/>
            </w:pPr>
            <w:r/>
            <w:r>
              <w:rPr>
                <w:sz w:val="18"/>
              </w:rPr>
              <w:t>133</w:t>
            </w:r>
          </w:p>
        </w:tc>
        <w:tc>
          <w:tcPr>
            <w:tcW w:type="dxa" w:w="1613"/>
          </w:tcPr>
          <w:p>
            <w:pPr>
              <w:spacing w:after="20" w:before="20" w:line="240" w:lineRule="auto"/>
              <w:jc w:val="left"/>
            </w:pPr>
            <w:r/>
            <w:r>
              <w:rPr>
                <w:sz w:val="18"/>
              </w:rPr>
              <w:t>133</w:t>
            </w:r>
          </w:p>
        </w:tc>
        <w:tc>
          <w:tcPr>
            <w:tcW w:type="dxa" w:w="3307"/>
          </w:tcPr>
          <w:p>
            <w:pPr>
              <w:spacing w:after="20" w:before="20" w:line="240" w:lineRule="auto"/>
              <w:jc w:val="left"/>
            </w:pPr>
            <w:r/>
            <w:r>
              <w:rPr>
                <w:sz w:val="18"/>
              </w:rPr>
              <w:t>1,000</w:t>
            </w:r>
          </w:p>
        </w:tc>
      </w:tr>
    </w:tbl>
    <w:p>
      <w:pPr>
        <w:spacing w:after="120"/>
      </w:pPr>
    </w:p>
    <w:p>
      <w:pPr>
        <w:spacing w:before="0" w:after="120" w:line="360" w:lineRule="auto"/>
        <w:jc w:val="both"/>
      </w:pPr>
      <w:r>
        <w:rPr>
          <w:b/>
          <w:sz w:val="24"/>
        </w:rPr>
        <w:t>Analyse du message.</w:t>
      </w:r>
      <w:r>
        <w:rPr>
          <w:sz w:val="24"/>
        </w:rPr>
        <w:t xml:space="preserve"> Sur le corpus de test (61 messages, dont 30 d'ingénierie sociale), l'analyse détecte les manipulations avec une précision de 1,00 (aucune fausse alerte) et un rappel de 0,73 (F1 de 0,846, IC 95 % [0,727 ; 0,943]) au niveau « moyen ou plus ». Au niveau « élevé », qui seul impose une vérification, le rappel tombe à 0,43. L'analyse de sentiment est exacte à 83,9 % (31 messages). Les erreurs viennent de manipulations sans mot-clé reconnu (faux agent de l'opérateur, urgence familiale), ce qui montre les limites d'une approche lexicale et du corpus en français seulement. Conformément à RG-10, le texte ne sert qu'à imposer une vérification.</w:t>
      </w:r>
    </w:p>
    <w:p>
      <w:pPr>
        <w:pStyle w:val="Titre4"/>
        <w:keepNext/>
        <w:numPr>
          <w:numId w:val="0"/>
        </w:numPr>
        <w:spacing w:before="200" w:after="120"/>
        <w:ind w:left="0" w:firstLine="0"/>
        <w:jc w:val="left"/>
      </w:pPr>
      <w:r>
        <w:rPr>
          <w:b/>
          <w:i/>
          <w:color w:val="000000"/>
          <w:sz w:val="25"/>
        </w:rPr>
        <w:t>2.11 Réseaux de fraude</w:t>
      </w:r>
    </w:p>
    <w:p>
      <w:pPr>
        <w:spacing w:before="0" w:after="120" w:line="360" w:lineRule="auto"/>
        <w:jc w:val="both"/>
      </w:pPr>
      <w:r>
        <w:rPr>
          <w:sz w:val="24"/>
        </w:rPr>
        <w:t>L'analyse de réseau est évaluée par un rejeu chronologique, avec des verdicts révélés après sept jours (tableau III.23).</w:t>
      </w:r>
    </w:p>
    <w:p>
      <w:pPr>
        <w:pStyle w:val="Légendetableau"/>
        <w:keepNext/>
        <w:spacing w:before="200" w:after="80"/>
        <w:jc w:val="center"/>
      </w:pPr>
      <w:r>
        <w:rPr>
          <w:b/>
          <w:sz w:val="20"/>
        </w:rPr>
        <w:t>Tableau III.23 — Réseau : détection au niveau des transactions (période de test, seuil réseau choisi sur la validation pour 0,5 % de fausses alertes).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3146"/>
        <w:gridCol w:w="1702"/>
        <w:gridCol w:w="1986"/>
        <w:gridCol w:w="2554"/>
      </w:tblGrid>
      <w:tr>
        <w:trPr>
          <w:tblHeader w:val="true"/>
        </w:trPr>
        <w:tc>
          <w:tcPr>
            <w:tcW w:type="dxa" w:w="3146"/>
            <w:shd w:val="clear" w:color="auto" w:fill="D9E2F3"/>
          </w:tcPr>
          <w:p>
            <w:pPr>
              <w:spacing w:after="20" w:before="20" w:line="240" w:lineRule="auto"/>
              <w:jc w:val="left"/>
            </w:pPr>
            <w:r/>
            <w:r>
              <w:rPr>
                <w:b/>
                <w:sz w:val="18"/>
              </w:rPr>
              <w:t>Règle</w:t>
            </w:r>
          </w:p>
        </w:tc>
        <w:tc>
          <w:tcPr>
            <w:tcW w:type="dxa" w:w="1702"/>
            <w:shd w:val="clear" w:color="auto" w:fill="D9E2F3"/>
          </w:tcPr>
          <w:p>
            <w:pPr>
              <w:spacing w:after="20" w:before="20" w:line="240" w:lineRule="auto"/>
              <w:jc w:val="left"/>
            </w:pPr>
            <w:r/>
            <w:r>
              <w:rPr>
                <w:b/>
                <w:sz w:val="18"/>
              </w:rPr>
              <w:t>Rappel</w:t>
            </w:r>
          </w:p>
        </w:tc>
        <w:tc>
          <w:tcPr>
            <w:tcW w:type="dxa" w:w="1986"/>
            <w:shd w:val="clear" w:color="auto" w:fill="D9E2F3"/>
          </w:tcPr>
          <w:p>
            <w:pPr>
              <w:spacing w:after="20" w:before="20" w:line="240" w:lineRule="auto"/>
              <w:jc w:val="left"/>
            </w:pPr>
            <w:r/>
            <w:r>
              <w:rPr>
                <w:b/>
                <w:sz w:val="18"/>
              </w:rPr>
              <w:t>Fausses alertes</w:t>
            </w:r>
          </w:p>
        </w:tc>
        <w:tc>
          <w:tcPr>
            <w:tcW w:type="dxa" w:w="2554"/>
            <w:shd w:val="clear" w:color="auto" w:fill="D9E2F3"/>
          </w:tcPr>
          <w:p>
            <w:pPr>
              <w:spacing w:after="20" w:before="20" w:line="240" w:lineRule="auto"/>
              <w:jc w:val="left"/>
            </w:pPr>
            <w:r/>
            <w:r>
              <w:rPr>
                <w:b/>
                <w:sz w:val="18"/>
              </w:rPr>
              <w:t>Précision</w:t>
            </w:r>
          </w:p>
        </w:tc>
      </w:tr>
      <w:tr>
        <w:trPr>
          <w:cantSplit w:val="true"/>
        </w:trPr>
        <w:tc>
          <w:tcPr>
            <w:tcW w:type="dxa" w:w="3146"/>
          </w:tcPr>
          <w:p>
            <w:pPr>
              <w:spacing w:after="20" w:before="20" w:line="240" w:lineRule="auto"/>
              <w:jc w:val="left"/>
            </w:pPr>
            <w:r/>
            <w:r>
              <w:rPr>
                <w:sz w:val="18"/>
              </w:rPr>
              <w:t>Modèle hybride seul</w:t>
            </w:r>
          </w:p>
        </w:tc>
        <w:tc>
          <w:tcPr>
            <w:tcW w:type="dxa" w:w="1702"/>
          </w:tcPr>
          <w:p>
            <w:pPr>
              <w:spacing w:after="20" w:before="20" w:line="240" w:lineRule="auto"/>
              <w:jc w:val="left"/>
            </w:pPr>
            <w:r/>
            <w:r>
              <w:rPr>
                <w:sz w:val="18"/>
              </w:rPr>
              <w:t>97,8 %</w:t>
            </w:r>
          </w:p>
        </w:tc>
        <w:tc>
          <w:tcPr>
            <w:tcW w:type="dxa" w:w="1986"/>
          </w:tcPr>
          <w:p>
            <w:pPr>
              <w:spacing w:after="20" w:before="20" w:line="240" w:lineRule="auto"/>
              <w:jc w:val="left"/>
            </w:pPr>
            <w:r/>
            <w:r>
              <w:rPr>
                <w:sz w:val="18"/>
              </w:rPr>
              <w:t>0,07 %</w:t>
            </w:r>
          </w:p>
        </w:tc>
        <w:tc>
          <w:tcPr>
            <w:tcW w:type="dxa" w:w="2554"/>
          </w:tcPr>
          <w:p>
            <w:pPr>
              <w:spacing w:after="20" w:before="20" w:line="240" w:lineRule="auto"/>
              <w:jc w:val="left"/>
            </w:pPr>
            <w:r/>
            <w:r>
              <w:rPr>
                <w:sz w:val="18"/>
              </w:rPr>
              <w:t>95,1 %</w:t>
            </w:r>
          </w:p>
        </w:tc>
      </w:tr>
      <w:tr>
        <w:trPr>
          <w:cantSplit w:val="true"/>
        </w:trPr>
        <w:tc>
          <w:tcPr>
            <w:tcW w:type="dxa" w:w="3146"/>
          </w:tcPr>
          <w:p>
            <w:pPr>
              <w:spacing w:after="20" w:before="20" w:line="240" w:lineRule="auto"/>
              <w:jc w:val="left"/>
            </w:pPr>
            <w:r/>
            <w:r>
              <w:rPr>
                <w:sz w:val="18"/>
              </w:rPr>
              <w:t>Réseau seul</w:t>
            </w:r>
          </w:p>
        </w:tc>
        <w:tc>
          <w:tcPr>
            <w:tcW w:type="dxa" w:w="1702"/>
          </w:tcPr>
          <w:p>
            <w:pPr>
              <w:spacing w:after="20" w:before="20" w:line="240" w:lineRule="auto"/>
              <w:jc w:val="left"/>
            </w:pPr>
            <w:r/>
            <w:r>
              <w:rPr>
                <w:sz w:val="18"/>
              </w:rPr>
              <w:t>97,4 %</w:t>
            </w:r>
          </w:p>
        </w:tc>
        <w:tc>
          <w:tcPr>
            <w:tcW w:type="dxa" w:w="1986"/>
          </w:tcPr>
          <w:p>
            <w:pPr>
              <w:spacing w:after="20" w:before="20" w:line="240" w:lineRule="auto"/>
              <w:jc w:val="left"/>
            </w:pPr>
            <w:r/>
            <w:r>
              <w:rPr>
                <w:sz w:val="18"/>
              </w:rPr>
              <w:t>0,5 %</w:t>
            </w:r>
          </w:p>
        </w:tc>
        <w:tc>
          <w:tcPr>
            <w:tcW w:type="dxa" w:w="2554"/>
          </w:tcPr>
          <w:p>
            <w:pPr>
              <w:spacing w:after="20" w:before="20" w:line="240" w:lineRule="auto"/>
              <w:jc w:val="left"/>
            </w:pPr>
            <w:r/>
            <w:r>
              <w:rPr>
                <w:sz w:val="18"/>
              </w:rPr>
              <w:t>74,1 %</w:t>
            </w:r>
          </w:p>
        </w:tc>
      </w:tr>
      <w:tr>
        <w:trPr>
          <w:cantSplit w:val="true"/>
        </w:trPr>
        <w:tc>
          <w:tcPr>
            <w:tcW w:type="dxa" w:w="3146"/>
          </w:tcPr>
          <w:p>
            <w:pPr>
              <w:spacing w:after="20" w:before="20" w:line="240" w:lineRule="auto"/>
              <w:jc w:val="left"/>
            </w:pPr>
            <w:r/>
            <w:r>
              <w:rPr>
                <w:b/>
                <w:sz w:val="18"/>
              </w:rPr>
              <w:t>Modèle OU réseau</w:t>
            </w:r>
          </w:p>
        </w:tc>
        <w:tc>
          <w:tcPr>
            <w:tcW w:type="dxa" w:w="1702"/>
          </w:tcPr>
          <w:p>
            <w:pPr>
              <w:spacing w:after="20" w:before="20" w:line="240" w:lineRule="auto"/>
              <w:jc w:val="left"/>
            </w:pPr>
            <w:r/>
            <w:r>
              <w:rPr>
                <w:b/>
                <w:sz w:val="18"/>
              </w:rPr>
              <w:t>100 %</w:t>
            </w:r>
          </w:p>
        </w:tc>
        <w:tc>
          <w:tcPr>
            <w:tcW w:type="dxa" w:w="1986"/>
          </w:tcPr>
          <w:p>
            <w:pPr>
              <w:spacing w:after="20" w:before="20" w:line="240" w:lineRule="auto"/>
              <w:jc w:val="left"/>
            </w:pPr>
            <w:r/>
            <w:r>
              <w:rPr>
                <w:sz w:val="18"/>
              </w:rPr>
              <w:t>0,5 %</w:t>
            </w:r>
          </w:p>
        </w:tc>
        <w:tc>
          <w:tcPr>
            <w:tcW w:type="dxa" w:w="2554"/>
          </w:tcPr>
          <w:p>
            <w:pPr>
              <w:spacing w:after="20" w:before="20" w:line="240" w:lineRule="auto"/>
              <w:jc w:val="left"/>
            </w:pPr>
            <w:r/>
            <w:r>
              <w:rPr>
                <w:sz w:val="18"/>
              </w:rPr>
              <w:t>71,9 %</w:t>
            </w:r>
          </w:p>
        </w:tc>
      </w:tr>
    </w:tbl>
    <w:p>
      <w:pPr>
        <w:spacing w:after="120"/>
      </w:pPr>
    </w:p>
    <w:p>
      <w:pPr>
        <w:spacing w:before="0" w:after="120" w:line="360" w:lineRule="auto"/>
        <w:jc w:val="both"/>
      </w:pPr>
      <w:r>
        <w:rPr>
          <w:sz w:val="24"/>
        </w:rPr>
        <w:t xml:space="preserve">La règle « modèle OU réseau » rattrape </w:t>
      </w:r>
      <w:r>
        <w:rPr>
          <w:b/>
          <w:sz w:val="24"/>
        </w:rPr>
        <w:t>54 fraudes</w:t>
      </w:r>
      <w:r>
        <w:rPr>
          <w:sz w:val="24"/>
        </w:rPr>
        <w:t xml:space="preserve"> manquées par le modèle (dont 50 d'ingénierie sociale et 4 de fractionnement), au prix de 831 fausses alertes supplémentaires. L'ingénierie sociale passe de 92,1 % à 100 % de rappel : la victime paie seule, mais le </w:t>
      </w:r>
      <w:r>
        <w:rPr>
          <w:b/>
          <w:sz w:val="24"/>
        </w:rPr>
        <w:t>destinataire</w:t>
      </w:r>
      <w:r>
        <w:rPr>
          <w:sz w:val="24"/>
        </w:rPr>
        <w:t>, lui, reçoit de plusieurs victimes. Au niveau des entités, le score de réseau classe en tête des entités réellement frauduleuses (tableau III.24), là où le simple nombre de comptes distincts, déjà une variable du modèle, échoue.</w:t>
      </w:r>
    </w:p>
    <w:p>
      <w:pPr>
        <w:pStyle w:val="Légendetableau"/>
        <w:keepNext/>
        <w:spacing w:before="200" w:after="80"/>
        <w:jc w:val="center"/>
      </w:pPr>
      <w:r>
        <w:rPr>
          <w:b/>
          <w:sz w:val="20"/>
        </w:rPr>
        <w:t>Tableau III.24 — Réseau : précision des 25, 50, 100 et 200 entités partagées les mieux classées.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4407"/>
        <w:gridCol w:w="1245"/>
        <w:gridCol w:w="1245"/>
        <w:gridCol w:w="1245"/>
        <w:gridCol w:w="1245"/>
      </w:tblGrid>
      <w:tr>
        <w:trPr>
          <w:tblHeader w:val="true"/>
        </w:trPr>
        <w:tc>
          <w:tcPr>
            <w:tcW w:type="dxa" w:w="4407"/>
            <w:shd w:val="clear" w:color="auto" w:fill="D9E2F3"/>
          </w:tcPr>
          <w:p>
            <w:pPr>
              <w:spacing w:after="20" w:before="20" w:line="240" w:lineRule="auto"/>
              <w:jc w:val="left"/>
            </w:pPr>
            <w:r/>
            <w:r>
              <w:rPr>
                <w:b/>
                <w:sz w:val="18"/>
              </w:rPr>
              <w:t>Classement</w:t>
            </w:r>
          </w:p>
        </w:tc>
        <w:tc>
          <w:tcPr>
            <w:tcW w:type="dxa" w:w="1245"/>
            <w:shd w:val="clear" w:color="auto" w:fill="D9E2F3"/>
          </w:tcPr>
          <w:p>
            <w:pPr>
              <w:spacing w:after="20" w:before="20" w:line="240" w:lineRule="auto"/>
              <w:jc w:val="left"/>
            </w:pPr>
            <w:r/>
            <w:r>
              <w:rPr>
                <w:b/>
                <w:sz w:val="18"/>
              </w:rPr>
              <w:t>p@25</w:t>
            </w:r>
          </w:p>
        </w:tc>
        <w:tc>
          <w:tcPr>
            <w:tcW w:type="dxa" w:w="1245"/>
            <w:shd w:val="clear" w:color="auto" w:fill="D9E2F3"/>
          </w:tcPr>
          <w:p>
            <w:pPr>
              <w:spacing w:after="20" w:before="20" w:line="240" w:lineRule="auto"/>
              <w:jc w:val="left"/>
            </w:pPr>
            <w:r/>
            <w:r>
              <w:rPr>
                <w:b/>
                <w:sz w:val="18"/>
              </w:rPr>
              <w:t>p@50</w:t>
            </w:r>
          </w:p>
        </w:tc>
        <w:tc>
          <w:tcPr>
            <w:tcW w:type="dxa" w:w="1245"/>
            <w:shd w:val="clear" w:color="auto" w:fill="D9E2F3"/>
          </w:tcPr>
          <w:p>
            <w:pPr>
              <w:spacing w:after="20" w:before="20" w:line="240" w:lineRule="auto"/>
              <w:jc w:val="left"/>
            </w:pPr>
            <w:r/>
            <w:r>
              <w:rPr>
                <w:b/>
                <w:sz w:val="18"/>
              </w:rPr>
              <w:t>p@100</w:t>
            </w:r>
          </w:p>
        </w:tc>
        <w:tc>
          <w:tcPr>
            <w:tcW w:type="dxa" w:w="1245"/>
            <w:shd w:val="clear" w:color="auto" w:fill="D9E2F3"/>
          </w:tcPr>
          <w:p>
            <w:pPr>
              <w:spacing w:after="20" w:before="20" w:line="240" w:lineRule="auto"/>
              <w:jc w:val="left"/>
            </w:pPr>
            <w:r/>
            <w:r>
              <w:rPr>
                <w:b/>
                <w:sz w:val="18"/>
              </w:rPr>
              <w:t>p@200</w:t>
            </w:r>
          </w:p>
        </w:tc>
      </w:tr>
      <w:tr>
        <w:trPr>
          <w:cantSplit w:val="true"/>
        </w:trPr>
        <w:tc>
          <w:tcPr>
            <w:tcW w:type="dxa" w:w="4407"/>
          </w:tcPr>
          <w:p>
            <w:pPr>
              <w:spacing w:after="20" w:before="20" w:line="240" w:lineRule="auto"/>
              <w:jc w:val="left"/>
            </w:pPr>
            <w:r/>
            <w:r>
              <w:rPr>
                <w:sz w:val="18"/>
              </w:rPr>
              <w:t>Nombre de comptes distincts</w:t>
            </w:r>
          </w:p>
        </w:tc>
        <w:tc>
          <w:tcPr>
            <w:tcW w:type="dxa" w:w="1245"/>
          </w:tcPr>
          <w:p>
            <w:pPr>
              <w:spacing w:after="20" w:before="20" w:line="240" w:lineRule="auto"/>
              <w:jc w:val="left"/>
            </w:pPr>
            <w:r/>
            <w:r>
              <w:rPr>
                <w:sz w:val="18"/>
              </w:rPr>
              <w:t>0,0 %</w:t>
            </w:r>
          </w:p>
        </w:tc>
        <w:tc>
          <w:tcPr>
            <w:tcW w:type="dxa" w:w="1245"/>
          </w:tcPr>
          <w:p>
            <w:pPr>
              <w:spacing w:after="20" w:before="20" w:line="240" w:lineRule="auto"/>
              <w:jc w:val="left"/>
            </w:pPr>
            <w:r/>
            <w:r>
              <w:rPr>
                <w:sz w:val="18"/>
              </w:rPr>
              <w:t>2,0 %</w:t>
            </w:r>
          </w:p>
        </w:tc>
        <w:tc>
          <w:tcPr>
            <w:tcW w:type="dxa" w:w="1245"/>
          </w:tcPr>
          <w:p>
            <w:pPr>
              <w:spacing w:after="20" w:before="20" w:line="240" w:lineRule="auto"/>
              <w:jc w:val="left"/>
            </w:pPr>
            <w:r/>
            <w:r>
              <w:rPr>
                <w:sz w:val="18"/>
              </w:rPr>
              <w:t>2,0 %</w:t>
            </w:r>
          </w:p>
        </w:tc>
        <w:tc>
          <w:tcPr>
            <w:tcW w:type="dxa" w:w="1245"/>
          </w:tcPr>
          <w:p>
            <w:pPr>
              <w:spacing w:after="20" w:before="20" w:line="240" w:lineRule="auto"/>
              <w:jc w:val="left"/>
            </w:pPr>
            <w:r/>
            <w:r>
              <w:rPr>
                <w:sz w:val="18"/>
              </w:rPr>
              <w:t>7,0 %</w:t>
            </w:r>
          </w:p>
        </w:tc>
      </w:tr>
      <w:tr>
        <w:trPr>
          <w:cantSplit w:val="true"/>
        </w:trPr>
        <w:tc>
          <w:tcPr>
            <w:tcW w:type="dxa" w:w="4407"/>
          </w:tcPr>
          <w:p>
            <w:pPr>
              <w:spacing w:after="20" w:before="20" w:line="240" w:lineRule="auto"/>
              <w:jc w:val="left"/>
            </w:pPr>
            <w:r/>
            <w:r>
              <w:rPr>
                <w:sz w:val="18"/>
              </w:rPr>
              <w:t>Risque direct</w:t>
            </w:r>
          </w:p>
        </w:tc>
        <w:tc>
          <w:tcPr>
            <w:tcW w:type="dxa" w:w="1245"/>
          </w:tcPr>
          <w:p>
            <w:pPr>
              <w:spacing w:after="20" w:before="20" w:line="240" w:lineRule="auto"/>
              <w:jc w:val="left"/>
            </w:pPr>
            <w:r/>
            <w:r>
              <w:rPr>
                <w:sz w:val="18"/>
              </w:rPr>
              <w:t>68,0 %</w:t>
            </w:r>
          </w:p>
        </w:tc>
        <w:tc>
          <w:tcPr>
            <w:tcW w:type="dxa" w:w="1245"/>
          </w:tcPr>
          <w:p>
            <w:pPr>
              <w:spacing w:after="20" w:before="20" w:line="240" w:lineRule="auto"/>
              <w:jc w:val="left"/>
            </w:pPr>
            <w:r/>
            <w:r>
              <w:rPr>
                <w:sz w:val="18"/>
              </w:rPr>
              <w:t>70,0 %</w:t>
            </w:r>
          </w:p>
        </w:tc>
        <w:tc>
          <w:tcPr>
            <w:tcW w:type="dxa" w:w="1245"/>
          </w:tcPr>
          <w:p>
            <w:pPr>
              <w:spacing w:after="20" w:before="20" w:line="240" w:lineRule="auto"/>
              <w:jc w:val="left"/>
            </w:pPr>
            <w:r/>
            <w:r>
              <w:rPr>
                <w:sz w:val="18"/>
              </w:rPr>
              <w:t>78,0 %</w:t>
            </w:r>
          </w:p>
        </w:tc>
        <w:tc>
          <w:tcPr>
            <w:tcW w:type="dxa" w:w="1245"/>
          </w:tcPr>
          <w:p>
            <w:pPr>
              <w:spacing w:after="20" w:before="20" w:line="240" w:lineRule="auto"/>
              <w:jc w:val="left"/>
            </w:pPr>
            <w:r/>
            <w:r>
              <w:rPr>
                <w:sz w:val="18"/>
              </w:rPr>
              <w:t>88,0 %</w:t>
            </w:r>
          </w:p>
        </w:tc>
      </w:tr>
      <w:tr>
        <w:trPr>
          <w:cantSplit w:val="true"/>
        </w:trPr>
        <w:tc>
          <w:tcPr>
            <w:tcW w:type="dxa" w:w="4407"/>
          </w:tcPr>
          <w:p>
            <w:pPr>
              <w:spacing w:after="20" w:before="20" w:line="240" w:lineRule="auto"/>
              <w:jc w:val="left"/>
            </w:pPr>
            <w:r/>
            <w:r>
              <w:rPr>
                <w:sz w:val="18"/>
              </w:rPr>
              <w:t>Score de réseau (direct + propagé)</w:t>
            </w:r>
          </w:p>
        </w:tc>
        <w:tc>
          <w:tcPr>
            <w:tcW w:type="dxa" w:w="1245"/>
          </w:tcPr>
          <w:p>
            <w:pPr>
              <w:spacing w:after="20" w:before="20" w:line="240" w:lineRule="auto"/>
              <w:jc w:val="left"/>
            </w:pPr>
            <w:r/>
            <w:r>
              <w:rPr>
                <w:sz w:val="18"/>
              </w:rPr>
              <w:t>68,0 %</w:t>
            </w:r>
          </w:p>
        </w:tc>
        <w:tc>
          <w:tcPr>
            <w:tcW w:type="dxa" w:w="1245"/>
          </w:tcPr>
          <w:p>
            <w:pPr>
              <w:spacing w:after="20" w:before="20" w:line="240" w:lineRule="auto"/>
              <w:jc w:val="left"/>
            </w:pPr>
            <w:r/>
            <w:r>
              <w:rPr>
                <w:sz w:val="18"/>
              </w:rPr>
              <w:t>72,0 %</w:t>
            </w:r>
          </w:p>
        </w:tc>
        <w:tc>
          <w:tcPr>
            <w:tcW w:type="dxa" w:w="1245"/>
          </w:tcPr>
          <w:p>
            <w:pPr>
              <w:spacing w:after="20" w:before="20" w:line="240" w:lineRule="auto"/>
              <w:jc w:val="left"/>
            </w:pPr>
            <w:r/>
            <w:r>
              <w:rPr>
                <w:sz w:val="18"/>
              </w:rPr>
              <w:t>79,0 %</w:t>
            </w:r>
          </w:p>
        </w:tc>
        <w:tc>
          <w:tcPr>
            <w:tcW w:type="dxa" w:w="1245"/>
          </w:tcPr>
          <w:p>
            <w:pPr>
              <w:spacing w:after="20" w:before="20" w:line="240" w:lineRule="auto"/>
              <w:jc w:val="left"/>
            </w:pPr>
            <w:r/>
            <w:r>
              <w:rPr>
                <w:sz w:val="18"/>
              </w:rPr>
              <w:t>88,0 %</w:t>
            </w:r>
          </w:p>
        </w:tc>
      </w:tr>
      <w:tr>
        <w:trPr>
          <w:cantSplit w:val="true"/>
        </w:trPr>
        <w:tc>
          <w:tcPr>
            <w:tcW w:type="dxa" w:w="4407"/>
          </w:tcPr>
          <w:p>
            <w:pPr>
              <w:spacing w:after="20" w:before="20" w:line="240" w:lineRule="auto"/>
              <w:jc w:val="left"/>
            </w:pPr>
            <w:r/>
            <w:r>
              <w:rPr>
                <w:sz w:val="18"/>
              </w:rPr>
              <w:t>Score de réseau, sans aucune étiquette</w:t>
            </w:r>
          </w:p>
        </w:tc>
        <w:tc>
          <w:tcPr>
            <w:tcW w:type="dxa" w:w="1245"/>
          </w:tcPr>
          <w:p>
            <w:pPr>
              <w:spacing w:after="20" w:before="20" w:line="240" w:lineRule="auto"/>
              <w:jc w:val="left"/>
            </w:pPr>
            <w:r/>
            <w:r>
              <w:rPr>
                <w:sz w:val="18"/>
              </w:rPr>
              <w:t>96,0 %</w:t>
            </w:r>
          </w:p>
        </w:tc>
        <w:tc>
          <w:tcPr>
            <w:tcW w:type="dxa" w:w="1245"/>
          </w:tcPr>
          <w:p>
            <w:pPr>
              <w:spacing w:after="20" w:before="20" w:line="240" w:lineRule="auto"/>
              <w:jc w:val="left"/>
            </w:pPr>
            <w:r/>
            <w:r>
              <w:rPr>
                <w:sz w:val="18"/>
              </w:rPr>
              <w:t>94,0 %</w:t>
            </w:r>
          </w:p>
        </w:tc>
        <w:tc>
          <w:tcPr>
            <w:tcW w:type="dxa" w:w="1245"/>
          </w:tcPr>
          <w:p>
            <w:pPr>
              <w:spacing w:after="20" w:before="20" w:line="240" w:lineRule="auto"/>
              <w:jc w:val="left"/>
            </w:pPr>
            <w:r/>
            <w:r>
              <w:rPr>
                <w:sz w:val="18"/>
              </w:rPr>
              <w:t>93,0 %</w:t>
            </w:r>
          </w:p>
        </w:tc>
        <w:tc>
          <w:tcPr>
            <w:tcW w:type="dxa" w:w="1245"/>
          </w:tcPr>
          <w:p>
            <w:pPr>
              <w:spacing w:after="20" w:before="20" w:line="240" w:lineRule="auto"/>
              <w:jc w:val="left"/>
            </w:pPr>
            <w:r/>
            <w:r>
              <w:rPr>
                <w:sz w:val="18"/>
              </w:rPr>
              <w:t>93,0 %</w:t>
            </w:r>
          </w:p>
        </w:tc>
      </w:tr>
    </w:tbl>
    <w:p>
      <w:pPr>
        <w:spacing w:after="120"/>
      </w:pPr>
    </w:p>
    <w:p>
      <w:pPr>
        <w:spacing w:before="0" w:after="120" w:line="360" w:lineRule="auto"/>
        <w:jc w:val="both"/>
      </w:pPr>
      <w:r>
        <w:rPr>
          <w:sz w:val="24"/>
        </w:rPr>
        <w:t>Le score de réseau avec propagation est légèrement supérieur au risque direct seul. Sans aucune étiquette, à partir des seules probabilités du modèle sur 30 jours, l'analyse détecte 3 réseaux dont l'ensemble des entités sont réellement frauduleuses (pureté de 100 %, mais couverture de 44 % des entités frauduleuses partagées). Sur tout l'historique avec étiquettes, elle forme un seul grand réseau de 467 comptes et 582 entités, pur à 95,7 % et qui couvre 97 % des entités frauduleuses partagées. Ces chiffres profitent du nombre fini de mules et d'appareils du générateur : ils montrent le mécanisme, pas une performance réelle.</w:t>
      </w:r>
    </w:p>
    <w:p>
      <w:pPr>
        <w:pStyle w:val="Titre4"/>
        <w:keepNext/>
        <w:numPr>
          <w:numId w:val="0"/>
        </w:numPr>
        <w:spacing w:before="200" w:after="120"/>
        <w:ind w:left="0" w:firstLine="0"/>
        <w:jc w:val="left"/>
      </w:pPr>
      <w:r>
        <w:rPr>
          <w:b/>
          <w:i/>
          <w:color w:val="000000"/>
          <w:sz w:val="25"/>
        </w:rPr>
        <w:t>2.12 Décision selon le coût</w:t>
      </w:r>
    </w:p>
    <w:p>
      <w:pPr>
        <w:spacing w:before="0" w:after="120" w:line="360" w:lineRule="auto"/>
        <w:jc w:val="both"/>
      </w:pPr>
      <w:r>
        <w:rPr>
          <w:sz w:val="24"/>
        </w:rPr>
        <w:t>La décision selon le coût attendu est comparée à un seuil unique, avec les mêmes coûts métier pour toutes les politiques, sur la seconde moitié du test (91 620 transactions, 1 207 fraudes) (tableau III.25).</w:t>
      </w:r>
    </w:p>
    <w:p>
      <w:pPr>
        <w:pStyle w:val="Légendetableau"/>
        <w:keepNext/>
        <w:spacing w:before="200" w:after="80"/>
        <w:jc w:val="center"/>
      </w:pPr>
      <w:r>
        <w:rPr>
          <w:b/>
          <w:sz w:val="20"/>
        </w:rPr>
        <w:t>Tableau III.25 — Politiques de décision comparées (pertes en USD).</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2580"/>
        <w:gridCol w:w="908"/>
        <w:gridCol w:w="1059"/>
        <w:gridCol w:w="1210"/>
        <w:gridCol w:w="1210"/>
        <w:gridCol w:w="1210"/>
        <w:gridCol w:w="1210"/>
      </w:tblGrid>
      <w:tr>
        <w:trPr>
          <w:tblHeader w:val="true"/>
        </w:trPr>
        <w:tc>
          <w:tcPr>
            <w:tcW w:type="dxa" w:w="2580"/>
            <w:shd w:val="clear" w:color="auto" w:fill="D9E2F3"/>
          </w:tcPr>
          <w:p>
            <w:pPr>
              <w:spacing w:after="20" w:before="20" w:line="240" w:lineRule="auto"/>
              <w:jc w:val="left"/>
            </w:pPr>
            <w:r/>
            <w:r>
              <w:rPr>
                <w:b/>
                <w:sz w:val="16"/>
              </w:rPr>
              <w:t>Politique</w:t>
            </w:r>
          </w:p>
        </w:tc>
        <w:tc>
          <w:tcPr>
            <w:tcW w:type="dxa" w:w="908"/>
            <w:shd w:val="clear" w:color="auto" w:fill="D9E2F3"/>
          </w:tcPr>
          <w:p>
            <w:pPr>
              <w:spacing w:after="20" w:before="20" w:line="240" w:lineRule="auto"/>
              <w:jc w:val="left"/>
            </w:pPr>
            <w:r/>
            <w:r>
              <w:rPr>
                <w:b/>
                <w:sz w:val="16"/>
              </w:rPr>
              <w:t>Perte totale</w:t>
            </w:r>
          </w:p>
        </w:tc>
        <w:tc>
          <w:tcPr>
            <w:tcW w:type="dxa" w:w="1059"/>
            <w:shd w:val="clear" w:color="auto" w:fill="D9E2F3"/>
          </w:tcPr>
          <w:p>
            <w:pPr>
              <w:spacing w:after="20" w:before="20" w:line="240" w:lineRule="auto"/>
              <w:jc w:val="left"/>
            </w:pPr>
            <w:r/>
            <w:r>
              <w:rPr>
                <w:b/>
                <w:sz w:val="16"/>
              </w:rPr>
              <w:t>Fraude non stoppée</w:t>
            </w:r>
          </w:p>
        </w:tc>
        <w:tc>
          <w:tcPr>
            <w:tcW w:type="dxa" w:w="1210"/>
            <w:shd w:val="clear" w:color="auto" w:fill="D9E2F3"/>
          </w:tcPr>
          <w:p>
            <w:pPr>
              <w:spacing w:after="20" w:before="20" w:line="240" w:lineRule="auto"/>
              <w:jc w:val="left"/>
            </w:pPr>
            <w:r/>
            <w:r>
              <w:rPr>
                <w:b/>
                <w:sz w:val="16"/>
              </w:rPr>
              <w:t>Friction</w:t>
            </w:r>
          </w:p>
        </w:tc>
        <w:tc>
          <w:tcPr>
            <w:tcW w:type="dxa" w:w="1210"/>
            <w:shd w:val="clear" w:color="auto" w:fill="D9E2F3"/>
          </w:tcPr>
          <w:p>
            <w:pPr>
              <w:spacing w:after="20" w:before="20" w:line="240" w:lineRule="auto"/>
              <w:jc w:val="left"/>
            </w:pPr>
            <w:r/>
            <w:r>
              <w:rPr>
                <w:b/>
                <w:sz w:val="16"/>
              </w:rPr>
              <w:t>Faux blocages</w:t>
            </w:r>
          </w:p>
        </w:tc>
        <w:tc>
          <w:tcPr>
            <w:tcW w:type="dxa" w:w="1210"/>
            <w:shd w:val="clear" w:color="auto" w:fill="D9E2F3"/>
          </w:tcPr>
          <w:p>
            <w:pPr>
              <w:spacing w:after="20" w:before="20" w:line="240" w:lineRule="auto"/>
              <w:jc w:val="left"/>
            </w:pPr>
            <w:r/>
            <w:r>
              <w:rPr>
                <w:b/>
                <w:sz w:val="16"/>
              </w:rPr>
              <w:t>Fraudes stoppées</w:t>
            </w:r>
          </w:p>
        </w:tc>
        <w:tc>
          <w:tcPr>
            <w:tcW w:type="dxa" w:w="1210"/>
            <w:shd w:val="clear" w:color="auto" w:fill="D9E2F3"/>
          </w:tcPr>
          <w:p>
            <w:pPr>
              <w:spacing w:after="20" w:before="20" w:line="240" w:lineRule="auto"/>
              <w:jc w:val="left"/>
            </w:pPr>
            <w:r/>
            <w:r>
              <w:rPr>
                <w:b/>
                <w:sz w:val="16"/>
              </w:rPr>
              <w:t>Clients honnêtes gênés</w:t>
            </w:r>
          </w:p>
        </w:tc>
      </w:tr>
      <w:tr>
        <w:trPr>
          <w:cantSplit w:val="true"/>
        </w:trPr>
        <w:tc>
          <w:tcPr>
            <w:tcW w:type="dxa" w:w="2580"/>
          </w:tcPr>
          <w:p>
            <w:pPr>
              <w:spacing w:after="20" w:before="20" w:line="240" w:lineRule="auto"/>
              <w:jc w:val="left"/>
            </w:pPr>
            <w:r/>
            <w:r>
              <w:rPr>
                <w:sz w:val="16"/>
              </w:rPr>
              <w:t>Seuil F1, blocage</w:t>
            </w:r>
          </w:p>
        </w:tc>
        <w:tc>
          <w:tcPr>
            <w:tcW w:type="dxa" w:w="908"/>
          </w:tcPr>
          <w:p>
            <w:pPr>
              <w:spacing w:after="20" w:before="20" w:line="240" w:lineRule="auto"/>
              <w:jc w:val="left"/>
            </w:pPr>
            <w:r/>
            <w:r>
              <w:rPr>
                <w:sz w:val="16"/>
              </w:rPr>
              <w:t>2 354</w:t>
            </w:r>
          </w:p>
        </w:tc>
        <w:tc>
          <w:tcPr>
            <w:tcW w:type="dxa" w:w="1059"/>
          </w:tcPr>
          <w:p>
            <w:pPr>
              <w:spacing w:after="20" w:before="20" w:line="240" w:lineRule="auto"/>
              <w:jc w:val="left"/>
            </w:pPr>
            <w:r/>
            <w:r>
              <w:rPr>
                <w:sz w:val="16"/>
              </w:rPr>
              <w:t>1 807</w:t>
            </w:r>
          </w:p>
        </w:tc>
        <w:tc>
          <w:tcPr>
            <w:tcW w:type="dxa" w:w="1210"/>
          </w:tcPr>
          <w:p>
            <w:pPr>
              <w:spacing w:after="20" w:before="20" w:line="240" w:lineRule="auto"/>
              <w:jc w:val="left"/>
            </w:pPr>
            <w:r/>
            <w:r>
              <w:rPr>
                <w:sz w:val="16"/>
              </w:rPr>
              <w:t>0</w:t>
            </w:r>
          </w:p>
        </w:tc>
        <w:tc>
          <w:tcPr>
            <w:tcW w:type="dxa" w:w="1210"/>
          </w:tcPr>
          <w:p>
            <w:pPr>
              <w:spacing w:after="20" w:before="20" w:line="240" w:lineRule="auto"/>
              <w:jc w:val="left"/>
            </w:pPr>
            <w:r/>
            <w:r>
              <w:rPr>
                <w:sz w:val="16"/>
              </w:rPr>
              <w:t>547</w:t>
            </w:r>
          </w:p>
        </w:tc>
        <w:tc>
          <w:tcPr>
            <w:tcW w:type="dxa" w:w="1210"/>
          </w:tcPr>
          <w:p>
            <w:pPr>
              <w:spacing w:after="20" w:before="20" w:line="240" w:lineRule="auto"/>
              <w:jc w:val="left"/>
            </w:pPr>
            <w:r/>
            <w:r>
              <w:rPr>
                <w:sz w:val="16"/>
              </w:rPr>
              <w:t>98,4 %</w:t>
            </w:r>
          </w:p>
        </w:tc>
        <w:tc>
          <w:tcPr>
            <w:tcW w:type="dxa" w:w="1210"/>
          </w:tcPr>
          <w:p>
            <w:pPr>
              <w:spacing w:after="20" w:before="20" w:line="240" w:lineRule="auto"/>
              <w:jc w:val="left"/>
            </w:pPr>
            <w:r/>
            <w:r>
              <w:rPr>
                <w:sz w:val="16"/>
              </w:rPr>
              <w:t>0,08 %</w:t>
            </w:r>
          </w:p>
        </w:tc>
      </w:tr>
      <w:tr>
        <w:trPr>
          <w:cantSplit w:val="true"/>
        </w:trPr>
        <w:tc>
          <w:tcPr>
            <w:tcW w:type="dxa" w:w="2580"/>
          </w:tcPr>
          <w:p>
            <w:pPr>
              <w:spacing w:after="20" w:before="20" w:line="240" w:lineRule="auto"/>
              <w:jc w:val="left"/>
            </w:pPr>
            <w:r/>
            <w:r>
              <w:rPr>
                <w:sz w:val="16"/>
              </w:rPr>
              <w:t>Seuil F1, vérification</w:t>
            </w:r>
          </w:p>
        </w:tc>
        <w:tc>
          <w:tcPr>
            <w:tcW w:type="dxa" w:w="908"/>
          </w:tcPr>
          <w:p>
            <w:pPr>
              <w:spacing w:after="20" w:before="20" w:line="240" w:lineRule="auto"/>
              <w:jc w:val="left"/>
            </w:pPr>
            <w:r/>
            <w:r>
              <w:rPr>
                <w:sz w:val="16"/>
              </w:rPr>
              <w:t>38 292</w:t>
            </w:r>
          </w:p>
        </w:tc>
        <w:tc>
          <w:tcPr>
            <w:tcW w:type="dxa" w:w="1059"/>
          </w:tcPr>
          <w:p>
            <w:pPr>
              <w:spacing w:after="20" w:before="20" w:line="240" w:lineRule="auto"/>
              <w:jc w:val="left"/>
            </w:pPr>
            <w:r/>
            <w:r>
              <w:rPr>
                <w:sz w:val="16"/>
              </w:rPr>
              <w:t>37 933</w:t>
            </w:r>
          </w:p>
        </w:tc>
        <w:tc>
          <w:tcPr>
            <w:tcW w:type="dxa" w:w="1210"/>
          </w:tcPr>
          <w:p>
            <w:pPr>
              <w:spacing w:after="20" w:before="20" w:line="240" w:lineRule="auto"/>
              <w:jc w:val="left"/>
            </w:pPr>
            <w:r/>
            <w:r>
              <w:rPr>
                <w:sz w:val="16"/>
              </w:rPr>
              <w:t>359</w:t>
            </w:r>
          </w:p>
        </w:tc>
        <w:tc>
          <w:tcPr>
            <w:tcW w:type="dxa" w:w="1210"/>
          </w:tcPr>
          <w:p>
            <w:pPr>
              <w:spacing w:after="20" w:before="20" w:line="240" w:lineRule="auto"/>
              <w:jc w:val="left"/>
            </w:pPr>
            <w:r/>
            <w:r>
              <w:rPr>
                <w:sz w:val="16"/>
              </w:rPr>
              <w:t>0</w:t>
            </w:r>
          </w:p>
        </w:tc>
        <w:tc>
          <w:tcPr>
            <w:tcW w:type="dxa" w:w="1210"/>
          </w:tcPr>
          <w:p>
            <w:pPr>
              <w:spacing w:after="20" w:before="20" w:line="240" w:lineRule="auto"/>
              <w:jc w:val="left"/>
            </w:pPr>
            <w:r/>
            <w:r>
              <w:rPr>
                <w:sz w:val="16"/>
              </w:rPr>
              <w:t>98,4 %</w:t>
            </w:r>
          </w:p>
        </w:tc>
        <w:tc>
          <w:tcPr>
            <w:tcW w:type="dxa" w:w="1210"/>
          </w:tcPr>
          <w:p>
            <w:pPr>
              <w:spacing w:after="20" w:before="20" w:line="240" w:lineRule="auto"/>
              <w:jc w:val="left"/>
            </w:pPr>
            <w:r/>
            <w:r>
              <w:rPr>
                <w:sz w:val="16"/>
              </w:rPr>
              <w:t>0,08 %</w:t>
            </w:r>
          </w:p>
        </w:tc>
      </w:tr>
      <w:tr>
        <w:trPr>
          <w:cantSplit w:val="true"/>
        </w:trPr>
        <w:tc>
          <w:tcPr>
            <w:tcW w:type="dxa" w:w="2580"/>
          </w:tcPr>
          <w:p>
            <w:pPr>
              <w:spacing w:after="20" w:before="20" w:line="240" w:lineRule="auto"/>
              <w:jc w:val="left"/>
            </w:pPr>
            <w:r/>
            <w:r>
              <w:rPr>
                <w:sz w:val="16"/>
              </w:rPr>
              <w:t>Coût, paramètres par défaut</w:t>
            </w:r>
          </w:p>
        </w:tc>
        <w:tc>
          <w:tcPr>
            <w:tcW w:type="dxa" w:w="908"/>
          </w:tcPr>
          <w:p>
            <w:pPr>
              <w:spacing w:after="20" w:before="20" w:line="240" w:lineRule="auto"/>
              <w:jc w:val="left"/>
            </w:pPr>
            <w:r/>
            <w:r>
              <w:rPr>
                <w:sz w:val="16"/>
              </w:rPr>
              <w:t>1 017</w:t>
            </w:r>
          </w:p>
        </w:tc>
        <w:tc>
          <w:tcPr>
            <w:tcW w:type="dxa" w:w="1059"/>
          </w:tcPr>
          <w:p>
            <w:pPr>
              <w:spacing w:after="20" w:before="20" w:line="240" w:lineRule="auto"/>
              <w:jc w:val="left"/>
            </w:pPr>
            <w:r/>
            <w:r>
              <w:rPr>
                <w:sz w:val="16"/>
              </w:rPr>
              <w:t>133</w:t>
            </w:r>
          </w:p>
        </w:tc>
        <w:tc>
          <w:tcPr>
            <w:tcW w:type="dxa" w:w="1210"/>
          </w:tcPr>
          <w:p>
            <w:pPr>
              <w:spacing w:after="20" w:before="20" w:line="240" w:lineRule="auto"/>
              <w:jc w:val="left"/>
            </w:pPr>
            <w:r/>
            <w:r>
              <w:rPr>
                <w:sz w:val="16"/>
              </w:rPr>
              <w:t>153</w:t>
            </w:r>
          </w:p>
        </w:tc>
        <w:tc>
          <w:tcPr>
            <w:tcW w:type="dxa" w:w="1210"/>
          </w:tcPr>
          <w:p>
            <w:pPr>
              <w:spacing w:after="20" w:before="20" w:line="240" w:lineRule="auto"/>
              <w:jc w:val="left"/>
            </w:pPr>
            <w:r/>
            <w:r>
              <w:rPr>
                <w:sz w:val="16"/>
              </w:rPr>
              <w:t>730</w:t>
            </w:r>
          </w:p>
        </w:tc>
        <w:tc>
          <w:tcPr>
            <w:tcW w:type="dxa" w:w="1210"/>
          </w:tcPr>
          <w:p>
            <w:pPr>
              <w:spacing w:after="20" w:before="20" w:line="240" w:lineRule="auto"/>
              <w:jc w:val="left"/>
            </w:pPr>
            <w:r/>
            <w:r>
              <w:rPr>
                <w:sz w:val="16"/>
              </w:rPr>
              <w:t>99,9 %</w:t>
            </w:r>
          </w:p>
        </w:tc>
        <w:tc>
          <w:tcPr>
            <w:tcW w:type="dxa" w:w="1210"/>
          </w:tcPr>
          <w:p>
            <w:pPr>
              <w:spacing w:after="20" w:before="20" w:line="240" w:lineRule="auto"/>
              <w:jc w:val="left"/>
            </w:pPr>
            <w:r/>
            <w:r>
              <w:rPr>
                <w:sz w:val="16"/>
              </w:rPr>
              <w:t>0,63 %</w:t>
            </w:r>
          </w:p>
        </w:tc>
      </w:tr>
      <w:tr>
        <w:trPr>
          <w:cantSplit w:val="true"/>
        </w:trPr>
        <w:tc>
          <w:tcPr>
            <w:tcW w:type="dxa" w:w="2580"/>
          </w:tcPr>
          <w:p>
            <w:pPr>
              <w:spacing w:after="20" w:before="20" w:line="240" w:lineRule="auto"/>
              <w:jc w:val="left"/>
            </w:pPr>
            <w:r/>
            <w:r>
              <w:rPr>
                <w:sz w:val="16"/>
              </w:rPr>
              <w:t>Coût, paramètres réglés</w:t>
            </w:r>
          </w:p>
        </w:tc>
        <w:tc>
          <w:tcPr>
            <w:tcW w:type="dxa" w:w="908"/>
          </w:tcPr>
          <w:p>
            <w:pPr>
              <w:spacing w:after="20" w:before="20" w:line="240" w:lineRule="auto"/>
              <w:jc w:val="left"/>
            </w:pPr>
            <w:r/>
            <w:r>
              <w:rPr>
                <w:sz w:val="16"/>
              </w:rPr>
              <w:t>976</w:t>
            </w:r>
          </w:p>
        </w:tc>
        <w:tc>
          <w:tcPr>
            <w:tcW w:type="dxa" w:w="1059"/>
          </w:tcPr>
          <w:p>
            <w:pPr>
              <w:spacing w:after="20" w:before="20" w:line="240" w:lineRule="auto"/>
              <w:jc w:val="left"/>
            </w:pPr>
            <w:r/>
            <w:r>
              <w:rPr>
                <w:sz w:val="16"/>
              </w:rPr>
              <w:t>236</w:t>
            </w:r>
          </w:p>
        </w:tc>
        <w:tc>
          <w:tcPr>
            <w:tcW w:type="dxa" w:w="1210"/>
          </w:tcPr>
          <w:p>
            <w:pPr>
              <w:spacing w:after="20" w:before="20" w:line="240" w:lineRule="auto"/>
              <w:jc w:val="left"/>
            </w:pPr>
            <w:r/>
            <w:r>
              <w:rPr>
                <w:sz w:val="16"/>
              </w:rPr>
              <w:t>164</w:t>
            </w:r>
          </w:p>
        </w:tc>
        <w:tc>
          <w:tcPr>
            <w:tcW w:type="dxa" w:w="1210"/>
          </w:tcPr>
          <w:p>
            <w:pPr>
              <w:spacing w:after="20" w:before="20" w:line="240" w:lineRule="auto"/>
              <w:jc w:val="left"/>
            </w:pPr>
            <w:r/>
            <w:r>
              <w:rPr>
                <w:sz w:val="16"/>
              </w:rPr>
              <w:t>576</w:t>
            </w:r>
          </w:p>
        </w:tc>
        <w:tc>
          <w:tcPr>
            <w:tcW w:type="dxa" w:w="1210"/>
          </w:tcPr>
          <w:p>
            <w:pPr>
              <w:spacing w:after="20" w:before="20" w:line="240" w:lineRule="auto"/>
              <w:jc w:val="left"/>
            </w:pPr>
            <w:r/>
            <w:r>
              <w:rPr>
                <w:sz w:val="16"/>
              </w:rPr>
              <w:t>99,9 %</w:t>
            </w:r>
          </w:p>
        </w:tc>
        <w:tc>
          <w:tcPr>
            <w:tcW w:type="dxa" w:w="1210"/>
          </w:tcPr>
          <w:p>
            <w:pPr>
              <w:spacing w:after="20" w:before="20" w:line="240" w:lineRule="auto"/>
              <w:jc w:val="left"/>
            </w:pPr>
            <w:r/>
            <w:r>
              <w:rPr>
                <w:sz w:val="16"/>
              </w:rPr>
              <w:t>0,63 %</w:t>
            </w:r>
          </w:p>
        </w:tc>
      </w:tr>
    </w:tbl>
    <w:p>
      <w:pPr>
        <w:spacing w:after="120"/>
      </w:pPr>
    </w:p>
    <w:p>
      <w:pPr>
        <w:spacing w:before="0" w:after="120" w:line="360" w:lineRule="auto"/>
        <w:jc w:val="both"/>
      </w:pPr>
      <w:r>
        <w:rPr>
          <w:sz w:val="24"/>
        </w:rPr>
        <w:t>La décision selon le coût divise la perte par plus de deux (de 2 354 à 1 017 USD) et stoppe 99,9 % des fraudes au lieu de 98,4 %. En contrepartie, elle gêne davantage de clients honnêtes (0,63 % contre 0,08 %), surtout par des vérifications peu coûteuses. Se contenter de vérifier au seuil F1, sans bloquer, est très coûteux (38 292 USD) : la vérification ne stoppe qu'une part de fraudes. Les paramètres réglés sur la première moitié (plancher de blocage à 0,9, coût d'un faux blocage doublé) gagnent encore 4 %. Les coûts métier sont des hypothèses de simulation, à remplacer par ceux de chaque opérateur ; l'écran de politique permet de les simuler avant application.</w:t>
      </w:r>
    </w:p>
    <w:p>
      <w:pPr>
        <w:pStyle w:val="Titre4"/>
        <w:keepNext/>
        <w:numPr>
          <w:numId w:val="0"/>
        </w:numPr>
        <w:spacing w:before="200" w:after="120"/>
        <w:ind w:left="0" w:firstLine="0"/>
        <w:jc w:val="left"/>
      </w:pPr>
      <w:r>
        <w:rPr>
          <w:b/>
          <w:i/>
          <w:color w:val="000000"/>
          <w:sz w:val="25"/>
        </w:rPr>
        <w:t>2.13 Boucle de retour des analystes</w:t>
      </w:r>
    </w:p>
    <w:p>
      <w:pPr>
        <w:spacing w:before="0" w:after="120" w:line="360" w:lineRule="auto"/>
        <w:jc w:val="both"/>
      </w:pPr>
      <w:r>
        <w:rPr>
          <w:sz w:val="24"/>
        </w:rPr>
        <w:t>Le rejeu mensuel sur 13 mois compare cinq stratégies de revue, à budget égal de 200 revues supplémentaires par mois (tableau III.26).</w:t>
      </w:r>
    </w:p>
    <w:p>
      <w:pPr>
        <w:pStyle w:val="Légendetableau"/>
        <w:keepNext/>
        <w:spacing w:before="200" w:after="80"/>
        <w:jc w:val="center"/>
      </w:pPr>
      <w:r>
        <w:rPr>
          <w:b/>
          <w:sz w:val="20"/>
        </w:rPr>
        <w:t>Tableau III.26 — Stratégies de revue des analystes.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2554"/>
        <w:gridCol w:w="1439"/>
        <w:gridCol w:w="1259"/>
        <w:gridCol w:w="1259"/>
        <w:gridCol w:w="1439"/>
        <w:gridCol w:w="1439"/>
      </w:tblGrid>
      <w:tr>
        <w:trPr>
          <w:tblHeader w:val="true"/>
        </w:trPr>
        <w:tc>
          <w:tcPr>
            <w:tcW w:type="dxa" w:w="2554"/>
            <w:shd w:val="clear" w:color="auto" w:fill="D9E2F3"/>
          </w:tcPr>
          <w:p>
            <w:pPr>
              <w:spacing w:after="20" w:before="20" w:line="240" w:lineRule="auto"/>
              <w:jc w:val="left"/>
            </w:pPr>
            <w:r/>
            <w:r>
              <w:rPr>
                <w:b/>
                <w:sz w:val="16"/>
              </w:rPr>
              <w:t>Stratégie</w:t>
            </w:r>
          </w:p>
        </w:tc>
        <w:tc>
          <w:tcPr>
            <w:tcW w:type="dxa" w:w="1439"/>
            <w:shd w:val="clear" w:color="auto" w:fill="D9E2F3"/>
          </w:tcPr>
          <w:p>
            <w:pPr>
              <w:spacing w:after="20" w:before="20" w:line="240" w:lineRule="auto"/>
              <w:jc w:val="left"/>
            </w:pPr>
            <w:r/>
            <w:r>
              <w:rPr>
                <w:b/>
                <w:sz w:val="16"/>
              </w:rPr>
              <w:t>Poids des verdicts</w:t>
            </w:r>
          </w:p>
        </w:tc>
        <w:tc>
          <w:tcPr>
            <w:tcW w:type="dxa" w:w="1259"/>
            <w:shd w:val="clear" w:color="auto" w:fill="D9E2F3"/>
          </w:tcPr>
          <w:p>
            <w:pPr>
              <w:spacing w:after="20" w:before="20" w:line="240" w:lineRule="auto"/>
              <w:jc w:val="left"/>
            </w:pPr>
            <w:r/>
            <w:r>
              <w:rPr>
                <w:b/>
                <w:sz w:val="16"/>
              </w:rPr>
              <w:t>PR-AUC moyenne</w:t>
            </w:r>
          </w:p>
        </w:tc>
        <w:tc>
          <w:tcPr>
            <w:tcW w:type="dxa" w:w="1259"/>
            <w:shd w:val="clear" w:color="auto" w:fill="D9E2F3"/>
          </w:tcPr>
          <w:p>
            <w:pPr>
              <w:spacing w:after="20" w:before="20" w:line="240" w:lineRule="auto"/>
              <w:jc w:val="left"/>
            </w:pPr>
            <w:r/>
            <w:r>
              <w:rPr>
                <w:b/>
                <w:sz w:val="16"/>
              </w:rPr>
              <w:t>Rappel</w:t>
            </w:r>
          </w:p>
        </w:tc>
        <w:tc>
          <w:tcPr>
            <w:tcW w:type="dxa" w:w="1439"/>
            <w:shd w:val="clear" w:color="auto" w:fill="D9E2F3"/>
          </w:tcPr>
          <w:p>
            <w:pPr>
              <w:spacing w:after="20" w:before="20" w:line="240" w:lineRule="auto"/>
              <w:jc w:val="left"/>
            </w:pPr>
            <w:r/>
            <w:r>
              <w:rPr>
                <w:b/>
                <w:sz w:val="16"/>
              </w:rPr>
              <w:t>Fraudes manquées</w:t>
            </w:r>
          </w:p>
        </w:tc>
        <w:tc>
          <w:tcPr>
            <w:tcW w:type="dxa" w:w="1439"/>
            <w:shd w:val="clear" w:color="auto" w:fill="D9E2F3"/>
          </w:tcPr>
          <w:p>
            <w:pPr>
              <w:spacing w:after="20" w:before="20" w:line="240" w:lineRule="auto"/>
              <w:jc w:val="left"/>
            </w:pPr>
            <w:r/>
            <w:r>
              <w:rPr>
                <w:b/>
                <w:sz w:val="16"/>
              </w:rPr>
              <w:t>Fraudes trouvées par les revues</w:t>
            </w:r>
          </w:p>
        </w:tc>
      </w:tr>
      <w:tr>
        <w:trPr>
          <w:cantSplit w:val="true"/>
        </w:trPr>
        <w:tc>
          <w:tcPr>
            <w:tcW w:type="dxa" w:w="2554"/>
          </w:tcPr>
          <w:p>
            <w:pPr>
              <w:spacing w:after="20" w:before="20" w:line="240" w:lineRule="auto"/>
              <w:jc w:val="left"/>
            </w:pPr>
            <w:r/>
            <w:r>
              <w:rPr>
                <w:sz w:val="16"/>
              </w:rPr>
              <w:t>Alertes seules</w:t>
            </w:r>
          </w:p>
        </w:tc>
        <w:tc>
          <w:tcPr>
            <w:tcW w:type="dxa" w:w="1439"/>
          </w:tcPr>
          <w:p>
            <w:pPr>
              <w:spacing w:after="20" w:before="20" w:line="240" w:lineRule="auto"/>
              <w:jc w:val="left"/>
            </w:pPr>
            <w:r/>
            <w:r>
              <w:rPr>
                <w:sz w:val="16"/>
              </w:rPr>
              <w:t>1</w:t>
            </w:r>
          </w:p>
        </w:tc>
        <w:tc>
          <w:tcPr>
            <w:tcW w:type="dxa" w:w="1259"/>
          </w:tcPr>
          <w:p>
            <w:pPr>
              <w:spacing w:after="20" w:before="20" w:line="240" w:lineRule="auto"/>
              <w:jc w:val="left"/>
            </w:pPr>
            <w:r/>
            <w:r>
              <w:rPr>
                <w:sz w:val="16"/>
              </w:rPr>
              <w:t>0,9932</w:t>
            </w:r>
          </w:p>
        </w:tc>
        <w:tc>
          <w:tcPr>
            <w:tcW w:type="dxa" w:w="1259"/>
          </w:tcPr>
          <w:p>
            <w:pPr>
              <w:spacing w:after="20" w:before="20" w:line="240" w:lineRule="auto"/>
              <w:jc w:val="left"/>
            </w:pPr>
            <w:r/>
            <w:r>
              <w:rPr>
                <w:sz w:val="16"/>
              </w:rPr>
              <w:t>96,90 %</w:t>
            </w:r>
          </w:p>
        </w:tc>
        <w:tc>
          <w:tcPr>
            <w:tcW w:type="dxa" w:w="1439"/>
          </w:tcPr>
          <w:p>
            <w:pPr>
              <w:spacing w:after="20" w:before="20" w:line="240" w:lineRule="auto"/>
              <w:jc w:val="left"/>
            </w:pPr>
            <w:r/>
            <w:r>
              <w:rPr>
                <w:sz w:val="16"/>
              </w:rPr>
              <w:t>73</w:t>
            </w:r>
          </w:p>
        </w:tc>
        <w:tc>
          <w:tcPr>
            <w:tcW w:type="dxa" w:w="1439"/>
          </w:tcPr>
          <w:p>
            <w:pPr>
              <w:spacing w:after="20" w:before="20" w:line="240" w:lineRule="auto"/>
              <w:jc w:val="left"/>
            </w:pPr>
            <w:r/>
            <w:r>
              <w:rPr>
                <w:sz w:val="16"/>
              </w:rPr>
              <w:t>0</w:t>
            </w:r>
          </w:p>
        </w:tc>
      </w:tr>
      <w:tr>
        <w:trPr>
          <w:cantSplit w:val="true"/>
        </w:trPr>
        <w:tc>
          <w:tcPr>
            <w:tcW w:type="dxa" w:w="2554"/>
          </w:tcPr>
          <w:p>
            <w:pPr>
              <w:spacing w:after="20" w:before="20" w:line="240" w:lineRule="auto"/>
              <w:jc w:val="left"/>
            </w:pPr>
            <w:r/>
            <w:r>
              <w:rPr>
                <w:sz w:val="16"/>
              </w:rPr>
              <w:t>Échantillon témoin aléatoire</w:t>
            </w:r>
          </w:p>
        </w:tc>
        <w:tc>
          <w:tcPr>
            <w:tcW w:type="dxa" w:w="1439"/>
          </w:tcPr>
          <w:p>
            <w:pPr>
              <w:spacing w:after="20" w:before="20" w:line="240" w:lineRule="auto"/>
              <w:jc w:val="left"/>
            </w:pPr>
            <w:r/>
            <w:r>
              <w:rPr>
                <w:sz w:val="16"/>
              </w:rPr>
              <w:t>3</w:t>
            </w:r>
          </w:p>
        </w:tc>
        <w:tc>
          <w:tcPr>
            <w:tcW w:type="dxa" w:w="1259"/>
          </w:tcPr>
          <w:p>
            <w:pPr>
              <w:spacing w:after="20" w:before="20" w:line="240" w:lineRule="auto"/>
              <w:jc w:val="left"/>
            </w:pPr>
            <w:r/>
            <w:r>
              <w:rPr>
                <w:sz w:val="16"/>
              </w:rPr>
              <w:t>0,9948</w:t>
            </w:r>
          </w:p>
        </w:tc>
        <w:tc>
          <w:tcPr>
            <w:tcW w:type="dxa" w:w="1259"/>
          </w:tcPr>
          <w:p>
            <w:pPr>
              <w:spacing w:after="20" w:before="20" w:line="240" w:lineRule="auto"/>
              <w:jc w:val="left"/>
            </w:pPr>
            <w:r/>
            <w:r>
              <w:rPr>
                <w:sz w:val="16"/>
              </w:rPr>
              <w:t>97,41 %</w:t>
            </w:r>
          </w:p>
        </w:tc>
        <w:tc>
          <w:tcPr>
            <w:tcW w:type="dxa" w:w="1439"/>
          </w:tcPr>
          <w:p>
            <w:pPr>
              <w:spacing w:after="20" w:before="20" w:line="240" w:lineRule="auto"/>
              <w:jc w:val="left"/>
            </w:pPr>
            <w:r/>
            <w:r>
              <w:rPr>
                <w:sz w:val="16"/>
              </w:rPr>
              <w:t>61</w:t>
            </w:r>
          </w:p>
        </w:tc>
        <w:tc>
          <w:tcPr>
            <w:tcW w:type="dxa" w:w="1439"/>
          </w:tcPr>
          <w:p>
            <w:pPr>
              <w:spacing w:after="20" w:before="20" w:line="240" w:lineRule="auto"/>
              <w:jc w:val="left"/>
            </w:pPr>
            <w:r/>
            <w:r>
              <w:rPr>
                <w:sz w:val="16"/>
              </w:rPr>
              <w:t>2</w:t>
            </w:r>
          </w:p>
        </w:tc>
      </w:tr>
      <w:tr>
        <w:trPr>
          <w:cantSplit w:val="true"/>
        </w:trPr>
        <w:tc>
          <w:tcPr>
            <w:tcW w:type="dxa" w:w="2554"/>
          </w:tcPr>
          <w:p>
            <w:pPr>
              <w:spacing w:after="20" w:before="20" w:line="240" w:lineRule="auto"/>
              <w:jc w:val="left"/>
            </w:pPr>
            <w:r/>
            <w:r>
              <w:rPr>
                <w:sz w:val="16"/>
              </w:rPr>
              <w:t>Cas incertains</w:t>
            </w:r>
          </w:p>
        </w:tc>
        <w:tc>
          <w:tcPr>
            <w:tcW w:type="dxa" w:w="1439"/>
          </w:tcPr>
          <w:p>
            <w:pPr>
              <w:spacing w:after="20" w:before="20" w:line="240" w:lineRule="auto"/>
              <w:jc w:val="left"/>
            </w:pPr>
            <w:r/>
            <w:r>
              <w:rPr>
                <w:sz w:val="16"/>
              </w:rPr>
              <w:t>1</w:t>
            </w:r>
          </w:p>
        </w:tc>
        <w:tc>
          <w:tcPr>
            <w:tcW w:type="dxa" w:w="1259"/>
          </w:tcPr>
          <w:p>
            <w:pPr>
              <w:spacing w:after="20" w:before="20" w:line="240" w:lineRule="auto"/>
              <w:jc w:val="left"/>
            </w:pPr>
            <w:r/>
            <w:r>
              <w:rPr>
                <w:sz w:val="16"/>
              </w:rPr>
              <w:t>0,9955</w:t>
            </w:r>
          </w:p>
        </w:tc>
        <w:tc>
          <w:tcPr>
            <w:tcW w:type="dxa" w:w="1259"/>
          </w:tcPr>
          <w:p>
            <w:pPr>
              <w:spacing w:after="20" w:before="20" w:line="240" w:lineRule="auto"/>
              <w:jc w:val="left"/>
            </w:pPr>
            <w:r/>
            <w:r>
              <w:rPr>
                <w:sz w:val="16"/>
              </w:rPr>
              <w:t>97,83 %</w:t>
            </w:r>
          </w:p>
        </w:tc>
        <w:tc>
          <w:tcPr>
            <w:tcW w:type="dxa" w:w="1439"/>
          </w:tcPr>
          <w:p>
            <w:pPr>
              <w:spacing w:after="20" w:before="20" w:line="240" w:lineRule="auto"/>
              <w:jc w:val="left"/>
            </w:pPr>
            <w:r/>
            <w:r>
              <w:rPr>
                <w:sz w:val="16"/>
              </w:rPr>
              <w:t>51</w:t>
            </w:r>
          </w:p>
        </w:tc>
        <w:tc>
          <w:tcPr>
            <w:tcW w:type="dxa" w:w="1439"/>
          </w:tcPr>
          <w:p>
            <w:pPr>
              <w:spacing w:after="20" w:before="20" w:line="240" w:lineRule="auto"/>
              <w:jc w:val="left"/>
            </w:pPr>
            <w:r/>
            <w:r>
              <w:rPr>
                <w:sz w:val="16"/>
              </w:rPr>
              <w:t>52</w:t>
            </w:r>
          </w:p>
        </w:tc>
      </w:tr>
      <w:tr>
        <w:trPr>
          <w:cantSplit w:val="true"/>
        </w:trPr>
        <w:tc>
          <w:tcPr>
            <w:tcW w:type="dxa" w:w="2554"/>
          </w:tcPr>
          <w:p>
            <w:pPr>
              <w:spacing w:after="20" w:before="20" w:line="240" w:lineRule="auto"/>
              <w:jc w:val="left"/>
            </w:pPr>
            <w:r/>
            <w:r>
              <w:rPr>
                <w:sz w:val="16"/>
              </w:rPr>
              <w:t>Cas incertains</w:t>
            </w:r>
          </w:p>
        </w:tc>
        <w:tc>
          <w:tcPr>
            <w:tcW w:type="dxa" w:w="1439"/>
          </w:tcPr>
          <w:p>
            <w:pPr>
              <w:spacing w:after="20" w:before="20" w:line="240" w:lineRule="auto"/>
              <w:jc w:val="left"/>
            </w:pPr>
            <w:r/>
            <w:r>
              <w:rPr>
                <w:sz w:val="16"/>
              </w:rPr>
              <w:t>3</w:t>
            </w:r>
          </w:p>
        </w:tc>
        <w:tc>
          <w:tcPr>
            <w:tcW w:type="dxa" w:w="1259"/>
          </w:tcPr>
          <w:p>
            <w:pPr>
              <w:spacing w:after="20" w:before="20" w:line="240" w:lineRule="auto"/>
              <w:jc w:val="left"/>
            </w:pPr>
            <w:r/>
            <w:r>
              <w:rPr>
                <w:sz w:val="16"/>
              </w:rPr>
              <w:t>0,9961</w:t>
            </w:r>
          </w:p>
        </w:tc>
        <w:tc>
          <w:tcPr>
            <w:tcW w:type="dxa" w:w="1259"/>
          </w:tcPr>
          <w:p>
            <w:pPr>
              <w:spacing w:after="20" w:before="20" w:line="240" w:lineRule="auto"/>
              <w:jc w:val="left"/>
            </w:pPr>
            <w:r/>
            <w:r>
              <w:rPr>
                <w:sz w:val="16"/>
              </w:rPr>
              <w:t>98,39 %</w:t>
            </w:r>
          </w:p>
        </w:tc>
        <w:tc>
          <w:tcPr>
            <w:tcW w:type="dxa" w:w="1439"/>
          </w:tcPr>
          <w:p>
            <w:pPr>
              <w:spacing w:after="20" w:before="20" w:line="240" w:lineRule="auto"/>
              <w:jc w:val="left"/>
            </w:pPr>
            <w:r/>
            <w:r>
              <w:rPr>
                <w:sz w:val="16"/>
              </w:rPr>
              <w:t>38</w:t>
            </w:r>
          </w:p>
        </w:tc>
        <w:tc>
          <w:tcPr>
            <w:tcW w:type="dxa" w:w="1439"/>
          </w:tcPr>
          <w:p>
            <w:pPr>
              <w:spacing w:after="20" w:before="20" w:line="240" w:lineRule="auto"/>
              <w:jc w:val="left"/>
            </w:pPr>
            <w:r/>
            <w:r>
              <w:rPr>
                <w:sz w:val="16"/>
              </w:rPr>
              <w:t>39</w:t>
            </w:r>
          </w:p>
        </w:tc>
      </w:tr>
      <w:tr>
        <w:trPr>
          <w:cantSplit w:val="true"/>
        </w:trPr>
        <w:tc>
          <w:tcPr>
            <w:tcW w:type="dxa" w:w="2554"/>
          </w:tcPr>
          <w:p>
            <w:pPr>
              <w:spacing w:after="20" w:before="20" w:line="240" w:lineRule="auto"/>
              <w:jc w:val="left"/>
            </w:pPr>
            <w:r/>
            <w:r>
              <w:rPr>
                <w:sz w:val="16"/>
              </w:rPr>
              <w:t>Incertains + témoin</w:t>
            </w:r>
          </w:p>
        </w:tc>
        <w:tc>
          <w:tcPr>
            <w:tcW w:type="dxa" w:w="1439"/>
          </w:tcPr>
          <w:p>
            <w:pPr>
              <w:spacing w:after="20" w:before="20" w:line="240" w:lineRule="auto"/>
              <w:jc w:val="left"/>
            </w:pPr>
            <w:r/>
            <w:r>
              <w:rPr>
                <w:sz w:val="16"/>
              </w:rPr>
              <w:t>3</w:t>
            </w:r>
          </w:p>
        </w:tc>
        <w:tc>
          <w:tcPr>
            <w:tcW w:type="dxa" w:w="1259"/>
          </w:tcPr>
          <w:p>
            <w:pPr>
              <w:spacing w:after="20" w:before="20" w:line="240" w:lineRule="auto"/>
              <w:jc w:val="left"/>
            </w:pPr>
            <w:r/>
            <w:r>
              <w:rPr>
                <w:sz w:val="16"/>
              </w:rPr>
              <w:t>0,9960</w:t>
            </w:r>
          </w:p>
        </w:tc>
        <w:tc>
          <w:tcPr>
            <w:tcW w:type="dxa" w:w="1259"/>
          </w:tcPr>
          <w:p>
            <w:pPr>
              <w:spacing w:after="20" w:before="20" w:line="240" w:lineRule="auto"/>
              <w:jc w:val="left"/>
            </w:pPr>
            <w:r/>
            <w:r>
              <w:rPr>
                <w:sz w:val="16"/>
              </w:rPr>
              <w:t>98,17 %</w:t>
            </w:r>
          </w:p>
        </w:tc>
        <w:tc>
          <w:tcPr>
            <w:tcW w:type="dxa" w:w="1439"/>
          </w:tcPr>
          <w:p>
            <w:pPr>
              <w:spacing w:after="20" w:before="20" w:line="240" w:lineRule="auto"/>
              <w:jc w:val="left"/>
            </w:pPr>
            <w:r/>
            <w:r>
              <w:rPr>
                <w:sz w:val="16"/>
              </w:rPr>
              <w:t>43</w:t>
            </w:r>
          </w:p>
        </w:tc>
        <w:tc>
          <w:tcPr>
            <w:tcW w:type="dxa" w:w="1439"/>
          </w:tcPr>
          <w:p>
            <w:pPr>
              <w:spacing w:after="20" w:before="20" w:line="240" w:lineRule="auto"/>
              <w:jc w:val="left"/>
            </w:pPr>
            <w:r/>
            <w:r>
              <w:rPr>
                <w:sz w:val="16"/>
              </w:rPr>
              <w:t>42</w:t>
            </w:r>
          </w:p>
        </w:tc>
      </w:tr>
    </w:tbl>
    <w:p>
      <w:pPr>
        <w:spacing w:after="120"/>
      </w:pPr>
    </w:p>
    <w:p>
      <w:pPr>
        <w:spacing w:before="0" w:after="120" w:line="360" w:lineRule="auto"/>
        <w:jc w:val="both"/>
      </w:pPr>
      <w:r>
        <w:rPr>
          <w:sz w:val="24"/>
        </w:rPr>
        <w:t xml:space="preserve">Ne revoir que les alertes laisse passer 73 fraudes. Faire revoir les cas où le modèle hésite en ramène 38 quand les verdicts sont pondérés, et 51 sans pondération : le poids de trois accordé aux verdicts vérifiés apporte donc un gain propre. L'échantillon témoin seul apprend peu (61 fraudes manquées), mais c'est la seule source qui </w:t>
      </w:r>
      <w:r>
        <w:rPr>
          <w:b/>
          <w:sz w:val="24"/>
        </w:rPr>
        <w:t>mesure</w:t>
      </w:r>
      <w:r>
        <w:rPr>
          <w:sz w:val="24"/>
        </w:rPr>
        <w:t xml:space="preserve"> le taux de fraudes manquées sans biais : son intervalle de confiance couvre le vrai taux dans 85 % des mois, et dans 100 % des mois pour la stratégie mixte. Mélanger incertitude et témoin garde l'essentiel du gain (43) tout en fournissant cette mesure.</w:t>
      </w:r>
    </w:p>
    <w:p>
      <w:pPr>
        <w:pStyle w:val="Titre4"/>
        <w:keepNext/>
        <w:numPr>
          <w:numId w:val="0"/>
        </w:numPr>
        <w:spacing w:before="200" w:after="120"/>
        <w:ind w:left="0" w:firstLine="0"/>
        <w:jc w:val="left"/>
      </w:pPr>
      <w:r>
        <w:rPr>
          <w:b/>
          <w:i/>
          <w:color w:val="000000"/>
          <w:sz w:val="25"/>
        </w:rPr>
        <w:t>2.14 Équité</w:t>
      </w:r>
    </w:p>
    <w:p>
      <w:pPr>
        <w:spacing w:before="0" w:after="120" w:line="360" w:lineRule="auto"/>
        <w:jc w:val="both"/>
      </w:pPr>
      <w:r>
        <w:rPr>
          <w:sz w:val="24"/>
        </w:rPr>
        <w:t>Le taux global de fausses alertes est de 0,58 % et le rappel de 99,92 %. Le rappel reste proche de 100 % dans tous les groupes ; les écarts portent sur les fausses alertes (tableau III.27).</w:t>
      </w:r>
    </w:p>
    <w:p>
      <w:pPr>
        <w:pStyle w:val="Légendetableau"/>
        <w:keepNext/>
        <w:spacing w:before="200" w:after="80"/>
        <w:jc w:val="center"/>
      </w:pPr>
      <w:r>
        <w:rPr>
          <w:b/>
          <w:sz w:val="20"/>
        </w:rPr>
        <w:t>Tableau III.27 — Groupes signalés pour un taux de fausses alertes significativement supérieur, et groupes de comparaison.</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1751"/>
        <w:gridCol w:w="2723"/>
        <w:gridCol w:w="3553"/>
        <w:gridCol w:w="1361"/>
      </w:tblGrid>
      <w:tr>
        <w:trPr>
          <w:tblHeader w:val="true"/>
        </w:trPr>
        <w:tc>
          <w:tcPr>
            <w:tcW w:type="dxa" w:w="1751"/>
            <w:shd w:val="clear" w:color="auto" w:fill="D9E2F3"/>
          </w:tcPr>
          <w:p>
            <w:pPr>
              <w:spacing w:after="20" w:before="20" w:line="240" w:lineRule="auto"/>
              <w:jc w:val="left"/>
            </w:pPr>
            <w:r/>
            <w:r>
              <w:rPr>
                <w:b/>
                <w:sz w:val="18"/>
              </w:rPr>
              <w:t>Dimension</w:t>
            </w:r>
          </w:p>
        </w:tc>
        <w:tc>
          <w:tcPr>
            <w:tcW w:type="dxa" w:w="2723"/>
            <w:shd w:val="clear" w:color="auto" w:fill="D9E2F3"/>
          </w:tcPr>
          <w:p>
            <w:pPr>
              <w:spacing w:after="20" w:before="20" w:line="240" w:lineRule="auto"/>
              <w:jc w:val="left"/>
            </w:pPr>
            <w:r/>
            <w:r>
              <w:rPr>
                <w:b/>
                <w:sz w:val="18"/>
              </w:rPr>
              <w:t>Groupe</w:t>
            </w:r>
          </w:p>
        </w:tc>
        <w:tc>
          <w:tcPr>
            <w:tcW w:type="dxa" w:w="3553"/>
            <w:shd w:val="clear" w:color="auto" w:fill="D9E2F3"/>
          </w:tcPr>
          <w:p>
            <w:pPr>
              <w:spacing w:after="20" w:before="20" w:line="240" w:lineRule="auto"/>
              <w:jc w:val="left"/>
            </w:pPr>
            <w:r/>
            <w:r>
              <w:rPr>
                <w:b/>
                <w:sz w:val="18"/>
              </w:rPr>
              <w:t>Taux de fausses alertes [IC 95 %]</w:t>
            </w:r>
          </w:p>
        </w:tc>
        <w:tc>
          <w:tcPr>
            <w:tcW w:type="dxa" w:w="1361"/>
            <w:shd w:val="clear" w:color="auto" w:fill="D9E2F3"/>
          </w:tcPr>
          <w:p>
            <w:pPr>
              <w:spacing w:after="20" w:before="20" w:line="240" w:lineRule="auto"/>
              <w:jc w:val="left"/>
            </w:pPr>
            <w:r/>
            <w:r>
              <w:rPr>
                <w:b/>
                <w:sz w:val="18"/>
              </w:rPr>
              <w:t>Rapport au taux global</w:t>
            </w:r>
          </w:p>
        </w:tc>
      </w:tr>
      <w:tr>
        <w:trPr>
          <w:cantSplit w:val="true"/>
        </w:trPr>
        <w:tc>
          <w:tcPr>
            <w:tcW w:type="dxa" w:w="1751"/>
          </w:tcPr>
          <w:p>
            <w:pPr>
              <w:spacing w:after="20" w:before="20" w:line="240" w:lineRule="auto"/>
              <w:jc w:val="left"/>
            </w:pPr>
            <w:r/>
            <w:r>
              <w:rPr>
                <w:sz w:val="18"/>
              </w:rPr>
              <w:t>Tranche de revenu</w:t>
            </w:r>
          </w:p>
        </w:tc>
        <w:tc>
          <w:tcPr>
            <w:tcW w:type="dxa" w:w="2723"/>
          </w:tcPr>
          <w:p>
            <w:pPr>
              <w:spacing w:after="20" w:before="20" w:line="240" w:lineRule="auto"/>
              <w:jc w:val="left"/>
            </w:pPr>
            <w:r/>
            <w:r>
              <w:rPr>
                <w:sz w:val="18"/>
              </w:rPr>
              <w:t>Q1 (plus modestes)</w:t>
            </w:r>
          </w:p>
        </w:tc>
        <w:tc>
          <w:tcPr>
            <w:tcW w:type="dxa" w:w="3553"/>
          </w:tcPr>
          <w:p>
            <w:pPr>
              <w:spacing w:after="20" w:before="20" w:line="240" w:lineRule="auto"/>
              <w:jc w:val="left"/>
            </w:pPr>
            <w:r/>
            <w:r>
              <w:rPr>
                <w:sz w:val="18"/>
              </w:rPr>
              <w:t>0,84 % [0,76 ; 0,93]</w:t>
            </w:r>
          </w:p>
        </w:tc>
        <w:tc>
          <w:tcPr>
            <w:tcW w:type="dxa" w:w="1361"/>
          </w:tcPr>
          <w:p>
            <w:pPr>
              <w:spacing w:after="20" w:before="20" w:line="240" w:lineRule="auto"/>
              <w:jc w:val="left"/>
            </w:pPr>
            <w:r/>
            <w:r>
              <w:rPr>
                <w:sz w:val="18"/>
              </w:rPr>
              <w:t>1,45</w:t>
            </w:r>
          </w:p>
        </w:tc>
      </w:tr>
      <w:tr>
        <w:trPr>
          <w:cantSplit w:val="true"/>
        </w:trPr>
        <w:tc>
          <w:tcPr>
            <w:tcW w:type="dxa" w:w="1751"/>
          </w:tcPr>
          <w:p>
            <w:pPr>
              <w:spacing w:after="20" w:before="20" w:line="240" w:lineRule="auto"/>
              <w:jc w:val="left"/>
            </w:pPr>
            <w:r/>
            <w:r>
              <w:rPr>
                <w:sz w:val="18"/>
              </w:rPr>
              <w:t>Tranche de revenu</w:t>
            </w:r>
          </w:p>
        </w:tc>
        <w:tc>
          <w:tcPr>
            <w:tcW w:type="dxa" w:w="2723"/>
          </w:tcPr>
          <w:p>
            <w:pPr>
              <w:spacing w:after="20" w:before="20" w:line="240" w:lineRule="auto"/>
              <w:jc w:val="left"/>
            </w:pPr>
            <w:r/>
            <w:r>
              <w:rPr>
                <w:sz w:val="18"/>
              </w:rPr>
              <w:t>Q4 (plus aisés)</w:t>
            </w:r>
          </w:p>
        </w:tc>
        <w:tc>
          <w:tcPr>
            <w:tcW w:type="dxa" w:w="3553"/>
          </w:tcPr>
          <w:p>
            <w:pPr>
              <w:spacing w:after="20" w:before="20" w:line="240" w:lineRule="auto"/>
              <w:jc w:val="left"/>
            </w:pPr>
            <w:r/>
            <w:r>
              <w:rPr>
                <w:sz w:val="18"/>
              </w:rPr>
              <w:t>0,37 % [0,32 ; 0,43]</w:t>
            </w:r>
          </w:p>
        </w:tc>
        <w:tc>
          <w:tcPr>
            <w:tcW w:type="dxa" w:w="1361"/>
          </w:tcPr>
          <w:p>
            <w:pPr>
              <w:spacing w:after="20" w:before="20" w:line="240" w:lineRule="auto"/>
              <w:jc w:val="left"/>
            </w:pPr>
            <w:r/>
            <w:r>
              <w:rPr>
                <w:sz w:val="18"/>
              </w:rPr>
              <w:t>0,63</w:t>
            </w:r>
          </w:p>
        </w:tc>
      </w:tr>
      <w:tr>
        <w:trPr>
          <w:cantSplit w:val="true"/>
        </w:trPr>
        <w:tc>
          <w:tcPr>
            <w:tcW w:type="dxa" w:w="1751"/>
          </w:tcPr>
          <w:p>
            <w:pPr>
              <w:spacing w:after="20" w:before="20" w:line="240" w:lineRule="auto"/>
              <w:jc w:val="left"/>
            </w:pPr>
            <w:r/>
            <w:r>
              <w:rPr>
                <w:sz w:val="18"/>
              </w:rPr>
              <w:t>Segment</w:t>
            </w:r>
          </w:p>
        </w:tc>
        <w:tc>
          <w:tcPr>
            <w:tcW w:type="dxa" w:w="2723"/>
          </w:tcPr>
          <w:p>
            <w:pPr>
              <w:spacing w:after="20" w:before="20" w:line="240" w:lineRule="auto"/>
              <w:jc w:val="left"/>
            </w:pPr>
            <w:r/>
            <w:r>
              <w:rPr>
                <w:sz w:val="18"/>
              </w:rPr>
              <w:t>Agriculteur</w:t>
            </w:r>
          </w:p>
        </w:tc>
        <w:tc>
          <w:tcPr>
            <w:tcW w:type="dxa" w:w="3553"/>
          </w:tcPr>
          <w:p>
            <w:pPr>
              <w:spacing w:after="20" w:before="20" w:line="240" w:lineRule="auto"/>
              <w:jc w:val="left"/>
            </w:pPr>
            <w:r/>
            <w:r>
              <w:rPr>
                <w:sz w:val="18"/>
              </w:rPr>
              <w:t>1,09 % [0,86 ; 1,37]</w:t>
            </w:r>
          </w:p>
        </w:tc>
        <w:tc>
          <w:tcPr>
            <w:tcW w:type="dxa" w:w="1361"/>
          </w:tcPr>
          <w:p>
            <w:pPr>
              <w:spacing w:after="20" w:before="20" w:line="240" w:lineRule="auto"/>
              <w:jc w:val="left"/>
            </w:pPr>
            <w:r/>
            <w:r>
              <w:rPr>
                <w:sz w:val="18"/>
              </w:rPr>
              <w:t>1,87</w:t>
            </w:r>
          </w:p>
        </w:tc>
      </w:tr>
      <w:tr>
        <w:trPr>
          <w:cantSplit w:val="true"/>
        </w:trPr>
        <w:tc>
          <w:tcPr>
            <w:tcW w:type="dxa" w:w="1751"/>
          </w:tcPr>
          <w:p>
            <w:pPr>
              <w:spacing w:after="20" w:before="20" w:line="240" w:lineRule="auto"/>
              <w:jc w:val="left"/>
            </w:pPr>
            <w:r/>
            <w:r>
              <w:rPr>
                <w:sz w:val="18"/>
              </w:rPr>
              <w:t>Segment</w:t>
            </w:r>
          </w:p>
        </w:tc>
        <w:tc>
          <w:tcPr>
            <w:tcW w:type="dxa" w:w="2723"/>
          </w:tcPr>
          <w:p>
            <w:pPr>
              <w:spacing w:after="20" w:before="20" w:line="240" w:lineRule="auto"/>
              <w:jc w:val="left"/>
            </w:pPr>
            <w:r/>
            <w:r>
              <w:rPr>
                <w:sz w:val="18"/>
              </w:rPr>
              <w:t>Étudiant</w:t>
            </w:r>
          </w:p>
        </w:tc>
        <w:tc>
          <w:tcPr>
            <w:tcW w:type="dxa" w:w="3553"/>
          </w:tcPr>
          <w:p>
            <w:pPr>
              <w:spacing w:after="20" w:before="20" w:line="240" w:lineRule="auto"/>
              <w:jc w:val="left"/>
            </w:pPr>
            <w:r/>
            <w:r>
              <w:rPr>
                <w:sz w:val="18"/>
              </w:rPr>
              <w:t>0,88 % [0,75 ; 1,03]</w:t>
            </w:r>
          </w:p>
        </w:tc>
        <w:tc>
          <w:tcPr>
            <w:tcW w:type="dxa" w:w="1361"/>
          </w:tcPr>
          <w:p>
            <w:pPr>
              <w:spacing w:after="20" w:before="20" w:line="240" w:lineRule="auto"/>
              <w:jc w:val="left"/>
            </w:pPr>
            <w:r/>
            <w:r>
              <w:rPr>
                <w:sz w:val="18"/>
              </w:rPr>
              <w:t>1,52</w:t>
            </w:r>
          </w:p>
        </w:tc>
      </w:tr>
      <w:tr>
        <w:trPr>
          <w:cantSplit w:val="true"/>
        </w:trPr>
        <w:tc>
          <w:tcPr>
            <w:tcW w:type="dxa" w:w="1751"/>
          </w:tcPr>
          <w:p>
            <w:pPr>
              <w:spacing w:after="20" w:before="20" w:line="240" w:lineRule="auto"/>
              <w:jc w:val="left"/>
            </w:pPr>
            <w:r/>
            <w:r>
              <w:rPr>
                <w:sz w:val="18"/>
              </w:rPr>
              <w:t>Segment</w:t>
            </w:r>
          </w:p>
        </w:tc>
        <w:tc>
          <w:tcPr>
            <w:tcW w:type="dxa" w:w="2723"/>
          </w:tcPr>
          <w:p>
            <w:pPr>
              <w:spacing w:after="20" w:before="20" w:line="240" w:lineRule="auto"/>
              <w:jc w:val="left"/>
            </w:pPr>
            <w:r/>
            <w:r>
              <w:rPr>
                <w:sz w:val="18"/>
              </w:rPr>
              <w:t>Commerçant</w:t>
            </w:r>
          </w:p>
        </w:tc>
        <w:tc>
          <w:tcPr>
            <w:tcW w:type="dxa" w:w="3553"/>
          </w:tcPr>
          <w:p>
            <w:pPr>
              <w:spacing w:after="20" w:before="20" w:line="240" w:lineRule="auto"/>
              <w:jc w:val="left"/>
            </w:pPr>
            <w:r/>
            <w:r>
              <w:rPr>
                <w:sz w:val="18"/>
              </w:rPr>
              <w:t>0,33 % [0,29 ; 0,38]</w:t>
            </w:r>
          </w:p>
        </w:tc>
        <w:tc>
          <w:tcPr>
            <w:tcW w:type="dxa" w:w="1361"/>
          </w:tcPr>
          <w:p>
            <w:pPr>
              <w:spacing w:after="20" w:before="20" w:line="240" w:lineRule="auto"/>
              <w:jc w:val="left"/>
            </w:pPr>
            <w:r/>
            <w:r>
              <w:rPr>
                <w:sz w:val="18"/>
              </w:rPr>
              <w:t>0,57</w:t>
            </w:r>
          </w:p>
        </w:tc>
      </w:tr>
      <w:tr>
        <w:trPr>
          <w:cantSplit w:val="true"/>
        </w:trPr>
        <w:tc>
          <w:tcPr>
            <w:tcW w:type="dxa" w:w="1751"/>
          </w:tcPr>
          <w:p>
            <w:pPr>
              <w:spacing w:after="20" w:before="20" w:line="240" w:lineRule="auto"/>
              <w:jc w:val="left"/>
            </w:pPr>
            <w:r/>
            <w:r>
              <w:rPr>
                <w:sz w:val="18"/>
              </w:rPr>
              <w:t>Mode d'accès</w:t>
            </w:r>
          </w:p>
        </w:tc>
        <w:tc>
          <w:tcPr>
            <w:tcW w:type="dxa" w:w="2723"/>
          </w:tcPr>
          <w:p>
            <w:pPr>
              <w:spacing w:after="20" w:before="20" w:line="240" w:lineRule="auto"/>
              <w:jc w:val="left"/>
            </w:pPr>
            <w:r/>
            <w:r>
              <w:rPr>
                <w:sz w:val="18"/>
              </w:rPr>
              <w:t>USSD</w:t>
            </w:r>
          </w:p>
        </w:tc>
        <w:tc>
          <w:tcPr>
            <w:tcW w:type="dxa" w:w="3553"/>
          </w:tcPr>
          <w:p>
            <w:pPr>
              <w:spacing w:after="20" w:before="20" w:line="240" w:lineRule="auto"/>
              <w:jc w:val="left"/>
            </w:pPr>
            <w:r/>
            <w:r>
              <w:rPr>
                <w:sz w:val="18"/>
              </w:rPr>
              <w:t>0,84 % [0,78 ; 0,91]</w:t>
            </w:r>
          </w:p>
        </w:tc>
        <w:tc>
          <w:tcPr>
            <w:tcW w:type="dxa" w:w="1361"/>
          </w:tcPr>
          <w:p>
            <w:pPr>
              <w:spacing w:after="20" w:before="20" w:line="240" w:lineRule="auto"/>
              <w:jc w:val="left"/>
            </w:pPr>
            <w:r/>
            <w:r>
              <w:rPr>
                <w:sz w:val="18"/>
              </w:rPr>
              <w:t>1,45</w:t>
            </w:r>
          </w:p>
        </w:tc>
      </w:tr>
      <w:tr>
        <w:trPr>
          <w:cantSplit w:val="true"/>
        </w:trPr>
        <w:tc>
          <w:tcPr>
            <w:tcW w:type="dxa" w:w="1751"/>
          </w:tcPr>
          <w:p>
            <w:pPr>
              <w:spacing w:after="20" w:before="20" w:line="240" w:lineRule="auto"/>
              <w:jc w:val="left"/>
            </w:pPr>
            <w:r/>
            <w:r>
              <w:rPr>
                <w:sz w:val="18"/>
              </w:rPr>
              <w:t>Mode d'accès</w:t>
            </w:r>
          </w:p>
        </w:tc>
        <w:tc>
          <w:tcPr>
            <w:tcW w:type="dxa" w:w="2723"/>
          </w:tcPr>
          <w:p>
            <w:pPr>
              <w:spacing w:after="20" w:before="20" w:line="240" w:lineRule="auto"/>
              <w:jc w:val="left"/>
            </w:pPr>
            <w:r/>
            <w:r>
              <w:rPr>
                <w:sz w:val="18"/>
              </w:rPr>
              <w:t>Application</w:t>
            </w:r>
          </w:p>
        </w:tc>
        <w:tc>
          <w:tcPr>
            <w:tcW w:type="dxa" w:w="3553"/>
          </w:tcPr>
          <w:p>
            <w:pPr>
              <w:spacing w:after="20" w:before="20" w:line="240" w:lineRule="auto"/>
              <w:jc w:val="left"/>
            </w:pPr>
            <w:r/>
            <w:r>
              <w:rPr>
                <w:sz w:val="18"/>
              </w:rPr>
              <w:t>0,78 % [0,71 ; 0,86]</w:t>
            </w:r>
          </w:p>
        </w:tc>
        <w:tc>
          <w:tcPr>
            <w:tcW w:type="dxa" w:w="1361"/>
          </w:tcPr>
          <w:p>
            <w:pPr>
              <w:spacing w:after="20" w:before="20" w:line="240" w:lineRule="auto"/>
              <w:jc w:val="left"/>
            </w:pPr>
            <w:r/>
            <w:r>
              <w:rPr>
                <w:sz w:val="18"/>
              </w:rPr>
              <w:t>1,35</w:t>
            </w:r>
          </w:p>
        </w:tc>
      </w:tr>
      <w:tr>
        <w:trPr>
          <w:cantSplit w:val="true"/>
        </w:trPr>
        <w:tc>
          <w:tcPr>
            <w:tcW w:type="dxa" w:w="1751"/>
          </w:tcPr>
          <w:p>
            <w:pPr>
              <w:spacing w:after="20" w:before="20" w:line="240" w:lineRule="auto"/>
              <w:jc w:val="left"/>
            </w:pPr>
            <w:r/>
            <w:r>
              <w:rPr>
                <w:sz w:val="18"/>
              </w:rPr>
              <w:t>Mode d'accès</w:t>
            </w:r>
          </w:p>
        </w:tc>
        <w:tc>
          <w:tcPr>
            <w:tcW w:type="dxa" w:w="2723"/>
          </w:tcPr>
          <w:p>
            <w:pPr>
              <w:spacing w:after="20" w:before="20" w:line="240" w:lineRule="auto"/>
              <w:jc w:val="left"/>
            </w:pPr>
            <w:r/>
            <w:r>
              <w:rPr>
                <w:sz w:val="18"/>
              </w:rPr>
              <w:t>Agent</w:t>
            </w:r>
          </w:p>
        </w:tc>
        <w:tc>
          <w:tcPr>
            <w:tcW w:type="dxa" w:w="3553"/>
          </w:tcPr>
          <w:p>
            <w:pPr>
              <w:spacing w:after="20" w:before="20" w:line="240" w:lineRule="auto"/>
              <w:jc w:val="left"/>
            </w:pPr>
            <w:r/>
            <w:r>
              <w:rPr>
                <w:sz w:val="18"/>
              </w:rPr>
              <w:t>0,03 % [0,02 ; 0,04]</w:t>
            </w:r>
          </w:p>
        </w:tc>
        <w:tc>
          <w:tcPr>
            <w:tcW w:type="dxa" w:w="1361"/>
          </w:tcPr>
          <w:p>
            <w:pPr>
              <w:spacing w:after="20" w:before="20" w:line="240" w:lineRule="auto"/>
              <w:jc w:val="left"/>
            </w:pPr>
            <w:r/>
            <w:r>
              <w:rPr>
                <w:sz w:val="18"/>
              </w:rPr>
              <w:t>0,04</w:t>
            </w:r>
          </w:p>
        </w:tc>
      </w:tr>
      <w:tr>
        <w:trPr>
          <w:cantSplit w:val="true"/>
        </w:trPr>
        <w:tc>
          <w:tcPr>
            <w:tcW w:type="dxa" w:w="1751"/>
          </w:tcPr>
          <w:p>
            <w:pPr>
              <w:spacing w:after="20" w:before="20" w:line="240" w:lineRule="auto"/>
              <w:jc w:val="left"/>
            </w:pPr>
            <w:r/>
            <w:r>
              <w:rPr>
                <w:sz w:val="18"/>
              </w:rPr>
              <w:t>Niveau KYC</w:t>
            </w:r>
          </w:p>
        </w:tc>
        <w:tc>
          <w:tcPr>
            <w:tcW w:type="dxa" w:w="2723"/>
          </w:tcPr>
          <w:p>
            <w:pPr>
              <w:spacing w:after="20" w:before="20" w:line="240" w:lineRule="auto"/>
              <w:jc w:val="left"/>
            </w:pPr>
            <w:r/>
            <w:r>
              <w:rPr>
                <w:sz w:val="18"/>
              </w:rPr>
              <w:t>KYC 1</w:t>
            </w:r>
          </w:p>
        </w:tc>
        <w:tc>
          <w:tcPr>
            <w:tcW w:type="dxa" w:w="3553"/>
          </w:tcPr>
          <w:p>
            <w:pPr>
              <w:spacing w:after="20" w:before="20" w:line="240" w:lineRule="auto"/>
              <w:jc w:val="left"/>
            </w:pPr>
            <w:r/>
            <w:r>
              <w:rPr>
                <w:sz w:val="18"/>
              </w:rPr>
              <w:t>0,73 % [0,66 ; 0,80]</w:t>
            </w:r>
          </w:p>
        </w:tc>
        <w:tc>
          <w:tcPr>
            <w:tcW w:type="dxa" w:w="1361"/>
          </w:tcPr>
          <w:p>
            <w:pPr>
              <w:spacing w:after="20" w:before="20" w:line="240" w:lineRule="auto"/>
              <w:jc w:val="left"/>
            </w:pPr>
            <w:r/>
            <w:r>
              <w:rPr>
                <w:sz w:val="18"/>
              </w:rPr>
              <w:t>1,26</w:t>
            </w:r>
          </w:p>
        </w:tc>
      </w:tr>
      <w:tr>
        <w:trPr>
          <w:cantSplit w:val="true"/>
        </w:trPr>
        <w:tc>
          <w:tcPr>
            <w:tcW w:type="dxa" w:w="1751"/>
          </w:tcPr>
          <w:p>
            <w:pPr>
              <w:spacing w:after="20" w:before="20" w:line="240" w:lineRule="auto"/>
              <w:jc w:val="left"/>
            </w:pPr>
            <w:r/>
            <w:r>
              <w:rPr>
                <w:sz w:val="18"/>
              </w:rPr>
              <w:t>Province</w:t>
            </w:r>
          </w:p>
        </w:tc>
        <w:tc>
          <w:tcPr>
            <w:tcW w:type="dxa" w:w="2723"/>
          </w:tcPr>
          <w:p>
            <w:pPr>
              <w:spacing w:after="20" w:before="20" w:line="240" w:lineRule="auto"/>
              <w:jc w:val="left"/>
            </w:pPr>
            <w:r/>
            <w:r>
              <w:rPr>
                <w:sz w:val="18"/>
              </w:rPr>
              <w:t>Kasaï-Oriental</w:t>
            </w:r>
          </w:p>
        </w:tc>
        <w:tc>
          <w:tcPr>
            <w:tcW w:type="dxa" w:w="3553"/>
          </w:tcPr>
          <w:p>
            <w:pPr>
              <w:spacing w:after="20" w:before="20" w:line="240" w:lineRule="auto"/>
              <w:jc w:val="left"/>
            </w:pPr>
            <w:r/>
            <w:r>
              <w:rPr>
                <w:sz w:val="18"/>
              </w:rPr>
              <w:t>0,78 % [0,62 ; 0,98]</w:t>
            </w:r>
          </w:p>
        </w:tc>
        <w:tc>
          <w:tcPr>
            <w:tcW w:type="dxa" w:w="1361"/>
          </w:tcPr>
          <w:p>
            <w:pPr>
              <w:spacing w:after="20" w:before="20" w:line="240" w:lineRule="auto"/>
              <w:jc w:val="left"/>
            </w:pPr>
            <w:r/>
            <w:r>
              <w:rPr>
                <w:sz w:val="18"/>
              </w:rPr>
              <w:t>1,35</w:t>
            </w:r>
          </w:p>
        </w:tc>
      </w:tr>
      <w:tr>
        <w:trPr>
          <w:cantSplit w:val="true"/>
        </w:trPr>
        <w:tc>
          <w:tcPr>
            <w:tcW w:type="dxa" w:w="1751"/>
          </w:tcPr>
          <w:p>
            <w:pPr>
              <w:spacing w:after="20" w:before="20" w:line="240" w:lineRule="auto"/>
              <w:jc w:val="left"/>
            </w:pPr>
            <w:r/>
            <w:r>
              <w:rPr>
                <w:sz w:val="18"/>
              </w:rPr>
              <w:t>Province</w:t>
            </w:r>
          </w:p>
        </w:tc>
        <w:tc>
          <w:tcPr>
            <w:tcW w:type="dxa" w:w="2723"/>
          </w:tcPr>
          <w:p>
            <w:pPr>
              <w:spacing w:after="20" w:before="20" w:line="240" w:lineRule="auto"/>
              <w:jc w:val="left"/>
            </w:pPr>
            <w:r/>
            <w:r>
              <w:rPr>
                <w:sz w:val="18"/>
              </w:rPr>
              <w:t>Ituri</w:t>
            </w:r>
          </w:p>
        </w:tc>
        <w:tc>
          <w:tcPr>
            <w:tcW w:type="dxa" w:w="3553"/>
          </w:tcPr>
          <w:p>
            <w:pPr>
              <w:spacing w:after="20" w:before="20" w:line="240" w:lineRule="auto"/>
              <w:jc w:val="left"/>
            </w:pPr>
            <w:r/>
            <w:r>
              <w:rPr>
                <w:sz w:val="18"/>
              </w:rPr>
              <w:t>0,78 % [0,59 ; 1,02]</w:t>
            </w:r>
          </w:p>
        </w:tc>
        <w:tc>
          <w:tcPr>
            <w:tcW w:type="dxa" w:w="1361"/>
          </w:tcPr>
          <w:p>
            <w:pPr>
              <w:spacing w:after="20" w:before="20" w:line="240" w:lineRule="auto"/>
              <w:jc w:val="left"/>
            </w:pPr>
            <w:r/>
            <w:r>
              <w:rPr>
                <w:sz w:val="18"/>
              </w:rPr>
              <w:t>1,34</w:t>
            </w:r>
          </w:p>
        </w:tc>
      </w:tr>
      <w:tr>
        <w:trPr>
          <w:cantSplit w:val="true"/>
        </w:trPr>
        <w:tc>
          <w:tcPr>
            <w:tcW w:type="dxa" w:w="1751"/>
          </w:tcPr>
          <w:p>
            <w:pPr>
              <w:spacing w:after="20" w:before="20" w:line="240" w:lineRule="auto"/>
              <w:jc w:val="left"/>
            </w:pPr>
            <w:r/>
            <w:r>
              <w:rPr>
                <w:sz w:val="18"/>
              </w:rPr>
              <w:t>Province</w:t>
            </w:r>
          </w:p>
        </w:tc>
        <w:tc>
          <w:tcPr>
            <w:tcW w:type="dxa" w:w="2723"/>
          </w:tcPr>
          <w:p>
            <w:pPr>
              <w:spacing w:after="20" w:before="20" w:line="240" w:lineRule="auto"/>
              <w:jc w:val="left"/>
            </w:pPr>
            <w:r/>
            <w:r>
              <w:rPr>
                <w:sz w:val="18"/>
              </w:rPr>
              <w:t>Kongo-Central</w:t>
            </w:r>
          </w:p>
        </w:tc>
        <w:tc>
          <w:tcPr>
            <w:tcW w:type="dxa" w:w="3553"/>
          </w:tcPr>
          <w:p>
            <w:pPr>
              <w:spacing w:after="20" w:before="20" w:line="240" w:lineRule="auto"/>
              <w:jc w:val="left"/>
            </w:pPr>
            <w:r/>
            <w:r>
              <w:rPr>
                <w:sz w:val="18"/>
              </w:rPr>
              <w:t>0,74 % [0,59 ; 0,94]</w:t>
            </w:r>
          </w:p>
        </w:tc>
        <w:tc>
          <w:tcPr>
            <w:tcW w:type="dxa" w:w="1361"/>
          </w:tcPr>
          <w:p>
            <w:pPr>
              <w:spacing w:after="20" w:before="20" w:line="240" w:lineRule="auto"/>
              <w:jc w:val="left"/>
            </w:pPr>
            <w:r/>
            <w:r>
              <w:rPr>
                <w:sz w:val="18"/>
              </w:rPr>
              <w:t>1,29</w:t>
            </w:r>
          </w:p>
        </w:tc>
      </w:tr>
    </w:tbl>
    <w:p>
      <w:pPr>
        <w:spacing w:after="120"/>
      </w:pPr>
    </w:p>
    <w:p>
      <w:pPr>
        <w:spacing w:before="0" w:after="120" w:line="360" w:lineRule="auto"/>
        <w:jc w:val="both"/>
      </w:pPr>
      <w:r>
        <w:rPr>
          <w:sz w:val="24"/>
        </w:rPr>
        <w:t>Neuf groupes sont signalés. Les clients les plus modestes subissent 2,3 fois plus de fausses alertes que les plus aisés, les agriculteurs 3,3 fois plus que les commerçants. En revanche, l'opérateur (écart maximal de 1,13) et le type de téléphone (1,03) ne créent aucune inégalité. L'écart selon le mode d'accès est surtout structurel : la fraude est presque absente des opérations en agence.</w:t>
      </w:r>
    </w:p>
    <w:p>
      <w:pPr>
        <w:pStyle w:val="Titre4"/>
        <w:keepNext/>
        <w:numPr>
          <w:numId w:val="0"/>
        </w:numPr>
        <w:spacing w:before="200" w:after="120"/>
        <w:ind w:left="0" w:firstLine="0"/>
        <w:jc w:val="left"/>
      </w:pPr>
      <w:r>
        <w:rPr>
          <w:b/>
          <w:i/>
          <w:color w:val="000000"/>
          <w:sz w:val="25"/>
        </w:rPr>
        <w:t>2.15 Temps réel et diagnostic d'apprentissage</w:t>
      </w:r>
    </w:p>
    <w:p>
      <w:pPr>
        <w:spacing w:before="0" w:after="120" w:line="360" w:lineRule="auto"/>
        <w:jc w:val="both"/>
      </w:pPr>
      <w:r>
        <w:rPr>
          <w:b/>
          <w:sz w:val="24"/>
        </w:rPr>
        <w:t>Temps réel.</w:t>
      </w:r>
      <w:r>
        <w:rPr>
          <w:sz w:val="24"/>
        </w:rPr>
        <w:t xml:space="preserve"> Un rejeu de 19 165 opérations vers l'API d'intégration, à 15 opérations par seconde, donne une latence de bout en bout de </w:t>
      </w:r>
      <w:r>
        <w:rPr>
          <w:b/>
          <w:sz w:val="24"/>
        </w:rPr>
        <w:t>59,5 ms en médiane</w:t>
      </w:r>
      <w:r>
        <w:rPr>
          <w:sz w:val="24"/>
        </w:rPr>
        <w:t>, 104,4 ms au 95ᵉ centile et 299 ms au 99ᵉ (tableau III.28). Les 111 épisodes de fraude du rejeu sont tous détectés ; 100 % des épisodes sont stoppés dès la première opération, sauf l'ingénierie sociale (96,7 %, 40,71 USD passés sur 3 987,79 USD). Sur les 18 883 opérations légitimes, 67 (0,35 %) sont signalées et 5 bloquées. La médiane respecte l'objectif de 100 ms ; le 95ᵉ centile le touche, ce que l'ajout de copies du service de notation permet de réduire.</w:t>
      </w:r>
    </w:p>
    <w:p>
      <w:pPr>
        <w:pStyle w:val="Légendetableau"/>
        <w:keepNext/>
        <w:spacing w:before="200" w:after="80"/>
        <w:jc w:val="center"/>
      </w:pPr>
      <w:r>
        <w:rPr>
          <w:b/>
          <w:sz w:val="20"/>
        </w:rPr>
        <w:t>Tableau III.28 — Rejeu temps réel (19 165 opérations).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5509"/>
        <w:gridCol w:w="3880"/>
      </w:tblGrid>
      <w:tr>
        <w:trPr>
          <w:tblHeader w:val="true"/>
        </w:trPr>
        <w:tc>
          <w:tcPr>
            <w:tcW w:type="dxa" w:w="5509"/>
            <w:shd w:val="clear" w:color="auto" w:fill="D9E2F3"/>
          </w:tcPr>
          <w:p>
            <w:pPr>
              <w:spacing w:after="20" w:before="20" w:line="240" w:lineRule="auto"/>
              <w:jc w:val="left"/>
            </w:pPr>
            <w:r/>
            <w:r>
              <w:rPr>
                <w:b/>
                <w:sz w:val="20"/>
              </w:rPr>
              <w:t>Mesure</w:t>
            </w:r>
          </w:p>
        </w:tc>
        <w:tc>
          <w:tcPr>
            <w:tcW w:type="dxa" w:w="3880"/>
            <w:shd w:val="clear" w:color="auto" w:fill="D9E2F3"/>
          </w:tcPr>
          <w:p>
            <w:pPr>
              <w:spacing w:after="20" w:before="20" w:line="240" w:lineRule="auto"/>
              <w:jc w:val="left"/>
            </w:pPr>
            <w:r/>
            <w:r>
              <w:rPr>
                <w:b/>
                <w:sz w:val="20"/>
              </w:rPr>
              <w:t>Valeur</w:t>
            </w:r>
          </w:p>
        </w:tc>
      </w:tr>
      <w:tr>
        <w:trPr>
          <w:cantSplit w:val="true"/>
        </w:trPr>
        <w:tc>
          <w:tcPr>
            <w:tcW w:type="dxa" w:w="5509"/>
          </w:tcPr>
          <w:p>
            <w:pPr>
              <w:spacing w:after="20" w:before="20" w:line="240" w:lineRule="auto"/>
              <w:jc w:val="left"/>
            </w:pPr>
            <w:r/>
            <w:r>
              <w:rPr>
                <w:sz w:val="20"/>
              </w:rPr>
              <w:t>Latence médiane / 95ᵉ centile / 99ᵉ centile</w:t>
            </w:r>
          </w:p>
        </w:tc>
        <w:tc>
          <w:tcPr>
            <w:tcW w:type="dxa" w:w="3880"/>
          </w:tcPr>
          <w:p>
            <w:pPr>
              <w:spacing w:after="20" w:before="20" w:line="240" w:lineRule="auto"/>
              <w:jc w:val="left"/>
            </w:pPr>
            <w:r/>
            <w:r>
              <w:rPr>
                <w:sz w:val="20"/>
              </w:rPr>
              <w:t>59,5 ms / 104,4 ms / 299,2 ms</w:t>
            </w:r>
          </w:p>
        </w:tc>
      </w:tr>
      <w:tr>
        <w:trPr>
          <w:cantSplit w:val="true"/>
        </w:trPr>
        <w:tc>
          <w:tcPr>
            <w:tcW w:type="dxa" w:w="5509"/>
          </w:tcPr>
          <w:p>
            <w:pPr>
              <w:spacing w:after="20" w:before="20" w:line="240" w:lineRule="auto"/>
              <w:jc w:val="left"/>
            </w:pPr>
            <w:r/>
            <w:r>
              <w:rPr>
                <w:sz w:val="20"/>
              </w:rPr>
              <w:t>Épisodes de fraude détectés</w:t>
            </w:r>
          </w:p>
        </w:tc>
        <w:tc>
          <w:tcPr>
            <w:tcW w:type="dxa" w:w="3880"/>
          </w:tcPr>
          <w:p>
            <w:pPr>
              <w:spacing w:after="20" w:before="20" w:line="240" w:lineRule="auto"/>
              <w:jc w:val="left"/>
            </w:pPr>
            <w:r/>
            <w:r>
              <w:rPr>
                <w:sz w:val="20"/>
              </w:rPr>
              <w:t>111 sur 111</w:t>
            </w:r>
          </w:p>
        </w:tc>
      </w:tr>
      <w:tr>
        <w:trPr>
          <w:cantSplit w:val="true"/>
        </w:trPr>
        <w:tc>
          <w:tcPr>
            <w:tcW w:type="dxa" w:w="5509"/>
          </w:tcPr>
          <w:p>
            <w:pPr>
              <w:spacing w:after="20" w:before="20" w:line="240" w:lineRule="auto"/>
              <w:jc w:val="left"/>
            </w:pPr>
            <w:r/>
            <w:r>
              <w:rPr>
                <w:sz w:val="20"/>
              </w:rPr>
              <w:t>Épisodes stoppés dès la première opération</w:t>
            </w:r>
          </w:p>
        </w:tc>
        <w:tc>
          <w:tcPr>
            <w:tcW w:type="dxa" w:w="3880"/>
          </w:tcPr>
          <w:p>
            <w:pPr>
              <w:spacing w:after="20" w:before="20" w:line="240" w:lineRule="auto"/>
              <w:jc w:val="left"/>
            </w:pPr>
            <w:r/>
            <w:r>
              <w:rPr>
                <w:sz w:val="20"/>
              </w:rPr>
              <w:t>100 % (96,7 % pour l'ingénierie sociale)</w:t>
            </w:r>
          </w:p>
        </w:tc>
      </w:tr>
      <w:tr>
        <w:trPr>
          <w:cantSplit w:val="true"/>
        </w:trPr>
        <w:tc>
          <w:tcPr>
            <w:tcW w:type="dxa" w:w="5509"/>
          </w:tcPr>
          <w:p>
            <w:pPr>
              <w:spacing w:after="20" w:before="20" w:line="240" w:lineRule="auto"/>
              <w:jc w:val="left"/>
            </w:pPr>
            <w:r/>
            <w:r>
              <w:rPr>
                <w:sz w:val="20"/>
              </w:rPr>
              <w:t>Opérations légitimes signalées / bloquées</w:t>
            </w:r>
          </w:p>
        </w:tc>
        <w:tc>
          <w:tcPr>
            <w:tcW w:type="dxa" w:w="3880"/>
          </w:tcPr>
          <w:p>
            <w:pPr>
              <w:spacing w:after="20" w:before="20" w:line="240" w:lineRule="auto"/>
              <w:jc w:val="left"/>
            </w:pPr>
            <w:r/>
            <w:r>
              <w:rPr>
                <w:sz w:val="20"/>
              </w:rPr>
              <w:t>67 sur 18 883 (0,35 %) / 5</w:t>
            </w:r>
          </w:p>
        </w:tc>
      </w:tr>
    </w:tbl>
    <w:p>
      <w:pPr>
        <w:spacing w:after="120"/>
      </w:pPr>
    </w:p>
    <w:p>
      <w:pPr>
        <w:spacing w:before="0" w:after="120" w:line="360" w:lineRule="auto"/>
        <w:jc w:val="both"/>
      </w:pPr>
      <w:r>
        <w:rPr>
          <w:b/>
          <w:sz w:val="24"/>
        </w:rPr>
        <w:t>Apprentissage.</w:t>
      </w:r>
      <w:r>
        <w:rPr>
          <w:sz w:val="24"/>
        </w:rPr>
        <w:t xml:space="preserve"> Le diagnostic des courbes d'apprentissage (tableau III.29) conclut à un surapprentissage léger pour XGBoost et le LSTM, et à un entraînement sain pour l'autoencodeur. L'écart de perte d'XGBoost (437 %) est très élevé mais sans perte de performance (écart de PR-AUC de 0,006) : le modèle est très confiant sur ses données d'entraînement. Le blocage automatique du réentraînement ne s'applique que si la PR-AUC de validation est plus basse de plus de 0,05.</w:t>
      </w:r>
    </w:p>
    <w:p>
      <w:pPr>
        <w:pStyle w:val="Légendetableau"/>
        <w:keepNext/>
        <w:spacing w:before="200" w:after="80"/>
        <w:jc w:val="center"/>
      </w:pPr>
      <w:r>
        <w:rPr>
          <w:b/>
          <w:sz w:val="20"/>
        </w:rPr>
        <w:t>Tableau III.29 — Diagnostic d'apprentissage (entraînement de 403 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1935"/>
        <w:gridCol w:w="2212"/>
        <w:gridCol w:w="1232"/>
        <w:gridCol w:w="1935"/>
        <w:gridCol w:w="1382"/>
        <w:gridCol w:w="691"/>
      </w:tblGrid>
      <w:tr>
        <w:trPr>
          <w:tblHeader w:val="true"/>
        </w:trPr>
        <w:tc>
          <w:tcPr>
            <w:tcW w:type="dxa" w:w="1935"/>
            <w:shd w:val="clear" w:color="auto" w:fill="D9E2F3"/>
          </w:tcPr>
          <w:p>
            <w:pPr>
              <w:spacing w:after="20" w:before="20" w:line="240" w:lineRule="auto"/>
              <w:jc w:val="left"/>
            </w:pPr>
            <w:r/>
            <w:r>
              <w:rPr>
                <w:b/>
                <w:sz w:val="16"/>
              </w:rPr>
              <w:t>Branche</w:t>
            </w:r>
          </w:p>
        </w:tc>
        <w:tc>
          <w:tcPr>
            <w:tcW w:type="dxa" w:w="2212"/>
            <w:shd w:val="clear" w:color="auto" w:fill="D9E2F3"/>
          </w:tcPr>
          <w:p>
            <w:pPr>
              <w:spacing w:after="20" w:before="20" w:line="240" w:lineRule="auto"/>
              <w:jc w:val="left"/>
            </w:pPr>
            <w:r/>
            <w:r>
              <w:rPr>
                <w:b/>
                <w:sz w:val="16"/>
              </w:rPr>
              <w:t>Verdict</w:t>
            </w:r>
          </w:p>
        </w:tc>
        <w:tc>
          <w:tcPr>
            <w:tcW w:type="dxa" w:w="1232"/>
            <w:shd w:val="clear" w:color="auto" w:fill="D9E2F3"/>
          </w:tcPr>
          <w:p>
            <w:pPr>
              <w:spacing w:after="20" w:before="20" w:line="240" w:lineRule="auto"/>
              <w:jc w:val="left"/>
            </w:pPr>
            <w:r/>
            <w:r>
              <w:rPr>
                <w:b/>
                <w:sz w:val="16"/>
              </w:rPr>
              <w:t>Époque retenue</w:t>
            </w:r>
          </w:p>
        </w:tc>
        <w:tc>
          <w:tcPr>
            <w:tcW w:type="dxa" w:w="1935"/>
            <w:shd w:val="clear" w:color="auto" w:fill="D9E2F3"/>
          </w:tcPr>
          <w:p>
            <w:pPr>
              <w:spacing w:after="20" w:before="20" w:line="240" w:lineRule="auto"/>
              <w:jc w:val="left"/>
            </w:pPr>
            <w:r/>
            <w:r>
              <w:rPr>
                <w:b/>
                <w:sz w:val="16"/>
              </w:rPr>
              <w:t>Perte d'entraînement</w:t>
            </w:r>
          </w:p>
        </w:tc>
        <w:tc>
          <w:tcPr>
            <w:tcW w:type="dxa" w:w="1382"/>
            <w:shd w:val="clear" w:color="auto" w:fill="D9E2F3"/>
          </w:tcPr>
          <w:p>
            <w:pPr>
              <w:spacing w:after="20" w:before="20" w:line="240" w:lineRule="auto"/>
              <w:jc w:val="left"/>
            </w:pPr>
            <w:r/>
            <w:r>
              <w:rPr>
                <w:b/>
                <w:sz w:val="16"/>
              </w:rPr>
              <w:t>Perte de validation</w:t>
            </w:r>
          </w:p>
        </w:tc>
        <w:tc>
          <w:tcPr>
            <w:tcW w:type="dxa" w:w="691"/>
            <w:shd w:val="clear" w:color="auto" w:fill="D9E2F3"/>
          </w:tcPr>
          <w:p>
            <w:pPr>
              <w:spacing w:after="20" w:before="20" w:line="240" w:lineRule="auto"/>
              <w:jc w:val="left"/>
            </w:pPr>
            <w:r/>
            <w:r>
              <w:rPr>
                <w:b/>
                <w:sz w:val="16"/>
              </w:rPr>
              <w:t>Écart</w:t>
            </w:r>
          </w:p>
        </w:tc>
      </w:tr>
      <w:tr>
        <w:trPr>
          <w:cantSplit w:val="true"/>
        </w:trPr>
        <w:tc>
          <w:tcPr>
            <w:tcW w:type="dxa" w:w="1935"/>
          </w:tcPr>
          <w:p>
            <w:pPr>
              <w:spacing w:after="20" w:before="20" w:line="240" w:lineRule="auto"/>
              <w:jc w:val="left"/>
            </w:pPr>
            <w:r/>
            <w:r>
              <w:rPr>
                <w:sz w:val="16"/>
              </w:rPr>
              <w:t>XGBoost</w:t>
            </w:r>
          </w:p>
        </w:tc>
        <w:tc>
          <w:tcPr>
            <w:tcW w:type="dxa" w:w="2212"/>
          </w:tcPr>
          <w:p>
            <w:pPr>
              <w:spacing w:after="20" w:before="20" w:line="240" w:lineRule="auto"/>
              <w:jc w:val="left"/>
            </w:pPr>
            <w:r/>
            <w:r>
              <w:rPr>
                <w:sz w:val="16"/>
              </w:rPr>
              <w:t>surapprentissage léger</w:t>
            </w:r>
          </w:p>
        </w:tc>
        <w:tc>
          <w:tcPr>
            <w:tcW w:type="dxa" w:w="1232"/>
          </w:tcPr>
          <w:p>
            <w:pPr>
              <w:spacing w:after="20" w:before="20" w:line="240" w:lineRule="auto"/>
              <w:jc w:val="left"/>
            </w:pPr>
            <w:r/>
            <w:r>
              <w:rPr>
                <w:sz w:val="16"/>
              </w:rPr>
              <w:t>538 sur 588</w:t>
            </w:r>
          </w:p>
        </w:tc>
        <w:tc>
          <w:tcPr>
            <w:tcW w:type="dxa" w:w="1935"/>
          </w:tcPr>
          <w:p>
            <w:pPr>
              <w:spacing w:after="20" w:before="20" w:line="240" w:lineRule="auto"/>
              <w:jc w:val="left"/>
            </w:pPr>
            <w:r/>
            <w:r>
              <w:rPr>
                <w:sz w:val="16"/>
              </w:rPr>
              <w:t>0,00086</w:t>
            </w:r>
          </w:p>
        </w:tc>
        <w:tc>
          <w:tcPr>
            <w:tcW w:type="dxa" w:w="1382"/>
          </w:tcPr>
          <w:p>
            <w:pPr>
              <w:spacing w:after="20" w:before="20" w:line="240" w:lineRule="auto"/>
              <w:jc w:val="left"/>
            </w:pPr>
            <w:r/>
            <w:r>
              <w:rPr>
                <w:sz w:val="16"/>
              </w:rPr>
              <w:t>0,00462</w:t>
            </w:r>
          </w:p>
        </w:tc>
        <w:tc>
          <w:tcPr>
            <w:tcW w:type="dxa" w:w="691"/>
          </w:tcPr>
          <w:p>
            <w:pPr>
              <w:spacing w:after="20" w:before="20" w:line="240" w:lineRule="auto"/>
              <w:jc w:val="left"/>
            </w:pPr>
            <w:r/>
            <w:r>
              <w:rPr>
                <w:sz w:val="16"/>
              </w:rPr>
              <w:t>437 %</w:t>
            </w:r>
          </w:p>
        </w:tc>
      </w:tr>
      <w:tr>
        <w:trPr>
          <w:cantSplit w:val="true"/>
        </w:trPr>
        <w:tc>
          <w:tcPr>
            <w:tcW w:type="dxa" w:w="1935"/>
          </w:tcPr>
          <w:p>
            <w:pPr>
              <w:spacing w:after="20" w:before="20" w:line="240" w:lineRule="auto"/>
              <w:jc w:val="left"/>
            </w:pPr>
            <w:r/>
            <w:r>
              <w:rPr>
                <w:sz w:val="16"/>
              </w:rPr>
              <w:t>LSTM-attention</w:t>
            </w:r>
          </w:p>
        </w:tc>
        <w:tc>
          <w:tcPr>
            <w:tcW w:type="dxa" w:w="2212"/>
          </w:tcPr>
          <w:p>
            <w:pPr>
              <w:spacing w:after="20" w:before="20" w:line="240" w:lineRule="auto"/>
              <w:jc w:val="left"/>
            </w:pPr>
            <w:r/>
            <w:r>
              <w:rPr>
                <w:sz w:val="16"/>
              </w:rPr>
              <w:t>surapprentissage léger</w:t>
            </w:r>
          </w:p>
        </w:tc>
        <w:tc>
          <w:tcPr>
            <w:tcW w:type="dxa" w:w="1232"/>
          </w:tcPr>
          <w:p>
            <w:pPr>
              <w:spacing w:after="20" w:before="20" w:line="240" w:lineRule="auto"/>
              <w:jc w:val="left"/>
            </w:pPr>
            <w:r/>
            <w:r>
              <w:rPr>
                <w:sz w:val="16"/>
              </w:rPr>
              <w:t>7 sur 8</w:t>
            </w:r>
          </w:p>
        </w:tc>
        <w:tc>
          <w:tcPr>
            <w:tcW w:type="dxa" w:w="1935"/>
          </w:tcPr>
          <w:p>
            <w:pPr>
              <w:spacing w:after="20" w:before="20" w:line="240" w:lineRule="auto"/>
              <w:jc w:val="left"/>
            </w:pPr>
            <w:r/>
            <w:r>
              <w:rPr>
                <w:sz w:val="16"/>
              </w:rPr>
              <w:t>0,00949</w:t>
            </w:r>
          </w:p>
        </w:tc>
        <w:tc>
          <w:tcPr>
            <w:tcW w:type="dxa" w:w="1382"/>
          </w:tcPr>
          <w:p>
            <w:pPr>
              <w:spacing w:after="20" w:before="20" w:line="240" w:lineRule="auto"/>
              <w:jc w:val="left"/>
            </w:pPr>
            <w:r/>
            <w:r>
              <w:rPr>
                <w:sz w:val="16"/>
              </w:rPr>
              <w:t>0,01223</w:t>
            </w:r>
          </w:p>
        </w:tc>
        <w:tc>
          <w:tcPr>
            <w:tcW w:type="dxa" w:w="691"/>
          </w:tcPr>
          <w:p>
            <w:pPr>
              <w:spacing w:after="20" w:before="20" w:line="240" w:lineRule="auto"/>
              <w:jc w:val="left"/>
            </w:pPr>
            <w:r/>
            <w:r>
              <w:rPr>
                <w:sz w:val="16"/>
              </w:rPr>
              <w:t>29 %</w:t>
            </w:r>
          </w:p>
        </w:tc>
      </w:tr>
      <w:tr>
        <w:trPr>
          <w:cantSplit w:val="true"/>
        </w:trPr>
        <w:tc>
          <w:tcPr>
            <w:tcW w:type="dxa" w:w="1935"/>
          </w:tcPr>
          <w:p>
            <w:pPr>
              <w:spacing w:after="20" w:before="20" w:line="240" w:lineRule="auto"/>
              <w:jc w:val="left"/>
            </w:pPr>
            <w:r/>
            <w:r>
              <w:rPr>
                <w:sz w:val="16"/>
              </w:rPr>
              <w:t>Autoencodeur</w:t>
            </w:r>
          </w:p>
        </w:tc>
        <w:tc>
          <w:tcPr>
            <w:tcW w:type="dxa" w:w="2212"/>
          </w:tcPr>
          <w:p>
            <w:pPr>
              <w:spacing w:after="20" w:before="20" w:line="240" w:lineRule="auto"/>
              <w:jc w:val="left"/>
            </w:pPr>
            <w:r/>
            <w:r>
              <w:rPr>
                <w:sz w:val="16"/>
              </w:rPr>
              <w:t>sain</w:t>
            </w:r>
          </w:p>
        </w:tc>
        <w:tc>
          <w:tcPr>
            <w:tcW w:type="dxa" w:w="1232"/>
          </w:tcPr>
          <w:p>
            <w:pPr>
              <w:spacing w:after="20" w:before="20" w:line="240" w:lineRule="auto"/>
              <w:jc w:val="left"/>
            </w:pPr>
            <w:r/>
            <w:r>
              <w:rPr>
                <w:sz w:val="16"/>
              </w:rPr>
              <w:t>30 sur 30</w:t>
            </w:r>
          </w:p>
        </w:tc>
        <w:tc>
          <w:tcPr>
            <w:tcW w:type="dxa" w:w="1935"/>
          </w:tcPr>
          <w:p>
            <w:pPr>
              <w:spacing w:after="20" w:before="20" w:line="240" w:lineRule="auto"/>
              <w:jc w:val="left"/>
            </w:pPr>
            <w:r/>
            <w:r>
              <w:rPr>
                <w:sz w:val="16"/>
              </w:rPr>
              <w:t>0,1994</w:t>
            </w:r>
          </w:p>
        </w:tc>
        <w:tc>
          <w:tcPr>
            <w:tcW w:type="dxa" w:w="1382"/>
          </w:tcPr>
          <w:p>
            <w:pPr>
              <w:spacing w:after="20" w:before="20" w:line="240" w:lineRule="auto"/>
              <w:jc w:val="left"/>
            </w:pPr>
            <w:r/>
            <w:r>
              <w:rPr>
                <w:sz w:val="16"/>
              </w:rPr>
              <w:t>0,2163</w:t>
            </w:r>
          </w:p>
        </w:tc>
        <w:tc>
          <w:tcPr>
            <w:tcW w:type="dxa" w:w="691"/>
          </w:tcPr>
          <w:p>
            <w:pPr>
              <w:spacing w:after="20" w:before="20" w:line="240" w:lineRule="auto"/>
              <w:jc w:val="left"/>
            </w:pPr>
            <w:r/>
            <w:r>
              <w:rPr>
                <w:sz w:val="16"/>
              </w:rPr>
              <w:t>8,5 %</w:t>
            </w:r>
          </w:p>
        </w:tc>
      </w:tr>
    </w:tbl>
    <w:p>
      <w:pPr>
        <w:spacing w:after="120"/>
      </w:pPr>
    </w:p>
    <w:p>
      <w:pPr>
        <w:spacing w:before="0" w:after="120" w:line="360" w:lineRule="auto"/>
        <w:jc w:val="both"/>
      </w:pPr>
      <w:r>
        <w:rPr>
          <w:b/>
          <w:sz w:val="24"/>
        </w:rPr>
        <w:t>Choix du seuil et calibration.</w:t>
      </w:r>
      <w:r>
        <w:rPr>
          <w:sz w:val="24"/>
        </w:rPr>
        <w:t xml:space="preserve"> Le seuil </w:t>
      </w:r>
      <m:oMath>
        <m:sSup>
          <m:e>
            <m:r>
              <m:t>τ</m:t>
            </m:r>
          </m:e>
          <m:sup>
            <m:r>
              <m:t>*</m:t>
            </m:r>
          </m:sup>
        </m:sSup>
        <m:r>
          <m:t>=0,538</m:t>
        </m:r>
      </m:oMath>
      <w:r>
        <w:rPr>
          <w:sz w:val="24"/>
        </w:rPr>
        <w:t xml:space="preserve"> choisi sur la validation tombe dans le </w:t>
      </w:r>
      <w:r>
        <w:rPr>
          <w:b/>
          <w:sz w:val="24"/>
        </w:rPr>
        <w:t>plateau</w:t>
      </w:r>
      <w:r>
        <w:rPr>
          <w:sz w:val="24"/>
        </w:rPr>
        <w:t xml:space="preserve"> du F1 sur le test : entre 0,45 et 0,75, le F1 varie de moins d'un point. Le choix du seuil est donc robuste (figure III.13).</w:t>
      </w:r>
    </w:p>
    <w:p>
      <w:pPr>
        <w:keepNext/>
        <w:spacing w:before="160" w:after="40"/>
        <w:jc w:val="center"/>
      </w:pPr>
      <w:r>
        <w:drawing>
          <wp:inline xmlns:a="http://schemas.openxmlformats.org/drawingml/2006/main" xmlns:pic="http://schemas.openxmlformats.org/drawingml/2006/picture">
            <wp:extent cx="5580000" cy="2976478"/>
            <wp:docPr id="54" name="Picture 54"/>
            <wp:cNvGraphicFramePr>
              <a:graphicFrameLocks noChangeAspect="1"/>
            </wp:cNvGraphicFramePr>
            <a:graphic>
              <a:graphicData uri="http://schemas.openxmlformats.org/drawingml/2006/picture">
                <pic:pic>
                  <pic:nvPicPr>
                    <pic:cNvPr id="0" name="fig_II_16_choix_seuil.png"/>
                    <pic:cNvPicPr/>
                  </pic:nvPicPr>
                  <pic:blipFill>
                    <a:blip r:embed="rId28"/>
                    <a:stretch>
                      <a:fillRect/>
                    </a:stretch>
                  </pic:blipFill>
                  <pic:spPr>
                    <a:xfrm>
                      <a:off x="0" y="0"/>
                      <a:ext cx="5580000" cy="2976478"/>
                    </a:xfrm>
                    <a:prstGeom prst="rect"/>
                  </pic:spPr>
                </pic:pic>
              </a:graphicData>
            </a:graphic>
          </wp:inline>
        </w:drawing>
      </w:r>
    </w:p>
    <w:p>
      <w:pPr>
        <w:pStyle w:val="Légendefigure"/>
        <w:spacing w:before="40" w:after="240"/>
        <w:jc w:val="center"/>
      </w:pPr>
      <w:r>
        <w:rPr>
          <w:i/>
          <w:sz w:val="20"/>
        </w:rPr>
        <w:t>Figure III.13 — Précision, rappel et F1 de l'hybride sur le test selon le seuil de décision.</w:t>
      </w:r>
    </w:p>
    <w:p>
      <w:pPr>
        <w:spacing w:before="0" w:after="120" w:line="360" w:lineRule="auto"/>
        <w:jc w:val="both"/>
      </w:pPr>
      <w:r>
        <w:rPr>
          <w:sz w:val="24"/>
        </w:rPr>
        <w:t xml:space="preserve">Les deux classes sont nettement séparées : sur 179 349 opérations notées sous 0,01, une seule est une fraude, et les 1 830 opérations notées au-dessus de 0,99 sont toutes des fraudes ; 419 opérations seulement (0,2 %) tombent dans la zone d'incertitude entre 0,2 et 0,8 (figure III.14). Le score de Brier est très faible (0,00077). Mais la courbe de calibration montre que, dans la zone intermédiaire, la probabilité prédite </w:t>
      </w:r>
      <w:r>
        <w:rPr>
          <w:b/>
          <w:sz w:val="24"/>
        </w:rPr>
        <w:t>surestime</w:t>
      </w:r>
      <w:r>
        <w:rPr>
          <w:sz w:val="24"/>
        </w:rPr>
        <w:t xml:space="preserve"> le taux réel : une opération notée 0,45 est frauduleuse dans environ 20 % des cas (figure III.15). Cette zone n'affecte pas la décision, qui repose sur un seuil, mais la valeur affichée à l'analyste ne doit pas y être lue comme une probabilité exacte. Cette surestimation est cohérente avec le sous-échantillonnage des légitimes à l'apprentissage du LSTM, qui fausse les probabilités sans changer le classement (Dal Pozzolo et al., 2015). Une recalibration par régression isotonique sur la validation est une amélioration possible.</w:t>
      </w:r>
    </w:p>
    <w:p>
      <w:pPr>
        <w:keepNext/>
        <w:spacing w:before="160" w:after="40"/>
        <w:jc w:val="center"/>
      </w:pPr>
      <w:r>
        <w:drawing>
          <wp:inline xmlns:a="http://schemas.openxmlformats.org/drawingml/2006/main" xmlns:pic="http://schemas.openxmlformats.org/drawingml/2006/picture">
            <wp:extent cx="5580000" cy="2965391"/>
            <wp:docPr id="55" name="Picture 55"/>
            <wp:cNvGraphicFramePr>
              <a:graphicFrameLocks noChangeAspect="1"/>
            </wp:cNvGraphicFramePr>
            <a:graphic>
              <a:graphicData uri="http://schemas.openxmlformats.org/drawingml/2006/picture">
                <pic:pic>
                  <pic:nvPicPr>
                    <pic:cNvPr id="0" name="fig_II_17_distribution_scores.png"/>
                    <pic:cNvPicPr/>
                  </pic:nvPicPr>
                  <pic:blipFill>
                    <a:blip r:embed="rId29"/>
                    <a:stretch>
                      <a:fillRect/>
                    </a:stretch>
                  </pic:blipFill>
                  <pic:spPr>
                    <a:xfrm>
                      <a:off x="0" y="0"/>
                      <a:ext cx="5580000" cy="2965391"/>
                    </a:xfrm>
                    <a:prstGeom prst="rect"/>
                  </pic:spPr>
                </pic:pic>
              </a:graphicData>
            </a:graphic>
          </wp:inline>
        </w:drawing>
      </w:r>
    </w:p>
    <w:p>
      <w:pPr>
        <w:pStyle w:val="Légendefigure"/>
        <w:spacing w:before="40" w:after="240"/>
        <w:jc w:val="center"/>
      </w:pPr>
      <w:r>
        <w:rPr>
          <w:i/>
          <w:sz w:val="20"/>
        </w:rPr>
        <w:t>Figure III.14 — Distribution de la probabilité de fraude donnée par l'hybride (échelle logarithmique).</w:t>
      </w:r>
    </w:p>
    <w:p>
      <w:pPr>
        <w:keepNext/>
        <w:spacing w:before="160" w:after="40"/>
        <w:jc w:val="center"/>
      </w:pPr>
      <w:r>
        <w:drawing>
          <wp:inline xmlns:a="http://schemas.openxmlformats.org/drawingml/2006/main" xmlns:pic="http://schemas.openxmlformats.org/drawingml/2006/picture">
            <wp:extent cx="5580000" cy="5069917"/>
            <wp:docPr id="56" name="Picture 56"/>
            <wp:cNvGraphicFramePr>
              <a:graphicFrameLocks noChangeAspect="1"/>
            </wp:cNvGraphicFramePr>
            <a:graphic>
              <a:graphicData uri="http://schemas.openxmlformats.org/drawingml/2006/picture">
                <pic:pic>
                  <pic:nvPicPr>
                    <pic:cNvPr id="0" name="fig_II_18_calibration.png"/>
                    <pic:cNvPicPr/>
                  </pic:nvPicPr>
                  <pic:blipFill>
                    <a:blip r:embed="rId30"/>
                    <a:stretch>
                      <a:fillRect/>
                    </a:stretch>
                  </pic:blipFill>
                  <pic:spPr>
                    <a:xfrm>
                      <a:off x="0" y="0"/>
                      <a:ext cx="5580000" cy="5069917"/>
                    </a:xfrm>
                    <a:prstGeom prst="rect"/>
                  </pic:spPr>
                </pic:pic>
              </a:graphicData>
            </a:graphic>
          </wp:inline>
        </w:drawing>
      </w:r>
    </w:p>
    <w:p>
      <w:pPr>
        <w:pStyle w:val="Légendefigure"/>
        <w:spacing w:before="40" w:after="240"/>
        <w:jc w:val="center"/>
      </w:pPr>
      <w:r>
        <w:rPr>
          <w:i/>
          <w:sz w:val="20"/>
        </w:rPr>
        <w:t>Figure III.15 — Courbe de calibration de l'hybride.</w:t>
      </w:r>
    </w:p>
    <w:p>
      <w:pPr>
        <w:pStyle w:val="Titre3"/>
        <w:keepNext/>
        <w:numPr>
          <w:numId w:val="0"/>
        </w:numPr>
        <w:spacing w:before="280" w:after="120"/>
        <w:ind w:left="0" w:firstLine="0"/>
        <w:jc w:val="left"/>
      </w:pPr>
      <w:r>
        <w:rPr>
          <w:b/>
          <w:color w:val="1F2A44"/>
          <w:sz w:val="28"/>
        </w:rPr>
        <w:t>3. Interprétation des résultats</w:t>
      </w:r>
    </w:p>
    <w:p>
      <w:pPr>
        <w:spacing w:before="0" w:after="120" w:line="360" w:lineRule="auto"/>
        <w:jc w:val="both"/>
      </w:pPr>
      <w:r>
        <w:rPr>
          <w:b/>
          <w:sz w:val="24"/>
        </w:rPr>
        <w:t>Pourquoi le profilage change tout.</w:t>
      </w:r>
      <w:r>
        <w:rPr>
          <w:sz w:val="24"/>
        </w:rPr>
        <w:t xml:space="preserve"> Sans l'historique du client, la PR-AUC chute de 0,989 à 0,753 et le rappel de l'ingénierie sociale de 0,856 à 0,137 (H1). Cela confirme le principe du travail : une fraude est une rupture d'habitude, et seul un modèle qui connaît l'habitude de chaque client peut la voir. Parmi les familles de variables, ce sont celles qui décrivent le contexte (appareil, lieu, destinataire) puis les montants qui portent le plus (H2) ; les horaires sont largement redondants avec elles.</w:t>
      </w:r>
    </w:p>
    <w:p>
      <w:pPr>
        <w:spacing w:before="0" w:after="120" w:line="360" w:lineRule="auto"/>
        <w:jc w:val="both"/>
      </w:pPr>
      <w:r>
        <w:rPr>
          <w:b/>
          <w:sz w:val="24"/>
        </w:rPr>
        <w:t>Pourquoi l'hybride l'emporte, et où.</w:t>
      </w:r>
      <w:r>
        <w:rPr>
          <w:sz w:val="24"/>
        </w:rPr>
        <w:t xml:space="preserve"> XGBoost et le LSTM obtiennent des performances très proches seuls (PR-AUC 0,9895 et 0,9894), mais leurs erreurs ne sont pas les mêmes : sur 179 opérations où l'hybride et XGBoost divergent, l'hybride a raison 156 fois. Le LSTM lit la dynamique (escalade, salves) que résume mal un profil instantané, ce qui explique le gain sur l'ingénierie sociale et le fractionnement. L'autoencodeur est mauvais seul (rappel de 0,3 % sur l'ingénierie sociale) parce qu'une fraude qui imite le normal n'est pas une anomalie ; mais, combiné aux deux autres, il réduit les fausses alertes et reste le seul signal de nouveauté. Le gain de l'hybride est modeste en PR-AUC (+0,006) mais important en erreurs (−42 % de fausses alertes, −45 % de fraudes manquées), et maximal quand le budget d'alertes est serré. Une PR-AUC proche de 1 masque donc des écarts opérationnels sensibles.</w:t>
      </w:r>
    </w:p>
    <w:p>
      <w:pPr>
        <w:spacing w:before="0" w:after="120" w:line="360" w:lineRule="auto"/>
        <w:jc w:val="both"/>
      </w:pPr>
      <w:r>
        <w:rPr>
          <w:b/>
          <w:sz w:val="24"/>
        </w:rPr>
        <w:t>Le modèle appris ne suffit pas.</w:t>
      </w:r>
      <w:r>
        <w:rPr>
          <w:sz w:val="24"/>
        </w:rPr>
        <w:t xml:space="preserve"> Trois résultats convergent. Face à une attaque inédite, le modèle de données ne détecte que 0,3 % des sessions relayées, les lois physiques 100 %. Face aux réseaux de mules, le modèle ne voit pas que le destinataire est partagé ; l'analyse de réseau rattrape 54 fraudes. Face à l'évolution des fraudes, un modèle figé perd 0,018 de PR-AUC entre 2022 et 2025 et ne retrouve plus que 42 % de l'ingénierie sociale en 2025, contre 97 % pour un modèle mis à jour. D'où l'architecture en défense en profondeur et l'apprentissage continu.</w:t>
      </w:r>
    </w:p>
    <w:p>
      <w:pPr>
        <w:spacing w:before="0" w:after="120" w:line="360" w:lineRule="auto"/>
        <w:jc w:val="both"/>
      </w:pPr>
      <w:r>
        <w:rPr>
          <w:b/>
          <w:sz w:val="24"/>
        </w:rPr>
        <w:t>La décision graduée vaut plus que le modèle.</w:t>
      </w:r>
      <w:r>
        <w:rPr>
          <w:sz w:val="24"/>
        </w:rPr>
        <w:t xml:space="preserve"> Le choix de la règle de décision compte autant que celui du modèle : avec le même modèle, la perte varie de 976 à 38 292 USD selon la politique. Bloquer ou vérifier selon le coût attendu divise la perte par plus de deux par rapport à un seuil unique, au prix de davantage de vérifications. C'est un résultat de conception, indépendant de la simulation, car il découle de l'asymétrie des coûts.</w:t>
      </w:r>
    </w:p>
    <w:p>
      <w:pPr>
        <w:spacing w:before="0" w:after="120" w:line="360" w:lineRule="auto"/>
        <w:jc w:val="both"/>
      </w:pPr>
      <w:r>
        <w:rPr>
          <w:b/>
          <w:sz w:val="24"/>
        </w:rPr>
        <w:t>Ce que le modèle laisse passer, et à qui il nuit.</w:t>
      </w:r>
      <w:r>
        <w:rPr>
          <w:sz w:val="24"/>
        </w:rPr>
        <w:t xml:space="preserve"> Le rappel de 97,8 % dissimule 54 fraudes manquées, que seules des revues ciblées permettent de corriger : l'apprentissage actif par cas incertains les réduit de 73 à 38. Quant à l'équité, le modèle n'est pas neutre : les clients modestes, les agriculteurs et les étudiants subissent plus de fausses alertes. Une partie de cet écart reflète leur taux de fraude de base plus élevé (2,19 % chez les agriculteurs contre 0,64 % chez les commerçants), mais il demeure un coût inégal à surveiller, d'autant qu'une vérification pèse davantage pour un client sur téléphone simple, loin d'un agent.</w:t>
      </w:r>
    </w:p>
    <w:p>
      <w:pPr>
        <w:pStyle w:val="Titre3"/>
        <w:keepNext/>
        <w:numPr>
          <w:numId w:val="0"/>
        </w:numPr>
        <w:spacing w:before="280" w:after="120"/>
        <w:ind w:left="0" w:firstLine="0"/>
        <w:jc w:val="left"/>
      </w:pPr>
      <w:r>
        <w:rPr>
          <w:b/>
          <w:color w:val="1F2A44"/>
          <w:sz w:val="28"/>
        </w:rPr>
        <w:t>4. Comparaison avec la littérature</w:t>
      </w:r>
    </w:p>
    <w:p>
      <w:pPr>
        <w:spacing w:before="0" w:after="120" w:line="360" w:lineRule="auto"/>
        <w:jc w:val="both"/>
      </w:pPr>
      <w:r>
        <w:rPr>
          <w:sz w:val="24"/>
        </w:rPr>
        <w:t>Comparer des chiffres entre études n'a de sens que si les données sont comparables. Aucune étude ne porte sur le Mobile Money en RDC ; le rapprochement est donc surtout qualitatif, sur les constats de méthode (tableau III.30).</w:t>
      </w:r>
    </w:p>
    <w:p>
      <w:pPr>
        <w:pStyle w:val="Légendetableau"/>
        <w:keepNext/>
        <w:spacing w:before="200" w:after="80"/>
        <w:jc w:val="center"/>
      </w:pPr>
      <w:r>
        <w:rPr>
          <w:b/>
          <w:sz w:val="20"/>
        </w:rPr>
        <w:t>Tableau III.30 — Positionnement par rapport à la littérature.</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1231"/>
        <w:gridCol w:w="1902"/>
        <w:gridCol w:w="3127"/>
        <w:gridCol w:w="3127"/>
      </w:tblGrid>
      <w:tr>
        <w:trPr>
          <w:tblHeader w:val="true"/>
        </w:trPr>
        <w:tc>
          <w:tcPr>
            <w:tcW w:type="dxa" w:w="1231"/>
            <w:shd w:val="clear" w:color="auto" w:fill="D9E2F3"/>
          </w:tcPr>
          <w:p>
            <w:pPr>
              <w:spacing w:after="20" w:before="20" w:line="240" w:lineRule="auto"/>
              <w:jc w:val="left"/>
            </w:pPr>
            <w:r/>
            <w:r>
              <w:rPr>
                <w:b/>
                <w:sz w:val="18"/>
              </w:rPr>
              <w:t>Étude</w:t>
            </w:r>
          </w:p>
        </w:tc>
        <w:tc>
          <w:tcPr>
            <w:tcW w:type="dxa" w:w="1902"/>
            <w:shd w:val="clear" w:color="auto" w:fill="D9E2F3"/>
          </w:tcPr>
          <w:p>
            <w:pPr>
              <w:spacing w:after="20" w:before="20" w:line="240" w:lineRule="auto"/>
              <w:jc w:val="left"/>
            </w:pPr>
            <w:r/>
            <w:r>
              <w:rPr>
                <w:b/>
                <w:sz w:val="18"/>
              </w:rPr>
              <w:t>Données</w:t>
            </w:r>
          </w:p>
        </w:tc>
        <w:tc>
          <w:tcPr>
            <w:tcW w:type="dxa" w:w="3127"/>
            <w:shd w:val="clear" w:color="auto" w:fill="D9E2F3"/>
          </w:tcPr>
          <w:p>
            <w:pPr>
              <w:spacing w:after="20" w:before="20" w:line="240" w:lineRule="auto"/>
              <w:jc w:val="left"/>
            </w:pPr>
            <w:r/>
            <w:r>
              <w:rPr>
                <w:b/>
                <w:sz w:val="18"/>
              </w:rPr>
              <w:t>Constat</w:t>
            </w:r>
          </w:p>
        </w:tc>
        <w:tc>
          <w:tcPr>
            <w:tcW w:type="dxa" w:w="3127"/>
            <w:shd w:val="clear" w:color="auto" w:fill="D9E2F3"/>
          </w:tcPr>
          <w:p>
            <w:pPr>
              <w:spacing w:after="20" w:before="20" w:line="240" w:lineRule="auto"/>
              <w:jc w:val="left"/>
            </w:pPr>
            <w:r/>
            <w:r>
              <w:rPr>
                <w:b/>
                <w:sz w:val="18"/>
              </w:rPr>
              <w:t>Rapprochement avec ce travail</w:t>
            </w:r>
          </w:p>
        </w:tc>
      </w:tr>
      <w:tr>
        <w:trPr>
          <w:cantSplit w:val="true"/>
        </w:trPr>
        <w:tc>
          <w:tcPr>
            <w:tcW w:type="dxa" w:w="1231"/>
          </w:tcPr>
          <w:p>
            <w:pPr>
              <w:spacing w:after="20" w:before="20" w:line="240" w:lineRule="auto"/>
              <w:jc w:val="left"/>
            </w:pPr>
            <w:r/>
            <w:r>
              <w:rPr>
                <w:sz w:val="18"/>
              </w:rPr>
              <w:t>Lopez-Rojas et al. (2016), PaySim</w:t>
            </w:r>
          </w:p>
        </w:tc>
        <w:tc>
          <w:tcPr>
            <w:tcW w:type="dxa" w:w="1902"/>
          </w:tcPr>
          <w:p>
            <w:pPr>
              <w:spacing w:after="20" w:before="20" w:line="240" w:lineRule="auto"/>
              <w:jc w:val="left"/>
            </w:pPr>
            <w:r/>
            <w:r>
              <w:rPr>
                <w:sz w:val="18"/>
              </w:rPr>
              <w:t>Simulateur Mobile Money, calibré sur un échantillon réel d'un pays africain</w:t>
            </w:r>
          </w:p>
        </w:tc>
        <w:tc>
          <w:tcPr>
            <w:tcW w:type="dxa" w:w="3127"/>
          </w:tcPr>
          <w:p>
            <w:pPr>
              <w:spacing w:after="20" w:before="20" w:line="240" w:lineRule="auto"/>
              <w:jc w:val="left"/>
            </w:pPr>
            <w:r/>
            <w:r>
              <w:rPr>
                <w:sz w:val="18"/>
              </w:rPr>
              <w:t>Les données Mobile Money réelles n'étant pas publiques, la simulation est la voie adoptée pour la recherche</w:t>
            </w:r>
          </w:p>
        </w:tc>
        <w:tc>
          <w:tcPr>
            <w:tcW w:type="dxa" w:w="3127"/>
          </w:tcPr>
          <w:p>
            <w:pPr>
              <w:spacing w:after="20" w:before="20" w:line="240" w:lineRule="auto"/>
              <w:jc w:val="left"/>
            </w:pPr>
            <w:r/>
            <w:r>
              <w:rPr>
                <w:sz w:val="18"/>
              </w:rPr>
              <w:t>Même contrainte et même démarche ; ici la simulation repose entièrement sur des hypothèses paramétrées et a été confrontée aux statistiques officielles</w:t>
            </w:r>
          </w:p>
        </w:tc>
      </w:tr>
      <w:tr>
        <w:trPr>
          <w:cantSplit w:val="true"/>
        </w:trPr>
        <w:tc>
          <w:tcPr>
            <w:tcW w:type="dxa" w:w="1231"/>
          </w:tcPr>
          <w:p>
            <w:pPr>
              <w:spacing w:after="20" w:before="20" w:line="240" w:lineRule="auto"/>
              <w:jc w:val="left"/>
            </w:pPr>
            <w:r/>
            <w:r>
              <w:rPr>
                <w:sz w:val="18"/>
              </w:rPr>
              <w:t>Azamuke et al. (2022, 2025), MoMTSim</w:t>
            </w:r>
          </w:p>
        </w:tc>
        <w:tc>
          <w:tcPr>
            <w:tcW w:type="dxa" w:w="1902"/>
          </w:tcPr>
          <w:p>
            <w:pPr>
              <w:spacing w:after="20" w:before="20" w:line="240" w:lineRule="auto"/>
              <w:jc w:val="left"/>
            </w:pPr>
            <w:r/>
            <w:r>
              <w:rPr>
                <w:sz w:val="18"/>
              </w:rPr>
              <w:t>Simulateur Mobile Money d'Afrique subsaharienne</w:t>
            </w:r>
          </w:p>
        </w:tc>
        <w:tc>
          <w:tcPr>
            <w:tcW w:type="dxa" w:w="3127"/>
          </w:tcPr>
          <w:p>
            <w:pPr>
              <w:spacing w:after="20" w:before="20" w:line="240" w:lineRule="auto"/>
              <w:jc w:val="left"/>
            </w:pPr>
            <w:r/>
            <w:r>
              <w:rPr>
                <w:sz w:val="18"/>
              </w:rPr>
              <w:t>XGBoost est le meilleur des modèles comparés (MCC 0,82 ; AUC 0,97) devant la régression logistique (MCC 0,67)</w:t>
            </w:r>
          </w:p>
        </w:tc>
        <w:tc>
          <w:tcPr>
            <w:tcW w:type="dxa" w:w="3127"/>
          </w:tcPr>
          <w:p>
            <w:pPr>
              <w:spacing w:after="20" w:before="20" w:line="240" w:lineRule="auto"/>
              <w:jc w:val="left"/>
            </w:pPr>
            <w:r/>
            <w:r>
              <w:rPr>
                <w:sz w:val="18"/>
              </w:rPr>
              <w:t>Même hiérarchie : boosting devant modèle linéaire (MCC 0,937 contre 0,873 ici). Les valeurs plus élevées de ce travail viennent d'un autre simulateur et de variables de profil par client</w:t>
            </w:r>
          </w:p>
        </w:tc>
      </w:tr>
      <w:tr>
        <w:trPr>
          <w:cantSplit w:val="true"/>
        </w:trPr>
        <w:tc>
          <w:tcPr>
            <w:tcW w:type="dxa" w:w="1231"/>
          </w:tcPr>
          <w:p>
            <w:pPr>
              <w:spacing w:after="20" w:before="20" w:line="240" w:lineRule="auto"/>
              <w:jc w:val="left"/>
            </w:pPr>
            <w:r/>
            <w:r>
              <w:rPr>
                <w:sz w:val="18"/>
              </w:rPr>
              <w:t>Bahnsen et al. (2016)</w:t>
            </w:r>
          </w:p>
        </w:tc>
        <w:tc>
          <w:tcPr>
            <w:tcW w:type="dxa" w:w="1902"/>
          </w:tcPr>
          <w:p>
            <w:pPr>
              <w:spacing w:after="20" w:before="20" w:line="240" w:lineRule="auto"/>
              <w:jc w:val="left"/>
            </w:pPr>
            <w:r/>
            <w:r>
              <w:rPr>
                <w:sz w:val="18"/>
              </w:rPr>
              <w:t>Cartes bancaires réelles</w:t>
            </w:r>
          </w:p>
        </w:tc>
        <w:tc>
          <w:tcPr>
            <w:tcW w:type="dxa" w:w="3127"/>
          </w:tcPr>
          <w:p>
            <w:pPr>
              <w:spacing w:after="20" w:before="20" w:line="240" w:lineRule="auto"/>
              <w:jc w:val="left"/>
            </w:pPr>
            <w:r/>
            <w:r>
              <w:rPr>
                <w:sz w:val="18"/>
              </w:rPr>
              <w:t>Des variables agrégées par client et des variables périodiques pour l'heure améliorent la détection</w:t>
            </w:r>
          </w:p>
        </w:tc>
        <w:tc>
          <w:tcPr>
            <w:tcW w:type="dxa" w:w="3127"/>
          </w:tcPr>
          <w:p>
            <w:pPr>
              <w:spacing w:after="20" w:before="20" w:line="240" w:lineRule="auto"/>
              <w:jc w:val="left"/>
            </w:pPr>
            <w:r/>
            <w:r>
              <w:rPr>
                <w:sz w:val="18"/>
              </w:rPr>
              <w:t>Même principe : les 58 variables d'écart au profil et l'heure cyclique ; H1 montre l'effet de l'historique (PR-AUC 0,989 contre 0,753)</w:t>
            </w:r>
          </w:p>
        </w:tc>
      </w:tr>
      <w:tr>
        <w:trPr>
          <w:cantSplit w:val="true"/>
        </w:trPr>
        <w:tc>
          <w:tcPr>
            <w:tcW w:type="dxa" w:w="1231"/>
          </w:tcPr>
          <w:p>
            <w:pPr>
              <w:spacing w:after="20" w:before="20" w:line="240" w:lineRule="auto"/>
              <w:jc w:val="left"/>
            </w:pPr>
            <w:r/>
            <w:r>
              <w:rPr>
                <w:sz w:val="18"/>
              </w:rPr>
              <w:t>Jurgovsky et al. (2018)</w:t>
            </w:r>
          </w:p>
        </w:tc>
        <w:tc>
          <w:tcPr>
            <w:tcW w:type="dxa" w:w="1902"/>
          </w:tcPr>
          <w:p>
            <w:pPr>
              <w:spacing w:after="20" w:before="20" w:line="240" w:lineRule="auto"/>
              <w:jc w:val="left"/>
            </w:pPr>
            <w:r/>
            <w:r>
              <w:rPr>
                <w:sz w:val="18"/>
              </w:rPr>
              <w:t>Cartes bancaires réelles</w:t>
            </w:r>
          </w:p>
        </w:tc>
        <w:tc>
          <w:tcPr>
            <w:tcW w:type="dxa" w:w="3127"/>
          </w:tcPr>
          <w:p>
            <w:pPr>
              <w:spacing w:after="20" w:before="20" w:line="240" w:lineRule="auto"/>
              <w:jc w:val="left"/>
            </w:pPr>
            <w:r/>
            <w:r>
              <w:rPr>
                <w:sz w:val="18"/>
              </w:rPr>
              <w:t>Le LSTM améliore la détection des paiements en présence de la carte, moins ceux à distance ; les variables agrégées restent très efficaces</w:t>
            </w:r>
          </w:p>
        </w:tc>
        <w:tc>
          <w:tcPr>
            <w:tcW w:type="dxa" w:w="3127"/>
          </w:tcPr>
          <w:p>
            <w:pPr>
              <w:spacing w:after="20" w:before="20" w:line="240" w:lineRule="auto"/>
              <w:jc w:val="left"/>
            </w:pPr>
            <w:r/>
            <w:r>
              <w:rPr>
                <w:sz w:val="18"/>
              </w:rPr>
              <w:t>Même nuance : le LSTM seul égale XGBoost (0,9894 contre 0,9895) ; le gain vient de leur combinaison, surtout sur la dynamique de l'ingénierie sociale</w:t>
            </w:r>
          </w:p>
        </w:tc>
      </w:tr>
      <w:tr>
        <w:trPr>
          <w:cantSplit w:val="true"/>
        </w:trPr>
        <w:tc>
          <w:tcPr>
            <w:tcW w:type="dxa" w:w="1231"/>
          </w:tcPr>
          <w:p>
            <w:pPr>
              <w:spacing w:after="20" w:before="20" w:line="240" w:lineRule="auto"/>
              <w:jc w:val="left"/>
            </w:pPr>
            <w:r/>
            <w:r>
              <w:rPr>
                <w:sz w:val="18"/>
              </w:rPr>
              <w:t>Carcillo et al. (2019)</w:t>
            </w:r>
          </w:p>
        </w:tc>
        <w:tc>
          <w:tcPr>
            <w:tcW w:type="dxa" w:w="1902"/>
          </w:tcPr>
          <w:p>
            <w:pPr>
              <w:spacing w:after="20" w:before="20" w:line="240" w:lineRule="auto"/>
              <w:jc w:val="left"/>
            </w:pPr>
            <w:r/>
            <w:r>
              <w:rPr>
                <w:sz w:val="18"/>
              </w:rPr>
              <w:t>Cartes bancaires réelles</w:t>
            </w:r>
          </w:p>
        </w:tc>
        <w:tc>
          <w:tcPr>
            <w:tcW w:type="dxa" w:w="3127"/>
          </w:tcPr>
          <w:p>
            <w:pPr>
              <w:spacing w:after="20" w:before="20" w:line="240" w:lineRule="auto"/>
              <w:jc w:val="left"/>
            </w:pPr>
            <w:r/>
            <w:r>
              <w:rPr>
                <w:sz w:val="18"/>
              </w:rPr>
              <w:t>Combiner l'apprentissage non supervisé et supervisé améliore la détection quand les fraudes évoluent</w:t>
            </w:r>
          </w:p>
        </w:tc>
        <w:tc>
          <w:tcPr>
            <w:tcW w:type="dxa" w:w="3127"/>
          </w:tcPr>
          <w:p>
            <w:pPr>
              <w:spacing w:after="20" w:before="20" w:line="240" w:lineRule="auto"/>
              <w:jc w:val="left"/>
            </w:pPr>
            <w:r/>
            <w:r>
              <w:rPr>
                <w:sz w:val="18"/>
              </w:rPr>
              <w:t>Même idée avec l'autoencodeur : peu utile seul, il réduit les fausses alertes et signale l'inédit ; l'évolution est testée par H5</w:t>
            </w:r>
          </w:p>
        </w:tc>
      </w:tr>
      <w:tr>
        <w:trPr>
          <w:cantSplit w:val="true"/>
        </w:trPr>
        <w:tc>
          <w:tcPr>
            <w:tcW w:type="dxa" w:w="1231"/>
          </w:tcPr>
          <w:p>
            <w:pPr>
              <w:spacing w:after="20" w:before="20" w:line="240" w:lineRule="auto"/>
              <w:jc w:val="left"/>
            </w:pPr>
            <w:r/>
            <w:r>
              <w:rPr>
                <w:sz w:val="18"/>
              </w:rPr>
              <w:t>Dal Pozzolo et al. (2015)</w:t>
            </w:r>
          </w:p>
        </w:tc>
        <w:tc>
          <w:tcPr>
            <w:tcW w:type="dxa" w:w="1902"/>
          </w:tcPr>
          <w:p>
            <w:pPr>
              <w:spacing w:after="20" w:before="20" w:line="240" w:lineRule="auto"/>
              <w:jc w:val="left"/>
            </w:pPr>
            <w:r/>
            <w:r>
              <w:rPr>
                <w:sz w:val="18"/>
              </w:rPr>
              <w:t>Cartes bancaires réelles (jeu ULB : 492 fraudes sur 284 807 transactions)</w:t>
            </w:r>
          </w:p>
        </w:tc>
        <w:tc>
          <w:tcPr>
            <w:tcW w:type="dxa" w:w="3127"/>
          </w:tcPr>
          <w:p>
            <w:pPr>
              <w:spacing w:after="20" w:before="20" w:line="240" w:lineRule="auto"/>
              <w:jc w:val="left"/>
            </w:pPr>
            <w:r/>
            <w:r>
              <w:rPr>
                <w:sz w:val="18"/>
              </w:rPr>
              <w:t>Le sous-échantillonnage ne change pas le classement mais biaise les probabilités</w:t>
            </w:r>
          </w:p>
        </w:tc>
        <w:tc>
          <w:tcPr>
            <w:tcW w:type="dxa" w:w="3127"/>
          </w:tcPr>
          <w:p>
            <w:pPr>
              <w:spacing w:after="20" w:before="20" w:line="240" w:lineRule="auto"/>
              <w:jc w:val="left"/>
            </w:pPr>
            <w:r/>
            <w:r>
              <w:rPr>
                <w:sz w:val="18"/>
              </w:rPr>
              <w:t>Même effet observé : la calibration de l'hybride surestime dans la zone intermédiaire, sans effet sur le seuil</w:t>
            </w:r>
          </w:p>
        </w:tc>
      </w:tr>
      <w:tr>
        <w:trPr>
          <w:cantSplit w:val="true"/>
        </w:trPr>
        <w:tc>
          <w:tcPr>
            <w:tcW w:type="dxa" w:w="1231"/>
          </w:tcPr>
          <w:p>
            <w:pPr>
              <w:spacing w:after="20" w:before="20" w:line="240" w:lineRule="auto"/>
              <w:jc w:val="left"/>
            </w:pPr>
            <w:r/>
            <w:r>
              <w:rPr>
                <w:sz w:val="18"/>
              </w:rPr>
              <w:t>Grinsztajn et al. (2022)</w:t>
            </w:r>
          </w:p>
        </w:tc>
        <w:tc>
          <w:tcPr>
            <w:tcW w:type="dxa" w:w="1902"/>
          </w:tcPr>
          <w:p>
            <w:pPr>
              <w:spacing w:after="20" w:before="20" w:line="240" w:lineRule="auto"/>
              <w:jc w:val="left"/>
            </w:pPr>
            <w:r/>
            <w:r>
              <w:rPr>
                <w:sz w:val="18"/>
              </w:rPr>
              <w:t>45 jeux tabulaires</w:t>
            </w:r>
          </w:p>
        </w:tc>
        <w:tc>
          <w:tcPr>
            <w:tcW w:type="dxa" w:w="3127"/>
          </w:tcPr>
          <w:p>
            <w:pPr>
              <w:spacing w:after="20" w:before="20" w:line="240" w:lineRule="auto"/>
              <w:jc w:val="left"/>
            </w:pPr>
            <w:r/>
            <w:r>
              <w:rPr>
                <w:sz w:val="18"/>
              </w:rPr>
              <w:t>Les modèles à base d'arbres restent les plus performants sur des jeux de taille moyenne</w:t>
            </w:r>
          </w:p>
        </w:tc>
        <w:tc>
          <w:tcPr>
            <w:tcW w:type="dxa" w:w="3127"/>
          </w:tcPr>
          <w:p>
            <w:pPr>
              <w:spacing w:after="20" w:before="20" w:line="240" w:lineRule="auto"/>
              <w:jc w:val="left"/>
            </w:pPr>
            <w:r/>
            <w:r>
              <w:rPr>
                <w:sz w:val="18"/>
              </w:rPr>
              <w:t>XGBoost est le meilleur modèle simple de ce travail, devant la régression logistique et la Random Forest ; mais le réseau séquentiel l'égale ici, sur un jeu de 632 000 lignes structuré en séquences</w:t>
            </w:r>
          </w:p>
        </w:tc>
      </w:tr>
    </w:tbl>
    <w:p>
      <w:pPr>
        <w:spacing w:after="120"/>
      </w:pPr>
    </w:p>
    <w:p>
      <w:pPr>
        <w:spacing w:before="0" w:after="120" w:line="360" w:lineRule="auto"/>
        <w:jc w:val="both"/>
      </w:pPr>
      <w:r>
        <w:rPr>
          <w:b/>
          <w:sz w:val="24"/>
        </w:rPr>
        <w:t>Concordances.</w:t>
      </w:r>
      <w:r>
        <w:rPr>
          <w:sz w:val="24"/>
        </w:rPr>
        <w:t xml:space="preserve"> Trois constats de la littérature sont retrouvés : le boosting surpasse les modèles linéaires ; la modélisation de séquence apporte un gain réel mais pas systématique, qui dépend du type d'opération ; combiner des méthodes supervisées et non supervisées aide face à l'évolution des fraudes. L'effet du sous-échantillonnage sur la calibration est lui aussi retrouvé.</w:t>
      </w:r>
    </w:p>
    <w:p>
      <w:pPr>
        <w:spacing w:before="0" w:after="120" w:line="360" w:lineRule="auto"/>
        <w:jc w:val="both"/>
      </w:pPr>
      <w:r>
        <w:rPr>
          <w:b/>
          <w:sz w:val="24"/>
        </w:rPr>
        <w:t>Différences et prudence.</w:t>
      </w:r>
      <w:r>
        <w:rPr>
          <w:sz w:val="24"/>
        </w:rPr>
        <w:t xml:space="preserve"> Les performances absolues de ce travail (PR-AUC 0,9955, MCC 0,964) sont plus élevées que celles rapportées sur des simulateurs voisins comme MoMTSim (MCC 0,82) et, a fortiori, que celles qu'on observe sur des données réelles, où la fraude est moins nette. Elles ne sont pas comparables terme à terme : les générateurs, les variables et les taux de fraude diffèrent, et les fraudes simulées ici suivent des schémas que le modèle apprend plus facilement que de vraies fraudes. La comparaison se limite donc aux tendances.</w:t>
      </w:r>
    </w:p>
    <w:p>
      <w:pPr>
        <w:spacing w:before="0" w:after="120" w:line="360" w:lineRule="auto"/>
        <w:jc w:val="both"/>
      </w:pPr>
      <w:r>
        <w:rPr>
          <w:b/>
          <w:sz w:val="24"/>
        </w:rPr>
        <w:t>Apports de ce travail.</w:t>
      </w:r>
      <w:r>
        <w:rPr>
          <w:sz w:val="24"/>
        </w:rPr>
        <w:t xml:space="preserve"> Il ajoute à ces études : un contexte congolais explicite (USSD, double monnaie au taux de l'année, déplacements entre provinces) ; un protocole statistique complet (bootstrap par client, test de McNemar, variance selon la graine) ; une décision graduée selon le coût plutôt qu'un seuil unique ; une mesure de ce que le modèle laisse passer grâce à un échantillon témoin ; une défense par les lois physiques et l'analyse de réseau ; et une évaluation de l'équité entre groupes de clients, rarement traitée dans les travaux sur la fraude.</w:t>
      </w:r>
    </w:p>
    <w:p>
      <w:pPr>
        <w:pStyle w:val="Titre3"/>
        <w:keepNext/>
        <w:numPr>
          <w:numId w:val="0"/>
        </w:numPr>
        <w:spacing w:before="280" w:after="120"/>
        <w:ind w:left="0" w:firstLine="0"/>
        <w:jc w:val="left"/>
      </w:pPr>
      <w:r>
        <w:rPr>
          <w:b/>
          <w:color w:val="1F2A44"/>
          <w:sz w:val="28"/>
        </w:rPr>
        <w:t>5. Discussion</w:t>
      </w:r>
    </w:p>
    <w:p>
      <w:pPr>
        <w:spacing w:before="0" w:after="120" w:line="360" w:lineRule="auto"/>
        <w:jc w:val="both"/>
      </w:pPr>
      <w:r>
        <w:rPr>
          <w:b/>
          <w:sz w:val="24"/>
        </w:rPr>
        <w:t>Réponse à la problématique.</w:t>
      </w:r>
      <w:r>
        <w:rPr>
          <w:sz w:val="24"/>
        </w:rPr>
        <w:t xml:space="preserve"> La question était de savoir si un modèle d'intelligence artificielle apprenant le comportement habituel de chaque utilisateur peut détecter en temps réel et de façon explicable les fraudes Mobile Money en RDC, et comment cette approche se transpose aux cartes virtuelles. Sur les données simulées, la réponse est positive pour les cinq hypothèses : le profilage est nettement supérieur aux approches statiques (H1), les variables de contexte, de montant et de fréquence portent la détection (H2), les familles de modèles diffèrent significativement (H3), la logique se transpose à la carte avec une PR-AUC de 0,985 sans donnée Visa (H4), et un modèle mis à jour reste meilleur qu'un modèle figé (H5). Le modèle hybride rend sa décision en 59 ms en médiane.</w:t>
      </w:r>
    </w:p>
    <w:p>
      <w:pPr>
        <w:spacing w:before="0" w:after="120" w:line="360" w:lineRule="auto"/>
        <w:jc w:val="both"/>
      </w:pPr>
      <w:r>
        <w:rPr>
          <w:b/>
          <w:sz w:val="24"/>
        </w:rPr>
        <w:t>Apports.</w:t>
      </w:r>
      <w:r>
        <w:rPr>
          <w:sz w:val="24"/>
        </w:rPr>
        <w:t xml:space="preserve"> Au-delà des hypothèses, le travail livre un système complet et vérifiable : 158 tests automatisés, une architecture en services, une décision graduée et explicable, une API ouverte aux institutions, un apprentissage continu maîtrisé, et des outils de pilotage (qualité réelle, politique de coût, équité) qui permettent à un opérateur de régler et de surveiller le système.</w:t>
      </w:r>
    </w:p>
    <w:p>
      <w:pPr>
        <w:spacing w:before="0" w:after="120" w:line="360" w:lineRule="auto"/>
        <w:jc w:val="both"/>
      </w:pPr>
      <w:r>
        <w:rPr>
          <w:b/>
          <w:sz w:val="24"/>
        </w:rPr>
        <w:t>Limites.</w:t>
      </w:r>
      <w:r>
        <w:rPr>
          <w:sz w:val="24"/>
        </w:rPr>
        <w:t xml:space="preserve"> Elles sont de six ordres, déjà identifiées dans les menaces sur la validité. (1) Les </w:t>
      </w:r>
      <w:r>
        <w:rPr>
          <w:b/>
          <w:sz w:val="24"/>
        </w:rPr>
        <w:t>données sont simulées</w:t>
      </w:r>
      <w:r>
        <w:rPr>
          <w:sz w:val="24"/>
        </w:rPr>
        <w:t xml:space="preserve"> : les fraudes y sont plus nettes qu'en réalité, et les performances réelles seront plus faibles. (2) Le générateur </w:t>
      </w:r>
      <w:r>
        <w:rPr>
          <w:b/>
          <w:sz w:val="24"/>
        </w:rPr>
        <w:t>réutilise un nombre fini d'appareils de fraudeurs et de mules</w:t>
      </w:r>
      <w:r>
        <w:rPr>
          <w:sz w:val="24"/>
        </w:rPr>
        <w:t xml:space="preserve"> : la variable la plus corrélée à la fraude, comme l'analyse de réseau, en bénéficient. (3) Seuls </w:t>
      </w:r>
      <w:r>
        <w:rPr>
          <w:b/>
          <w:sz w:val="24"/>
        </w:rPr>
        <w:t>500 clients</w:t>
      </w:r>
      <w:r>
        <w:rPr>
          <w:sz w:val="24"/>
        </w:rPr>
        <w:t xml:space="preserve"> sont simulés, et 92 % d'entre eux sont victimes au moins une fois, ce qui limite la portée des intervalles de confiance par client. (4) Le canal Visa étant très séparable, la </w:t>
      </w:r>
      <w:r>
        <w:rPr>
          <w:b/>
          <w:sz w:val="24"/>
        </w:rPr>
        <w:t>transposabilité</w:t>
      </w:r>
      <w:r>
        <w:rPr>
          <w:sz w:val="24"/>
        </w:rPr>
        <w:t xml:space="preserve"> est probablement surestimée, et H5 est en partie </w:t>
      </w:r>
      <w:r>
        <w:rPr>
          <w:b/>
          <w:sz w:val="24"/>
        </w:rPr>
        <w:t>circulaire</w:t>
      </w:r>
      <w:r>
        <w:rPr>
          <w:sz w:val="24"/>
        </w:rPr>
        <w:t xml:space="preserve">, l'évolution des fraudes étant un paramètre du générateur. (5) Les rejeux de la boucle de retour </w:t>
      </w:r>
      <w:r>
        <w:rPr>
          <w:b/>
          <w:sz w:val="24"/>
        </w:rPr>
        <w:t>supposent des analystes sans erreur</w:t>
      </w:r>
      <w:r>
        <w:rPr>
          <w:sz w:val="24"/>
        </w:rPr>
        <w:t xml:space="preserve"> et un taux de plainte fixe. (6) Les </w:t>
      </w:r>
      <w:r>
        <w:rPr>
          <w:b/>
          <w:sz w:val="24"/>
        </w:rPr>
        <w:t>coûts métier</w:t>
      </w:r>
      <w:r>
        <w:rPr>
          <w:sz w:val="24"/>
        </w:rPr>
        <w:t xml:space="preserve"> et le corpus de messages (en français seulement) sont des hypothèses de l'auteur.</w:t>
      </w:r>
    </w:p>
    <w:p>
      <w:pPr>
        <w:spacing w:before="0" w:after="120" w:line="360" w:lineRule="auto"/>
        <w:jc w:val="both"/>
      </w:pPr>
      <w:r>
        <w:rPr>
          <w:b/>
          <w:sz w:val="24"/>
        </w:rPr>
        <w:t>Considérations éthiques.</w:t>
      </w:r>
      <w:r>
        <w:rPr>
          <w:sz w:val="24"/>
        </w:rPr>
        <w:t xml:space="preserve"> Un système de détection touche des clients réels : une fausse alerte bloque ou retarde un paiement parfois vital. L'évaluation de l'équité montre que ce coût n'est pas réparti également, et qu'il pèse plus sur les clients modestes, les agriculteurs et les étudiants. Le système le mesure et l'affiche pour que l'opérateur puisse corriger avant que l'écart ne devienne une discrimination. Les décisions sont expliquées, le journal d'audit est inaltérable, les données ne quittent pas la plateforme, et un déblocage important exige la validation d'une seconde personne.</w:t>
      </w:r>
    </w:p>
    <w:p>
      <w:pPr>
        <w:spacing w:before="0" w:after="120" w:line="360" w:lineRule="auto"/>
        <w:jc w:val="both"/>
      </w:pPr>
      <w:r>
        <w:rPr>
          <w:b/>
          <w:sz w:val="24"/>
        </w:rPr>
        <w:t>Perspectives.</w:t>
      </w:r>
      <w:r>
        <w:rPr>
          <w:sz w:val="24"/>
        </w:rPr>
        <w:t xml:space="preserve"> Quatre pistes prolongent ce travail : (1) la </w:t>
      </w:r>
      <w:r>
        <w:rPr>
          <w:b/>
          <w:sz w:val="24"/>
        </w:rPr>
        <w:t>validation sur données réelles</w:t>
      </w:r>
      <w:r>
        <w:rPr>
          <w:sz w:val="24"/>
        </w:rPr>
        <w:t xml:space="preserve"> d'un opérateur, selon la démarche en cinq étapes, avec un mode observation avant tout blocage ; (2) des </w:t>
      </w:r>
      <w:r>
        <w:rPr>
          <w:b/>
          <w:sz w:val="24"/>
        </w:rPr>
        <w:t>tests adversariaux</w:t>
      </w:r>
      <w:r>
        <w:rPr>
          <w:sz w:val="24"/>
        </w:rPr>
        <w:t xml:space="preserve"> : un fraudeur qui s'adapte (fractionnement sous les seuils, imitation de l'appareil et de la province de la victime, étalement dans le temps) ; un protocole est écrit, ses résultats restent à produire ; (3) la </w:t>
      </w:r>
      <w:r>
        <w:rPr>
          <w:b/>
          <w:sz w:val="24"/>
        </w:rPr>
        <w:t>recalibration</w:t>
      </w:r>
      <w:r>
        <w:rPr>
          <w:sz w:val="24"/>
        </w:rPr>
        <w:t xml:space="preserve"> des probabilités par régression isotonique et l'ajout de réseaux de neurones sur graphes ; (4) l'</w:t>
      </w:r>
      <w:r>
        <w:rPr>
          <w:b/>
          <w:sz w:val="24"/>
        </w:rPr>
        <w:t>apprentissage fédéré entre opérateurs</w:t>
      </w:r>
      <w:r>
        <w:rPr>
          <w:sz w:val="24"/>
        </w:rPr>
        <w:t>, qui permettrait de voir un fraudeur actif sur plusieurs réseaux sans partager les données, ainsi que l'extension de l'analyse de texte au lingala et au swahili.</w:t>
      </w:r>
    </w:p>
    <w:p>
      <w:pPr>
        <w:pStyle w:val="Titre2"/>
        <w:keepNext/>
        <w:numPr>
          <w:numId w:val="0"/>
        </w:numPr>
        <w:spacing w:before="360" w:after="120"/>
        <w:ind w:left="0" w:firstLine="0"/>
        <w:jc w:val="left"/>
      </w:pPr>
      <w:r>
        <w:rPr>
          <w:b/>
          <w:color w:val="1F2A44"/>
          <w:sz w:val="30"/>
        </w:rPr>
        <w:t>II. Outils de développement et de déploiement</w:t>
      </w:r>
    </w:p>
    <w:p>
      <w:pPr>
        <w:pStyle w:val="Titre3"/>
        <w:keepNext/>
        <w:numPr>
          <w:numId w:val="0"/>
        </w:numPr>
        <w:spacing w:before="280" w:after="120"/>
        <w:ind w:left="0" w:firstLine="0"/>
        <w:jc w:val="left"/>
      </w:pPr>
      <w:r>
        <w:rPr>
          <w:b/>
          <w:color w:val="1F2A44"/>
          <w:sz w:val="28"/>
        </w:rPr>
        <w:t>1. Environnement de développement</w:t>
      </w:r>
    </w:p>
    <w:p>
      <w:pPr>
        <w:spacing w:before="0" w:after="120" w:line="360" w:lineRule="auto"/>
        <w:jc w:val="both"/>
      </w:pPr>
      <w:r>
        <w:rPr>
          <w:sz w:val="24"/>
        </w:rPr>
        <w:t>Le système est développé et testé sur un poste de travail unique, sans processeur graphique : tous les entraînements se font sur processeur, ce qui contraint la taille des modèles (tableau III.31).</w:t>
      </w:r>
    </w:p>
    <w:p>
      <w:pPr>
        <w:pStyle w:val="Légendetableau"/>
        <w:keepNext/>
        <w:spacing w:before="200" w:after="80"/>
        <w:jc w:val="center"/>
      </w:pPr>
      <w:r>
        <w:rPr>
          <w:b/>
          <w:sz w:val="20"/>
        </w:rPr>
        <w:t>Tableau III.31 — Environnement de développement.</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2203"/>
        <w:gridCol w:w="7186"/>
      </w:tblGrid>
      <w:tr>
        <w:trPr>
          <w:tblHeader w:val="true"/>
        </w:trPr>
        <w:tc>
          <w:tcPr>
            <w:tcW w:type="dxa" w:w="2203"/>
            <w:shd w:val="clear" w:color="auto" w:fill="D9E2F3"/>
          </w:tcPr>
          <w:p>
            <w:pPr>
              <w:spacing w:after="20" w:before="20" w:line="240" w:lineRule="auto"/>
              <w:jc w:val="left"/>
            </w:pPr>
            <w:r/>
            <w:r>
              <w:rPr>
                <w:b/>
                <w:sz w:val="20"/>
              </w:rPr>
              <w:t>Élément</w:t>
            </w:r>
          </w:p>
        </w:tc>
        <w:tc>
          <w:tcPr>
            <w:tcW w:type="dxa" w:w="7186"/>
            <w:shd w:val="clear" w:color="auto" w:fill="D9E2F3"/>
          </w:tcPr>
          <w:p>
            <w:pPr>
              <w:spacing w:after="20" w:before="20" w:line="240" w:lineRule="auto"/>
              <w:jc w:val="left"/>
            </w:pPr>
            <w:r/>
            <w:r>
              <w:rPr>
                <w:b/>
                <w:sz w:val="20"/>
              </w:rPr>
              <w:t>Choix</w:t>
            </w:r>
          </w:p>
        </w:tc>
      </w:tr>
      <w:tr>
        <w:trPr>
          <w:cantSplit w:val="true"/>
        </w:trPr>
        <w:tc>
          <w:tcPr>
            <w:tcW w:type="dxa" w:w="2203"/>
          </w:tcPr>
          <w:p>
            <w:pPr>
              <w:spacing w:after="20" w:before="20" w:line="240" w:lineRule="auto"/>
              <w:jc w:val="left"/>
            </w:pPr>
            <w:r/>
            <w:r>
              <w:rPr>
                <w:sz w:val="20"/>
              </w:rPr>
              <w:t>Poste</w:t>
            </w:r>
          </w:p>
        </w:tc>
        <w:tc>
          <w:tcPr>
            <w:tcW w:type="dxa" w:w="7186"/>
          </w:tcPr>
          <w:p>
            <w:pPr>
              <w:spacing w:after="20" w:before="20" w:line="240" w:lineRule="auto"/>
              <w:jc w:val="left"/>
            </w:pPr>
            <w:r/>
            <w:r>
              <w:rPr>
                <w:sz w:val="20"/>
              </w:rPr>
              <w:t>Windows 11 Entreprise, mémoire allouée à Docker : 7,7 Gio, sans GPU</w:t>
            </w:r>
          </w:p>
        </w:tc>
      </w:tr>
      <w:tr>
        <w:trPr>
          <w:cantSplit w:val="true"/>
        </w:trPr>
        <w:tc>
          <w:tcPr>
            <w:tcW w:type="dxa" w:w="2203"/>
          </w:tcPr>
          <w:p>
            <w:pPr>
              <w:spacing w:after="20" w:before="20" w:line="240" w:lineRule="auto"/>
              <w:jc w:val="left"/>
            </w:pPr>
            <w:r/>
            <w:r>
              <w:rPr>
                <w:sz w:val="20"/>
              </w:rPr>
              <w:t>Éditeur et terminal</w:t>
            </w:r>
          </w:p>
        </w:tc>
        <w:tc>
          <w:tcPr>
            <w:tcW w:type="dxa" w:w="7186"/>
          </w:tcPr>
          <w:p>
            <w:pPr>
              <w:spacing w:after="20" w:before="20" w:line="240" w:lineRule="auto"/>
              <w:jc w:val="left"/>
            </w:pPr>
            <w:r/>
            <w:r>
              <w:rPr>
                <w:sz w:val="20"/>
              </w:rPr>
              <w:t>Visual Studio Code ; PowerShell et Git Bash</w:t>
            </w:r>
          </w:p>
        </w:tc>
      </w:tr>
      <w:tr>
        <w:trPr>
          <w:cantSplit w:val="true"/>
        </w:trPr>
        <w:tc>
          <w:tcPr>
            <w:tcW w:type="dxa" w:w="2203"/>
          </w:tcPr>
          <w:p>
            <w:pPr>
              <w:spacing w:after="20" w:before="20" w:line="240" w:lineRule="auto"/>
              <w:jc w:val="left"/>
            </w:pPr>
            <w:r/>
            <w:r>
              <w:rPr>
                <w:sz w:val="20"/>
              </w:rPr>
              <w:t>Langage</w:t>
            </w:r>
          </w:p>
        </w:tc>
        <w:tc>
          <w:tcPr>
            <w:tcW w:type="dxa" w:w="7186"/>
          </w:tcPr>
          <w:p>
            <w:pPr>
              <w:spacing w:after="20" w:before="20" w:line="240" w:lineRule="auto"/>
              <w:jc w:val="left"/>
            </w:pPr>
            <w:r/>
            <w:r>
              <w:rPr>
                <w:sz w:val="20"/>
              </w:rPr>
              <w:t xml:space="preserve">Python 3.12 (environnement virtuel </w:t>
            </w:r>
            <w:r>
              <w:rPr>
                <w:rFonts w:ascii="Courier New" w:hAnsi="Courier New"/>
                <w:b w:val="0"/>
                <w:sz w:val="16"/>
              </w:rPr>
              <w:t>venv</w:t>
            </w:r>
            <w:r>
              <w:rPr>
                <w:sz w:val="20"/>
              </w:rPr>
              <w:t>) ; TypeScript pour l'interface</w:t>
            </w:r>
          </w:p>
        </w:tc>
      </w:tr>
      <w:tr>
        <w:trPr>
          <w:cantSplit w:val="true"/>
        </w:trPr>
        <w:tc>
          <w:tcPr>
            <w:tcW w:type="dxa" w:w="2203"/>
          </w:tcPr>
          <w:p>
            <w:pPr>
              <w:spacing w:after="20" w:before="20" w:line="240" w:lineRule="auto"/>
              <w:jc w:val="left"/>
            </w:pPr>
            <w:r/>
            <w:r>
              <w:rPr>
                <w:sz w:val="20"/>
              </w:rPr>
              <w:t>Conteneurisation</w:t>
            </w:r>
          </w:p>
        </w:tc>
        <w:tc>
          <w:tcPr>
            <w:tcW w:type="dxa" w:w="7186"/>
          </w:tcPr>
          <w:p>
            <w:pPr>
              <w:spacing w:after="20" w:before="20" w:line="240" w:lineRule="auto"/>
              <w:jc w:val="left"/>
            </w:pPr>
            <w:r/>
            <w:r>
              <w:rPr>
                <w:sz w:val="20"/>
              </w:rPr>
              <w:t>Docker Desktop (moteur 29.8), Docker Compose</w:t>
            </w:r>
          </w:p>
        </w:tc>
      </w:tr>
      <w:tr>
        <w:trPr>
          <w:cantSplit w:val="true"/>
        </w:trPr>
        <w:tc>
          <w:tcPr>
            <w:tcW w:type="dxa" w:w="2203"/>
          </w:tcPr>
          <w:p>
            <w:pPr>
              <w:spacing w:after="20" w:before="20" w:line="240" w:lineRule="auto"/>
              <w:jc w:val="left"/>
            </w:pPr>
            <w:r/>
            <w:r>
              <w:rPr>
                <w:sz w:val="20"/>
              </w:rPr>
              <w:t>Contrôle de version</w:t>
            </w:r>
          </w:p>
        </w:tc>
        <w:tc>
          <w:tcPr>
            <w:tcW w:type="dxa" w:w="7186"/>
          </w:tcPr>
          <w:p>
            <w:pPr>
              <w:spacing w:after="20" w:before="20" w:line="240" w:lineRule="auto"/>
              <w:jc w:val="left"/>
            </w:pPr>
            <w:r/>
            <w:r>
              <w:rPr>
                <w:sz w:val="20"/>
              </w:rPr>
              <w:t>Git ; dépôt GitHub ; une branche par fonctionnalité</w:t>
            </w:r>
          </w:p>
        </w:tc>
      </w:tr>
      <w:tr>
        <w:trPr>
          <w:cantSplit w:val="true"/>
        </w:trPr>
        <w:tc>
          <w:tcPr>
            <w:tcW w:type="dxa" w:w="2203"/>
          </w:tcPr>
          <w:p>
            <w:pPr>
              <w:spacing w:after="20" w:before="20" w:line="240" w:lineRule="auto"/>
              <w:jc w:val="left"/>
            </w:pPr>
            <w:r/>
            <w:r>
              <w:rPr>
                <w:sz w:val="20"/>
              </w:rPr>
              <w:t>Tests</w:t>
            </w:r>
          </w:p>
        </w:tc>
        <w:tc>
          <w:tcPr>
            <w:tcW w:type="dxa" w:w="7186"/>
          </w:tcPr>
          <w:p>
            <w:pPr>
              <w:spacing w:after="20" w:before="20" w:line="240" w:lineRule="auto"/>
              <w:jc w:val="left"/>
            </w:pPr>
            <w:r/>
            <w:r>
              <w:rPr>
                <w:sz w:val="20"/>
              </w:rPr>
              <w:t>pytest 8.3 ; 158 tests automatisés (96 pour la partie apprentissage, 25 pour le back-office, 21 pour l'API d'intégration, 12 pour le service de notation, 4 pour les workers)</w:t>
            </w:r>
          </w:p>
        </w:tc>
      </w:tr>
      <w:tr>
        <w:trPr>
          <w:cantSplit w:val="true"/>
        </w:trPr>
        <w:tc>
          <w:tcPr>
            <w:tcW w:type="dxa" w:w="2203"/>
          </w:tcPr>
          <w:p>
            <w:pPr>
              <w:spacing w:after="20" w:before="20" w:line="240" w:lineRule="auto"/>
              <w:jc w:val="left"/>
            </w:pPr>
            <w:r/>
            <w:r>
              <w:rPr>
                <w:sz w:val="20"/>
              </w:rPr>
              <w:t>Base de données de développement</w:t>
            </w:r>
          </w:p>
        </w:tc>
        <w:tc>
          <w:tcPr>
            <w:tcW w:type="dxa" w:w="7186"/>
          </w:tcPr>
          <w:p>
            <w:pPr>
              <w:spacing w:after="20" w:before="20" w:line="240" w:lineRule="auto"/>
              <w:jc w:val="left"/>
            </w:pPr>
            <w:r/>
            <w:r>
              <w:rPr>
                <w:sz w:val="20"/>
              </w:rPr>
              <w:t>PostgreSQL / TimescaleDB, schéma créé par les migrations Alembic</w:t>
            </w:r>
          </w:p>
        </w:tc>
      </w:tr>
      <w:tr>
        <w:trPr>
          <w:cantSplit w:val="true"/>
        </w:trPr>
        <w:tc>
          <w:tcPr>
            <w:tcW w:type="dxa" w:w="2203"/>
          </w:tcPr>
          <w:p>
            <w:pPr>
              <w:spacing w:after="20" w:before="20" w:line="240" w:lineRule="auto"/>
              <w:jc w:val="left"/>
            </w:pPr>
            <w:r/>
            <w:r>
              <w:rPr>
                <w:sz w:val="20"/>
              </w:rPr>
              <w:t>Suivi des expériences</w:t>
            </w:r>
          </w:p>
        </w:tc>
        <w:tc>
          <w:tcPr>
            <w:tcW w:type="dxa" w:w="7186"/>
          </w:tcPr>
          <w:p>
            <w:pPr>
              <w:spacing w:after="20" w:before="20" w:line="240" w:lineRule="auto"/>
              <w:jc w:val="left"/>
            </w:pPr>
            <w:r/>
            <w:r>
              <w:rPr>
                <w:sz w:val="20"/>
              </w:rPr>
              <w:t>MLflow (registre des modèles)</w:t>
            </w:r>
          </w:p>
        </w:tc>
      </w:tr>
      <w:tr>
        <w:trPr>
          <w:cantSplit w:val="true"/>
        </w:trPr>
        <w:tc>
          <w:tcPr>
            <w:tcW w:type="dxa" w:w="2203"/>
          </w:tcPr>
          <w:p>
            <w:pPr>
              <w:spacing w:after="20" w:before="20" w:line="240" w:lineRule="auto"/>
              <w:jc w:val="left"/>
            </w:pPr>
            <w:r/>
            <w:r>
              <w:rPr>
                <w:sz w:val="20"/>
              </w:rPr>
              <w:t>Durée d'un entraînement complet</w:t>
            </w:r>
          </w:p>
        </w:tc>
        <w:tc>
          <w:tcPr>
            <w:tcW w:type="dxa" w:w="7186"/>
          </w:tcPr>
          <w:p>
            <w:pPr>
              <w:spacing w:after="20" w:before="20" w:line="240" w:lineRule="auto"/>
              <w:jc w:val="left"/>
            </w:pPr>
            <w:r/>
            <w:r>
              <w:rPr>
                <w:sz w:val="20"/>
              </w:rPr>
              <w:t>environ 7 minutes (403 s lors du diagnostic) pour l'ensemble des trois modèles</w:t>
            </w:r>
          </w:p>
        </w:tc>
      </w:tr>
    </w:tbl>
    <w:p>
      <w:pPr>
        <w:spacing w:after="120"/>
      </w:pPr>
    </w:p>
    <w:p>
      <w:pPr>
        <w:spacing w:before="0" w:after="120" w:line="360" w:lineRule="auto"/>
        <w:jc w:val="both"/>
      </w:pPr>
      <w:r>
        <w:rPr>
          <w:sz w:val="24"/>
        </w:rPr>
        <w:t xml:space="preserve">L'organisation du dépôt suit l'architecture : un dossier par service, un dossier </w:t>
      </w:r>
      <w:r>
        <w:rPr>
          <w:rFonts w:ascii="Courier New" w:hAnsi="Courier New"/>
          <w:b w:val="0"/>
          <w:sz w:val="20"/>
        </w:rPr>
        <w:t>ml/</w:t>
      </w:r>
      <w:r>
        <w:rPr>
          <w:sz w:val="24"/>
        </w:rPr>
        <w:t xml:space="preserve"> pour tout ce qui touche à l'apprentissage, un dossier </w:t>
      </w:r>
      <w:r>
        <w:rPr>
          <w:rFonts w:ascii="Courier New" w:hAnsi="Courier New"/>
          <w:b w:val="0"/>
          <w:sz w:val="20"/>
        </w:rPr>
        <w:t>shared/</w:t>
      </w:r>
      <w:r>
        <w:rPr>
          <w:sz w:val="24"/>
        </w:rPr>
        <w:t xml:space="preserve"> pour le code partagé et un dossier </w:t>
      </w:r>
      <w:r>
        <w:rPr>
          <w:rFonts w:ascii="Courier New" w:hAnsi="Courier New"/>
          <w:b w:val="0"/>
          <w:sz w:val="20"/>
        </w:rPr>
        <w:t>infra/</w:t>
      </w:r>
      <w:r>
        <w:rPr>
          <w:sz w:val="24"/>
        </w:rPr>
        <w:t xml:space="preserve"> pour la supervision et le déploiement. Le même code de calcul des variables sert à l'entraînement et au service de notation (chapitre II, § 4.8). Les tests d'intégration créent une base PostgreSQL dédiée à partir des vraies migrations, de sorte que le schéma testé est celui de la production. Une procédure de reconstruction complète (génération, variables, entraînement, typologie, références de dérive) est automatisée par un script (</w:t>
      </w:r>
      <w:r>
        <w:rPr>
          <w:rFonts w:ascii="Courier New" w:hAnsi="Courier New"/>
          <w:b w:val="0"/>
          <w:sz w:val="20"/>
        </w:rPr>
        <w:t>scripts/run_pipeline.ps1</w:t>
      </w:r>
      <w:r>
        <w:rPr>
          <w:sz w:val="24"/>
        </w:rPr>
        <w:t>).</w:t>
      </w:r>
    </w:p>
    <w:p>
      <w:pPr>
        <w:pStyle w:val="Titre3"/>
        <w:keepNext/>
        <w:numPr>
          <w:numId w:val="0"/>
        </w:numPr>
        <w:spacing w:before="280" w:after="120"/>
        <w:ind w:left="0" w:firstLine="0"/>
        <w:jc w:val="left"/>
      </w:pPr>
      <w:r>
        <w:rPr>
          <w:b/>
          <w:color w:val="1F2A44"/>
          <w:sz w:val="28"/>
        </w:rPr>
        <w:t>2. Technologies de développement</w:t>
      </w:r>
    </w:p>
    <w:p>
      <w:pPr>
        <w:spacing w:before="0" w:after="120" w:line="360" w:lineRule="auto"/>
        <w:jc w:val="both"/>
      </w:pPr>
      <w:r>
        <w:rPr>
          <w:sz w:val="24"/>
        </w:rPr>
        <w:t>Toutes les technologies sont libres, sans coût de licence ni dépendance à un service en ligne (tableau III.32). Les versions sont figées pour garantir la reproductibilité.</w:t>
      </w:r>
    </w:p>
    <w:p>
      <w:pPr>
        <w:pStyle w:val="Légendetableau"/>
        <w:keepNext/>
        <w:spacing w:before="200" w:after="80"/>
        <w:jc w:val="center"/>
      </w:pPr>
      <w:r>
        <w:rPr>
          <w:b/>
          <w:sz w:val="20"/>
        </w:rPr>
        <w:t>Tableau III.32 — Technologies et versions.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2344"/>
        <w:gridCol w:w="7045"/>
      </w:tblGrid>
      <w:tr>
        <w:trPr>
          <w:tblHeader w:val="true"/>
        </w:trPr>
        <w:tc>
          <w:tcPr>
            <w:tcW w:type="dxa" w:w="2344"/>
            <w:shd w:val="clear" w:color="auto" w:fill="D9E2F3"/>
          </w:tcPr>
          <w:p>
            <w:pPr>
              <w:spacing w:after="20" w:before="20" w:line="240" w:lineRule="auto"/>
              <w:jc w:val="left"/>
            </w:pPr>
            <w:r/>
            <w:r>
              <w:rPr>
                <w:b/>
                <w:sz w:val="20"/>
              </w:rPr>
              <w:t>Domaine</w:t>
            </w:r>
          </w:p>
        </w:tc>
        <w:tc>
          <w:tcPr>
            <w:tcW w:type="dxa" w:w="7045"/>
            <w:shd w:val="clear" w:color="auto" w:fill="D9E2F3"/>
          </w:tcPr>
          <w:p>
            <w:pPr>
              <w:spacing w:after="20" w:before="20" w:line="240" w:lineRule="auto"/>
              <w:jc w:val="left"/>
            </w:pPr>
            <w:r/>
            <w:r>
              <w:rPr>
                <w:b/>
                <w:sz w:val="20"/>
              </w:rPr>
              <w:t>Technologies</w:t>
            </w:r>
          </w:p>
        </w:tc>
      </w:tr>
      <w:tr>
        <w:trPr>
          <w:cantSplit w:val="true"/>
        </w:trPr>
        <w:tc>
          <w:tcPr>
            <w:tcW w:type="dxa" w:w="2344"/>
          </w:tcPr>
          <w:p>
            <w:pPr>
              <w:spacing w:after="20" w:before="20" w:line="240" w:lineRule="auto"/>
              <w:jc w:val="left"/>
            </w:pPr>
            <w:r/>
            <w:r>
              <w:rPr>
                <w:sz w:val="20"/>
              </w:rPr>
              <w:t>Données et calcul</w:t>
            </w:r>
          </w:p>
        </w:tc>
        <w:tc>
          <w:tcPr>
            <w:tcW w:type="dxa" w:w="7045"/>
          </w:tcPr>
          <w:p>
            <w:pPr>
              <w:spacing w:after="20" w:before="20" w:line="240" w:lineRule="auto"/>
              <w:jc w:val="left"/>
            </w:pPr>
            <w:r/>
            <w:r>
              <w:rPr>
                <w:sz w:val="20"/>
              </w:rPr>
              <w:t>NumPy 1.26, pandas 2.2, SciPy, scikit-learn 1.4</w:t>
            </w:r>
          </w:p>
        </w:tc>
      </w:tr>
      <w:tr>
        <w:trPr>
          <w:cantSplit w:val="true"/>
        </w:trPr>
        <w:tc>
          <w:tcPr>
            <w:tcW w:type="dxa" w:w="2344"/>
          </w:tcPr>
          <w:p>
            <w:pPr>
              <w:spacing w:after="20" w:before="20" w:line="240" w:lineRule="auto"/>
              <w:jc w:val="left"/>
            </w:pPr>
            <w:r/>
            <w:r>
              <w:rPr>
                <w:sz w:val="20"/>
              </w:rPr>
              <w:t>Apprentissage</w:t>
            </w:r>
          </w:p>
        </w:tc>
        <w:tc>
          <w:tcPr>
            <w:tcW w:type="dxa" w:w="7045"/>
          </w:tcPr>
          <w:p>
            <w:pPr>
              <w:spacing w:after="20" w:before="20" w:line="240" w:lineRule="auto"/>
              <w:jc w:val="left"/>
            </w:pPr>
            <w:r/>
            <w:r>
              <w:rPr>
                <w:sz w:val="20"/>
              </w:rPr>
              <w:t>XGBoost 2.0 (arbres boostés, TreeSHAP natif), PyTorch 2.2 (LSTM, autoencodeur), joblib</w:t>
            </w:r>
          </w:p>
        </w:tc>
      </w:tr>
      <w:tr>
        <w:trPr>
          <w:cantSplit w:val="true"/>
        </w:trPr>
        <w:tc>
          <w:tcPr>
            <w:tcW w:type="dxa" w:w="2344"/>
          </w:tcPr>
          <w:p>
            <w:pPr>
              <w:spacing w:after="20" w:before="20" w:line="240" w:lineRule="auto"/>
              <w:jc w:val="left"/>
            </w:pPr>
            <w:r/>
            <w:r>
              <w:rPr>
                <w:sz w:val="20"/>
              </w:rPr>
              <w:t>Suivi des modèles</w:t>
            </w:r>
          </w:p>
        </w:tc>
        <w:tc>
          <w:tcPr>
            <w:tcW w:type="dxa" w:w="7045"/>
          </w:tcPr>
          <w:p>
            <w:pPr>
              <w:spacing w:after="20" w:before="20" w:line="240" w:lineRule="auto"/>
              <w:jc w:val="left"/>
            </w:pPr>
            <w:r/>
            <w:r>
              <w:rPr>
                <w:sz w:val="20"/>
              </w:rPr>
              <w:t>MLflow 2.16</w:t>
            </w:r>
          </w:p>
        </w:tc>
      </w:tr>
      <w:tr>
        <w:trPr>
          <w:cantSplit w:val="true"/>
        </w:trPr>
        <w:tc>
          <w:tcPr>
            <w:tcW w:type="dxa" w:w="2344"/>
          </w:tcPr>
          <w:p>
            <w:pPr>
              <w:spacing w:after="20" w:before="20" w:line="240" w:lineRule="auto"/>
              <w:jc w:val="left"/>
            </w:pPr>
            <w:r/>
            <w:r>
              <w:rPr>
                <w:sz w:val="20"/>
              </w:rPr>
              <w:t>Services web</w:t>
            </w:r>
          </w:p>
        </w:tc>
        <w:tc>
          <w:tcPr>
            <w:tcW w:type="dxa" w:w="7045"/>
          </w:tcPr>
          <w:p>
            <w:pPr>
              <w:spacing w:after="20" w:before="20" w:line="240" w:lineRule="auto"/>
              <w:jc w:val="left"/>
            </w:pPr>
            <w:r/>
            <w:r>
              <w:rPr>
                <w:sz w:val="20"/>
              </w:rPr>
              <w:t>FastAPI 0.110, Uvicorn 0.28, Pydantic 2.6, httpx 0.27</w:t>
            </w:r>
          </w:p>
        </w:tc>
      </w:tr>
      <w:tr>
        <w:trPr>
          <w:cantSplit w:val="true"/>
        </w:trPr>
        <w:tc>
          <w:tcPr>
            <w:tcW w:type="dxa" w:w="2344"/>
          </w:tcPr>
          <w:p>
            <w:pPr>
              <w:spacing w:after="20" w:before="20" w:line="240" w:lineRule="auto"/>
              <w:jc w:val="left"/>
            </w:pPr>
            <w:r/>
            <w:r>
              <w:rPr>
                <w:sz w:val="20"/>
              </w:rPr>
              <w:t>Base de données</w:t>
            </w:r>
          </w:p>
        </w:tc>
        <w:tc>
          <w:tcPr>
            <w:tcW w:type="dxa" w:w="7045"/>
          </w:tcPr>
          <w:p>
            <w:pPr>
              <w:spacing w:after="20" w:before="20" w:line="240" w:lineRule="auto"/>
              <w:jc w:val="left"/>
            </w:pPr>
            <w:r/>
            <w:r>
              <w:rPr>
                <w:sz w:val="20"/>
              </w:rPr>
              <w:t>PostgreSQL 16 avec TimescaleDB 2.14, SQLAlchemy 2.0, Alembic 1.13, psycopg2</w:t>
            </w:r>
          </w:p>
        </w:tc>
      </w:tr>
      <w:tr>
        <w:trPr>
          <w:cantSplit w:val="true"/>
        </w:trPr>
        <w:tc>
          <w:tcPr>
            <w:tcW w:type="dxa" w:w="2344"/>
          </w:tcPr>
          <w:p>
            <w:pPr>
              <w:spacing w:after="20" w:before="20" w:line="240" w:lineRule="auto"/>
              <w:jc w:val="left"/>
            </w:pPr>
            <w:r/>
            <w:r>
              <w:rPr>
                <w:sz w:val="20"/>
              </w:rPr>
              <w:t>Profils en mémoire</w:t>
            </w:r>
          </w:p>
        </w:tc>
        <w:tc>
          <w:tcPr>
            <w:tcW w:type="dxa" w:w="7045"/>
          </w:tcPr>
          <w:p>
            <w:pPr>
              <w:spacing w:after="20" w:before="20" w:line="240" w:lineRule="auto"/>
              <w:jc w:val="left"/>
            </w:pPr>
            <w:r/>
            <w:r>
              <w:rPr>
                <w:sz w:val="20"/>
              </w:rPr>
              <w:t>Redis 7.2 (client redis-py 5.0)</w:t>
            </w:r>
          </w:p>
        </w:tc>
      </w:tr>
      <w:tr>
        <w:trPr>
          <w:cantSplit w:val="true"/>
        </w:trPr>
        <w:tc>
          <w:tcPr>
            <w:tcW w:type="dxa" w:w="2344"/>
          </w:tcPr>
          <w:p>
            <w:pPr>
              <w:spacing w:after="20" w:before="20" w:line="240" w:lineRule="auto"/>
              <w:jc w:val="left"/>
            </w:pPr>
            <w:r/>
            <w:r>
              <w:rPr>
                <w:sz w:val="20"/>
              </w:rPr>
              <w:t>Bus d'événements</w:t>
            </w:r>
          </w:p>
        </w:tc>
        <w:tc>
          <w:tcPr>
            <w:tcW w:type="dxa" w:w="7045"/>
          </w:tcPr>
          <w:p>
            <w:pPr>
              <w:spacing w:after="20" w:before="20" w:line="240" w:lineRule="auto"/>
              <w:jc w:val="left"/>
            </w:pPr>
            <w:r/>
            <w:r>
              <w:rPr>
                <w:sz w:val="20"/>
              </w:rPr>
              <w:t>Kafka, via Redpanda v24.1 (client confluent-kafka 2.3)</w:t>
            </w:r>
          </w:p>
        </w:tc>
      </w:tr>
      <w:tr>
        <w:trPr>
          <w:cantSplit w:val="true"/>
        </w:trPr>
        <w:tc>
          <w:tcPr>
            <w:tcW w:type="dxa" w:w="2344"/>
          </w:tcPr>
          <w:p>
            <w:pPr>
              <w:spacing w:after="20" w:before="20" w:line="240" w:lineRule="auto"/>
              <w:jc w:val="left"/>
            </w:pPr>
            <w:r/>
            <w:r>
              <w:rPr>
                <w:sz w:val="20"/>
              </w:rPr>
              <w:t>Sécurité</w:t>
            </w:r>
          </w:p>
        </w:tc>
        <w:tc>
          <w:tcPr>
            <w:tcW w:type="dxa" w:w="7045"/>
          </w:tcPr>
          <w:p>
            <w:pPr>
              <w:spacing w:after="20" w:before="20" w:line="240" w:lineRule="auto"/>
              <w:jc w:val="left"/>
            </w:pPr>
            <w:r/>
            <w:r>
              <w:rPr>
                <w:sz w:val="20"/>
              </w:rPr>
              <w:t>python-jose (jetons JWT), bcrypt 4.2, hachage SHA-256, codes à usage unique (TOTP, RFC 6238)</w:t>
            </w:r>
          </w:p>
        </w:tc>
      </w:tr>
      <w:tr>
        <w:trPr>
          <w:cantSplit w:val="true"/>
        </w:trPr>
        <w:tc>
          <w:tcPr>
            <w:tcW w:type="dxa" w:w="2344"/>
          </w:tcPr>
          <w:p>
            <w:pPr>
              <w:spacing w:after="20" w:before="20" w:line="240" w:lineRule="auto"/>
              <w:jc w:val="left"/>
            </w:pPr>
            <w:r/>
            <w:r>
              <w:rPr>
                <w:sz w:val="20"/>
              </w:rPr>
              <w:t>Interface</w:t>
            </w:r>
          </w:p>
        </w:tc>
        <w:tc>
          <w:tcPr>
            <w:tcW w:type="dxa" w:w="7045"/>
          </w:tcPr>
          <w:p>
            <w:pPr>
              <w:spacing w:after="20" w:before="20" w:line="240" w:lineRule="auto"/>
              <w:jc w:val="left"/>
            </w:pPr>
            <w:r/>
            <w:r>
              <w:rPr>
                <w:sz w:val="20"/>
              </w:rPr>
              <w:t>Next.js 14, React 18, TypeScript 5, Tailwind CSS 3, Recharts 2, Leaflet 1.9</w:t>
            </w:r>
          </w:p>
        </w:tc>
      </w:tr>
      <w:tr>
        <w:trPr>
          <w:cantSplit w:val="true"/>
        </w:trPr>
        <w:tc>
          <w:tcPr>
            <w:tcW w:type="dxa" w:w="2344"/>
          </w:tcPr>
          <w:p>
            <w:pPr>
              <w:spacing w:after="20" w:before="20" w:line="240" w:lineRule="auto"/>
              <w:jc w:val="left"/>
            </w:pPr>
            <w:r/>
            <w:r>
              <w:rPr>
                <w:sz w:val="20"/>
              </w:rPr>
              <w:t>Passerelle</w:t>
            </w:r>
          </w:p>
        </w:tc>
        <w:tc>
          <w:tcPr>
            <w:tcW w:type="dxa" w:w="7045"/>
          </w:tcPr>
          <w:p>
            <w:pPr>
              <w:spacing w:after="20" w:before="20" w:line="240" w:lineRule="auto"/>
              <w:jc w:val="left"/>
            </w:pPr>
            <w:r/>
            <w:r>
              <w:rPr>
                <w:sz w:val="20"/>
              </w:rPr>
              <w:t>Nginx 1.27</w:t>
            </w:r>
          </w:p>
        </w:tc>
      </w:tr>
      <w:tr>
        <w:trPr>
          <w:cantSplit w:val="true"/>
        </w:trPr>
        <w:tc>
          <w:tcPr>
            <w:tcW w:type="dxa" w:w="2344"/>
          </w:tcPr>
          <w:p>
            <w:pPr>
              <w:spacing w:after="20" w:before="20" w:line="240" w:lineRule="auto"/>
              <w:jc w:val="left"/>
            </w:pPr>
            <w:r/>
            <w:r>
              <w:rPr>
                <w:sz w:val="20"/>
              </w:rPr>
              <w:t>Supervision</w:t>
            </w:r>
          </w:p>
        </w:tc>
        <w:tc>
          <w:tcPr>
            <w:tcW w:type="dxa" w:w="7045"/>
          </w:tcPr>
          <w:p>
            <w:pPr>
              <w:spacing w:after="20" w:before="20" w:line="240" w:lineRule="auto"/>
              <w:jc w:val="left"/>
            </w:pPr>
            <w:r/>
            <w:r>
              <w:rPr>
                <w:sz w:val="20"/>
              </w:rPr>
              <w:t>Prometheus 2.54, Grafana 11.2, Loki 3.1, Promtail 3.1</w:t>
            </w:r>
          </w:p>
        </w:tc>
      </w:tr>
      <w:tr>
        <w:trPr>
          <w:cantSplit w:val="true"/>
        </w:trPr>
        <w:tc>
          <w:tcPr>
            <w:tcW w:type="dxa" w:w="2344"/>
          </w:tcPr>
          <w:p>
            <w:pPr>
              <w:spacing w:after="20" w:before="20" w:line="240" w:lineRule="auto"/>
              <w:jc w:val="left"/>
            </w:pPr>
            <w:r/>
            <w:r>
              <w:rPr>
                <w:sz w:val="20"/>
              </w:rPr>
              <w:t>Messagerie de démonstration</w:t>
            </w:r>
          </w:p>
        </w:tc>
        <w:tc>
          <w:tcPr>
            <w:tcW w:type="dxa" w:w="7045"/>
          </w:tcPr>
          <w:p>
            <w:pPr>
              <w:spacing w:after="20" w:before="20" w:line="240" w:lineRule="auto"/>
              <w:jc w:val="left"/>
            </w:pPr>
            <w:r/>
            <w:r>
              <w:rPr>
                <w:sz w:val="20"/>
              </w:rPr>
              <w:t>Mailpit 1.20 (boîte e-mail locale)</w:t>
            </w:r>
          </w:p>
        </w:tc>
      </w:tr>
      <w:tr>
        <w:trPr>
          <w:cantSplit w:val="true"/>
        </w:trPr>
        <w:tc>
          <w:tcPr>
            <w:tcW w:type="dxa" w:w="2344"/>
          </w:tcPr>
          <w:p>
            <w:pPr>
              <w:spacing w:after="20" w:before="20" w:line="240" w:lineRule="auto"/>
              <w:jc w:val="left"/>
            </w:pPr>
            <w:r/>
            <w:r>
              <w:rPr>
                <w:sz w:val="20"/>
              </w:rPr>
              <w:t>Tests</w:t>
            </w:r>
          </w:p>
        </w:tc>
        <w:tc>
          <w:tcPr>
            <w:tcW w:type="dxa" w:w="7045"/>
          </w:tcPr>
          <w:p>
            <w:pPr>
              <w:spacing w:after="20" w:before="20" w:line="240" w:lineRule="auto"/>
              <w:jc w:val="left"/>
            </w:pPr>
            <w:r/>
            <w:r>
              <w:rPr>
                <w:sz w:val="20"/>
              </w:rPr>
              <w:t>pytest, fakeredis (Redis simulé)</w:t>
            </w:r>
          </w:p>
        </w:tc>
      </w:tr>
      <w:tr>
        <w:trPr>
          <w:cantSplit w:val="true"/>
        </w:trPr>
        <w:tc>
          <w:tcPr>
            <w:tcW w:type="dxa" w:w="2344"/>
          </w:tcPr>
          <w:p>
            <w:pPr>
              <w:spacing w:after="20" w:before="20" w:line="240" w:lineRule="auto"/>
              <w:jc w:val="left"/>
            </w:pPr>
            <w:r/>
            <w:r>
              <w:rPr>
                <w:sz w:val="20"/>
              </w:rPr>
              <w:t>Modélisation</w:t>
            </w:r>
          </w:p>
        </w:tc>
        <w:tc>
          <w:tcPr>
            <w:tcW w:type="dxa" w:w="7045"/>
          </w:tcPr>
          <w:p>
            <w:pPr>
              <w:spacing w:after="20" w:before="20" w:line="240" w:lineRule="auto"/>
              <w:jc w:val="left"/>
            </w:pPr>
            <w:r/>
            <w:r>
              <w:rPr>
                <w:sz w:val="20"/>
              </w:rPr>
              <w:t>PlantUML</w:t>
            </w:r>
          </w:p>
        </w:tc>
      </w:tr>
      <w:tr>
        <w:trPr>
          <w:cantSplit w:val="true"/>
        </w:trPr>
        <w:tc>
          <w:tcPr>
            <w:tcW w:type="dxa" w:w="2344"/>
          </w:tcPr>
          <w:p>
            <w:pPr>
              <w:spacing w:after="20" w:before="20" w:line="240" w:lineRule="auto"/>
              <w:jc w:val="left"/>
            </w:pPr>
            <w:r/>
            <w:r>
              <w:rPr>
                <w:sz w:val="20"/>
              </w:rPr>
              <w:t>Déploiement</w:t>
            </w:r>
          </w:p>
        </w:tc>
        <w:tc>
          <w:tcPr>
            <w:tcW w:type="dxa" w:w="7045"/>
          </w:tcPr>
          <w:p>
            <w:pPr>
              <w:spacing w:after="20" w:before="20" w:line="240" w:lineRule="auto"/>
              <w:jc w:val="left"/>
            </w:pPr>
            <w:r/>
            <w:r>
              <w:rPr>
                <w:sz w:val="20"/>
              </w:rPr>
              <w:t>Docker, Docker Compose, Kubernetes (Kustomize)</w:t>
            </w:r>
          </w:p>
        </w:tc>
      </w:tr>
    </w:tbl>
    <w:p>
      <w:pPr>
        <w:spacing w:after="120"/>
      </w:pPr>
    </w:p>
    <w:p>
      <w:pPr>
        <w:spacing w:before="0" w:after="120" w:line="360" w:lineRule="auto"/>
        <w:jc w:val="both"/>
      </w:pPr>
      <w:r>
        <w:rPr>
          <w:sz w:val="24"/>
        </w:rPr>
        <w:t xml:space="preserve">Les choix ont été guidés par cinq raisons : </w:t>
      </w:r>
      <w:r>
        <w:rPr>
          <w:b/>
          <w:sz w:val="24"/>
        </w:rPr>
        <w:t>FastAPI</w:t>
      </w:r>
      <w:r>
        <w:rPr>
          <w:sz w:val="24"/>
        </w:rPr>
        <w:t xml:space="preserve"> parce qu'il partage le langage des modèles, traite les requêtes de façon asynchrone et produit automatiquement une documentation OpenAPI ; </w:t>
      </w:r>
      <w:r>
        <w:rPr>
          <w:b/>
          <w:sz w:val="24"/>
        </w:rPr>
        <w:t>XGBoost</w:t>
      </w:r>
      <w:r>
        <w:rPr>
          <w:sz w:val="24"/>
        </w:rPr>
        <w:t xml:space="preserve"> pour sa performance sur données tabulaires et son explication exacte ; </w:t>
      </w:r>
      <w:r>
        <w:rPr>
          <w:b/>
          <w:sz w:val="24"/>
        </w:rPr>
        <w:t>Redis</w:t>
      </w:r>
      <w:r>
        <w:rPr>
          <w:sz w:val="24"/>
        </w:rPr>
        <w:t xml:space="preserve"> parce qu'il lit un profil en moins d'une milliseconde, avec verrous et expiration automatique ; </w:t>
      </w:r>
      <w:r>
        <w:rPr>
          <w:b/>
          <w:sz w:val="24"/>
        </w:rPr>
        <w:t>PostgreSQL avec TimescaleDB</w:t>
      </w:r>
      <w:r>
        <w:rPr>
          <w:sz w:val="24"/>
        </w:rPr>
        <w:t xml:space="preserve"> parce qu'il unit le relationnel et les séries temporelles, avec un partitionnement automatique par le temps ; </w:t>
      </w:r>
      <w:r>
        <w:rPr>
          <w:b/>
          <w:sz w:val="24"/>
        </w:rPr>
        <w:t>Kafka</w:t>
      </w:r>
      <w:r>
        <w:rPr>
          <w:sz w:val="24"/>
        </w:rPr>
        <w:t xml:space="preserve"> pour le découplage entre la décision et le reste, le rejeu et les garanties de livraison.</w:t>
      </w:r>
    </w:p>
    <w:p>
      <w:pPr>
        <w:pStyle w:val="Titre3"/>
        <w:keepNext/>
        <w:numPr>
          <w:numId w:val="0"/>
        </w:numPr>
        <w:spacing w:before="280" w:after="120"/>
        <w:ind w:left="0" w:firstLine="0"/>
        <w:jc w:val="left"/>
      </w:pPr>
      <w:r>
        <w:rPr>
          <w:b/>
          <w:color w:val="1F2A44"/>
          <w:sz w:val="28"/>
        </w:rPr>
        <w:t>3. Architecture de la solution</w:t>
      </w:r>
    </w:p>
    <w:p>
      <w:pPr>
        <w:pStyle w:val="Titre4"/>
        <w:keepNext/>
        <w:numPr>
          <w:numId w:val="0"/>
        </w:numPr>
        <w:spacing w:before="200" w:after="120"/>
        <w:ind w:left="0" w:firstLine="0"/>
        <w:jc w:val="left"/>
      </w:pPr>
      <w:r>
        <w:rPr>
          <w:b/>
          <w:i/>
          <w:color w:val="000000"/>
          <w:sz w:val="25"/>
        </w:rPr>
        <w:t>3.1 Principes d'architecture</w:t>
      </w:r>
    </w:p>
    <w:p>
      <w:pPr>
        <w:pStyle w:val="Légendetableau"/>
        <w:keepNext/>
        <w:spacing w:before="200" w:after="80"/>
        <w:jc w:val="center"/>
      </w:pPr>
      <w:r>
        <w:rPr>
          <w:b/>
          <w:sz w:val="20"/>
        </w:rPr>
        <w:t>Tableau III.33 — Principes d'architecture.</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2014"/>
        <w:gridCol w:w="5970"/>
        <w:gridCol w:w="1405"/>
      </w:tblGrid>
      <w:tr>
        <w:trPr>
          <w:tblHeader w:val="true"/>
        </w:trPr>
        <w:tc>
          <w:tcPr>
            <w:tcW w:type="dxa" w:w="2014"/>
            <w:shd w:val="clear" w:color="auto" w:fill="D9E2F3"/>
          </w:tcPr>
          <w:p>
            <w:pPr>
              <w:spacing w:after="20" w:before="20" w:line="240" w:lineRule="auto"/>
              <w:jc w:val="left"/>
            </w:pPr>
            <w:r/>
            <w:r>
              <w:rPr>
                <w:b/>
                <w:sz w:val="20"/>
              </w:rPr>
              <w:t>Principe</w:t>
            </w:r>
          </w:p>
        </w:tc>
        <w:tc>
          <w:tcPr>
            <w:tcW w:type="dxa" w:w="5970"/>
            <w:shd w:val="clear" w:color="auto" w:fill="D9E2F3"/>
          </w:tcPr>
          <w:p>
            <w:pPr>
              <w:spacing w:after="20" w:before="20" w:line="240" w:lineRule="auto"/>
              <w:jc w:val="left"/>
            </w:pPr>
            <w:r/>
            <w:r>
              <w:rPr>
                <w:b/>
                <w:sz w:val="20"/>
              </w:rPr>
              <w:t>Mise en œuvre</w:t>
            </w:r>
          </w:p>
        </w:tc>
        <w:tc>
          <w:tcPr>
            <w:tcW w:type="dxa" w:w="1405"/>
            <w:shd w:val="clear" w:color="auto" w:fill="D9E2F3"/>
          </w:tcPr>
          <w:p>
            <w:pPr>
              <w:spacing w:after="20" w:before="20" w:line="240" w:lineRule="auto"/>
              <w:jc w:val="left"/>
            </w:pPr>
            <w:r/>
            <w:r>
              <w:rPr>
                <w:b/>
                <w:sz w:val="20"/>
              </w:rPr>
              <w:t>Besoins servis</w:t>
            </w:r>
          </w:p>
        </w:tc>
      </w:tr>
      <w:tr>
        <w:trPr>
          <w:cantSplit w:val="true"/>
        </w:trPr>
        <w:tc>
          <w:tcPr>
            <w:tcW w:type="dxa" w:w="2014"/>
          </w:tcPr>
          <w:p>
            <w:pPr>
              <w:spacing w:after="20" w:before="20" w:line="240" w:lineRule="auto"/>
              <w:jc w:val="left"/>
            </w:pPr>
            <w:r/>
            <w:r>
              <w:rPr>
                <w:b/>
                <w:sz w:val="20"/>
              </w:rPr>
              <w:t>Microservices</w:t>
            </w:r>
          </w:p>
        </w:tc>
        <w:tc>
          <w:tcPr>
            <w:tcW w:type="dxa" w:w="5970"/>
          </w:tcPr>
          <w:p>
            <w:pPr>
              <w:spacing w:after="20" w:before="20" w:line="240" w:lineRule="auto"/>
              <w:jc w:val="left"/>
            </w:pPr>
            <w:r/>
            <w:r>
              <w:rPr>
                <w:sz w:val="20"/>
              </w:rPr>
              <w:t>Intégration, notation, back-office, workers et tâches d'apprentissage sont déployables séparément</w:t>
            </w:r>
          </w:p>
        </w:tc>
        <w:tc>
          <w:tcPr>
            <w:tcW w:type="dxa" w:w="1405"/>
          </w:tcPr>
          <w:p>
            <w:pPr>
              <w:spacing w:after="20" w:before="20" w:line="240" w:lineRule="auto"/>
              <w:jc w:val="left"/>
            </w:pPr>
            <w:r/>
            <w:r>
              <w:rPr>
                <w:sz w:val="20"/>
              </w:rPr>
              <w:t>BT-02, BT-27</w:t>
            </w:r>
          </w:p>
        </w:tc>
      </w:tr>
      <w:tr>
        <w:trPr>
          <w:cantSplit w:val="true"/>
        </w:trPr>
        <w:tc>
          <w:tcPr>
            <w:tcW w:type="dxa" w:w="2014"/>
          </w:tcPr>
          <w:p>
            <w:pPr>
              <w:spacing w:after="20" w:before="20" w:line="240" w:lineRule="auto"/>
              <w:jc w:val="left"/>
            </w:pPr>
            <w:r/>
            <w:r>
              <w:rPr>
                <w:b/>
                <w:sz w:val="20"/>
              </w:rPr>
              <w:t>Architecture orientée événements</w:t>
            </w:r>
          </w:p>
        </w:tc>
        <w:tc>
          <w:tcPr>
            <w:tcW w:type="dxa" w:w="5970"/>
          </w:tcPr>
          <w:p>
            <w:pPr>
              <w:spacing w:after="20" w:before="20" w:line="240" w:lineRule="auto"/>
              <w:jc w:val="left"/>
            </w:pPr>
            <w:r/>
            <w:r>
              <w:rPr>
                <w:sz w:val="20"/>
              </w:rPr>
              <w:t>Le chemin critique (décision) est synchrone ; tout le reste (enregistrement, alertes, audit) passe par Kafka, de façon asynchrone</w:t>
            </w:r>
          </w:p>
        </w:tc>
        <w:tc>
          <w:tcPr>
            <w:tcW w:type="dxa" w:w="1405"/>
          </w:tcPr>
          <w:p>
            <w:pPr>
              <w:spacing w:after="20" w:before="20" w:line="240" w:lineRule="auto"/>
              <w:jc w:val="left"/>
            </w:pPr>
            <w:r/>
            <w:r>
              <w:rPr>
                <w:sz w:val="20"/>
              </w:rPr>
              <w:t>BT-01, BT-10</w:t>
            </w:r>
          </w:p>
        </w:tc>
      </w:tr>
      <w:tr>
        <w:trPr>
          <w:cantSplit w:val="true"/>
        </w:trPr>
        <w:tc>
          <w:tcPr>
            <w:tcW w:type="dxa" w:w="2014"/>
          </w:tcPr>
          <w:p>
            <w:pPr>
              <w:spacing w:after="20" w:before="20" w:line="240" w:lineRule="auto"/>
              <w:jc w:val="left"/>
            </w:pPr>
            <w:r/>
            <w:r>
              <w:rPr>
                <w:b/>
                <w:sz w:val="20"/>
              </w:rPr>
              <w:t>Schéma pivot</w:t>
            </w:r>
          </w:p>
        </w:tc>
        <w:tc>
          <w:tcPr>
            <w:tcW w:type="dxa" w:w="5970"/>
          </w:tcPr>
          <w:p>
            <w:pPr>
              <w:spacing w:after="20" w:before="20" w:line="240" w:lineRule="auto"/>
              <w:jc w:val="left"/>
            </w:pPr>
            <w:r/>
            <w:r>
              <w:rPr>
                <w:sz w:val="20"/>
              </w:rPr>
              <w:t>Un format unique (</w:t>
            </w:r>
            <w:r>
              <w:rPr>
                <w:rFonts w:ascii="Courier New" w:hAnsi="Courier New"/>
                <w:b w:val="0"/>
                <w:sz w:val="16"/>
              </w:rPr>
              <w:t>UnifiedTransaction</w:t>
            </w:r>
            <w:r>
              <w:rPr>
                <w:sz w:val="20"/>
              </w:rPr>
              <w:t>) entre l'intégration et la notation</w:t>
            </w:r>
          </w:p>
        </w:tc>
        <w:tc>
          <w:tcPr>
            <w:tcW w:type="dxa" w:w="1405"/>
          </w:tcPr>
          <w:p>
            <w:pPr>
              <w:spacing w:after="20" w:before="20" w:line="240" w:lineRule="auto"/>
              <w:jc w:val="left"/>
            </w:pPr>
            <w:r/>
            <w:r>
              <w:rPr>
                <w:sz w:val="20"/>
              </w:rPr>
              <w:t>BM-11, BT-06</w:t>
            </w:r>
          </w:p>
        </w:tc>
      </w:tr>
      <w:tr>
        <w:trPr>
          <w:cantSplit w:val="true"/>
        </w:trPr>
        <w:tc>
          <w:tcPr>
            <w:tcW w:type="dxa" w:w="2014"/>
          </w:tcPr>
          <w:p>
            <w:pPr>
              <w:spacing w:after="20" w:before="20" w:line="240" w:lineRule="auto"/>
              <w:jc w:val="left"/>
            </w:pPr>
            <w:r/>
            <w:r>
              <w:rPr>
                <w:b/>
                <w:sz w:val="20"/>
              </w:rPr>
              <w:t>Défense en profondeur</w:t>
            </w:r>
          </w:p>
        </w:tc>
        <w:tc>
          <w:tcPr>
            <w:tcW w:type="dxa" w:w="5970"/>
          </w:tcPr>
          <w:p>
            <w:pPr>
              <w:spacing w:after="20" w:before="20" w:line="240" w:lineRule="auto"/>
              <w:jc w:val="left"/>
            </w:pPr>
            <w:r/>
            <w:r>
              <w:rPr>
                <w:sz w:val="20"/>
              </w:rPr>
              <w:t>Modèle appris, règles métier, lois physiques, analyse de réseau ; les règles ne peuvent que renforcer la décision</w:t>
            </w:r>
          </w:p>
        </w:tc>
        <w:tc>
          <w:tcPr>
            <w:tcW w:type="dxa" w:w="1405"/>
          </w:tcPr>
          <w:p>
            <w:pPr>
              <w:spacing w:after="20" w:before="20" w:line="240" w:lineRule="auto"/>
              <w:jc w:val="left"/>
            </w:pPr>
            <w:r/>
            <w:r>
              <w:rPr>
                <w:sz w:val="20"/>
              </w:rPr>
              <w:t>BM-03, BT-19</w:t>
            </w:r>
          </w:p>
        </w:tc>
      </w:tr>
      <w:tr>
        <w:trPr>
          <w:cantSplit w:val="true"/>
        </w:trPr>
        <w:tc>
          <w:tcPr>
            <w:tcW w:type="dxa" w:w="2014"/>
          </w:tcPr>
          <w:p>
            <w:pPr>
              <w:spacing w:after="20" w:before="20" w:line="240" w:lineRule="auto"/>
              <w:jc w:val="left"/>
            </w:pPr>
            <w:r/>
            <w:r>
              <w:rPr>
                <w:b/>
                <w:sz w:val="20"/>
              </w:rPr>
              <w:t>Explicabilité par conception</w:t>
            </w:r>
          </w:p>
        </w:tc>
        <w:tc>
          <w:tcPr>
            <w:tcW w:type="dxa" w:w="5970"/>
          </w:tcPr>
          <w:p>
            <w:pPr>
              <w:spacing w:after="20" w:before="20" w:line="240" w:lineRule="auto"/>
              <w:jc w:val="left"/>
            </w:pPr>
            <w:r/>
            <w:r>
              <w:rPr>
                <w:sz w:val="20"/>
              </w:rPr>
              <w:t>Chaque décision est accompagnée de son explication et de ses preuves</w:t>
            </w:r>
          </w:p>
        </w:tc>
        <w:tc>
          <w:tcPr>
            <w:tcW w:type="dxa" w:w="1405"/>
          </w:tcPr>
          <w:p>
            <w:pPr>
              <w:spacing w:after="20" w:before="20" w:line="240" w:lineRule="auto"/>
              <w:jc w:val="left"/>
            </w:pPr>
            <w:r/>
            <w:r>
              <w:rPr>
                <w:sz w:val="20"/>
              </w:rPr>
              <w:t>BM-06, BT-14</w:t>
            </w:r>
          </w:p>
        </w:tc>
      </w:tr>
      <w:tr>
        <w:trPr>
          <w:cantSplit w:val="true"/>
        </w:trPr>
        <w:tc>
          <w:tcPr>
            <w:tcW w:type="dxa" w:w="2014"/>
          </w:tcPr>
          <w:p>
            <w:pPr>
              <w:spacing w:after="20" w:before="20" w:line="240" w:lineRule="auto"/>
              <w:jc w:val="left"/>
            </w:pPr>
            <w:r/>
            <w:r>
              <w:rPr>
                <w:b/>
                <w:sz w:val="20"/>
              </w:rPr>
              <w:t>Évolutivité maîtrisée</w:t>
            </w:r>
          </w:p>
        </w:tc>
        <w:tc>
          <w:tcPr>
            <w:tcW w:type="dxa" w:w="5970"/>
          </w:tcPr>
          <w:p>
            <w:pPr>
              <w:spacing w:after="20" w:before="20" w:line="240" w:lineRule="auto"/>
              <w:jc w:val="left"/>
            </w:pPr>
            <w:r/>
            <w:r>
              <w:rPr>
                <w:sz w:val="20"/>
              </w:rPr>
              <w:t>Un nouveau modèle n'est promu que s'il est meilleur et passe les contrôles ; une politique de coût est simulée avant application</w:t>
            </w:r>
          </w:p>
        </w:tc>
        <w:tc>
          <w:tcPr>
            <w:tcW w:type="dxa" w:w="1405"/>
          </w:tcPr>
          <w:p>
            <w:pPr>
              <w:spacing w:after="20" w:before="20" w:line="240" w:lineRule="auto"/>
              <w:jc w:val="left"/>
            </w:pPr>
            <w:r/>
            <w:r>
              <w:rPr>
                <w:sz w:val="20"/>
              </w:rPr>
              <w:t>BM-15, BM-24, BT-17</w:t>
            </w:r>
          </w:p>
        </w:tc>
      </w:tr>
      <w:tr>
        <w:trPr>
          <w:cantSplit w:val="true"/>
        </w:trPr>
        <w:tc>
          <w:tcPr>
            <w:tcW w:type="dxa" w:w="2014"/>
          </w:tcPr>
          <w:p>
            <w:pPr>
              <w:spacing w:after="20" w:before="20" w:line="240" w:lineRule="auto"/>
              <w:jc w:val="left"/>
            </w:pPr>
            <w:r/>
            <w:r>
              <w:rPr>
                <w:b/>
                <w:sz w:val="20"/>
              </w:rPr>
              <w:t>Sécurité et confidentialité</w:t>
            </w:r>
          </w:p>
        </w:tc>
        <w:tc>
          <w:tcPr>
            <w:tcW w:type="dxa" w:w="5970"/>
          </w:tcPr>
          <w:p>
            <w:pPr>
              <w:spacing w:after="20" w:before="20" w:line="240" w:lineRule="auto"/>
              <w:jc w:val="left"/>
            </w:pPr>
            <w:r/>
            <w:r>
              <w:rPr>
                <w:sz w:val="20"/>
              </w:rPr>
              <w:t>Moindre privilège, isolement par institution, aucun service externe</w:t>
            </w:r>
          </w:p>
        </w:tc>
        <w:tc>
          <w:tcPr>
            <w:tcW w:type="dxa" w:w="1405"/>
          </w:tcPr>
          <w:p>
            <w:pPr>
              <w:spacing w:after="20" w:before="20" w:line="240" w:lineRule="auto"/>
              <w:jc w:val="left"/>
            </w:pPr>
            <w:r/>
            <w:r>
              <w:rPr>
                <w:sz w:val="20"/>
              </w:rPr>
              <w:t>BT-20 à BT-23, BT-28</w:t>
            </w:r>
          </w:p>
        </w:tc>
      </w:tr>
    </w:tbl>
    <w:p>
      <w:pPr>
        <w:spacing w:after="120"/>
      </w:pPr>
    </w:p>
    <w:p>
      <w:pPr>
        <w:pStyle w:val="Titre4"/>
        <w:keepNext/>
        <w:numPr>
          <w:numId w:val="0"/>
        </w:numPr>
        <w:spacing w:before="200" w:after="120"/>
        <w:ind w:left="0" w:firstLine="0"/>
        <w:jc w:val="left"/>
      </w:pPr>
      <w:r>
        <w:rPr>
          <w:b/>
          <w:i/>
          <w:color w:val="000000"/>
          <w:sz w:val="25"/>
        </w:rPr>
        <w:t>3.2 Architecture logique</w:t>
      </w:r>
    </w:p>
    <w:p>
      <w:pPr>
        <w:spacing w:before="0" w:after="120" w:line="360" w:lineRule="auto"/>
        <w:jc w:val="both"/>
      </w:pPr>
      <w:r>
        <w:rPr>
          <w:sz w:val="24"/>
        </w:rPr>
        <w:t>Le système est organisé en couches. Le diagramme de composants montre les composants et leurs dépendances (figure III.16).</w:t>
      </w:r>
    </w:p>
    <w:p>
      <w:pPr>
        <w:spacing w:before="0" w:after="0" w:line="20" w:lineRule="exact"/>
        <w:sectPr w:rsidR="00852587">
          <w:pgSz w:w="11910" w:h="16840"/>
          <w:pgMar w:top="1360" w:right="1180" w:bottom="1240" w:left="1340" w:header="0" w:footer="1055" w:gutter="0"/>
          <w:cols w:space="720"/>
        </w:sectPr>
      </w:pPr>
      <w:r>
        <w:rPr>
          <w:sz w:val="2"/>
        </w:rPr>
      </w:r>
    </w:p>
    <w:p>
      <w:pPr>
        <w:keepNext/>
        <w:spacing w:before="0" w:after="40"/>
        <w:jc w:val="center"/>
      </w:pPr>
      <w:r>
        <w:drawing>
          <wp:inline xmlns:a="http://schemas.openxmlformats.org/drawingml/2006/main" xmlns:pic="http://schemas.openxmlformats.org/drawingml/2006/picture">
            <wp:extent cx="7649885" cy="5471999"/>
            <wp:docPr id="57" name="Picture 57"/>
            <wp:cNvGraphicFramePr>
              <a:graphicFrameLocks noChangeAspect="1"/>
            </wp:cNvGraphicFramePr>
            <a:graphic>
              <a:graphicData uri="http://schemas.openxmlformats.org/drawingml/2006/picture">
                <pic:pic>
                  <pic:nvPicPr>
                    <pic:cNvPr id="0" name="diagramme_composants.png"/>
                    <pic:cNvPicPr/>
                  </pic:nvPicPr>
                  <pic:blipFill>
                    <a:blip r:embed="rId31"/>
                    <a:stretch>
                      <a:fillRect/>
                    </a:stretch>
                  </pic:blipFill>
                  <pic:spPr>
                    <a:xfrm>
                      <a:off x="0" y="0"/>
                      <a:ext cx="7649885" cy="5471999"/>
                    </a:xfrm>
                    <a:prstGeom prst="rect"/>
                  </pic:spPr>
                </pic:pic>
              </a:graphicData>
            </a:graphic>
          </wp:inline>
        </w:drawing>
      </w:r>
    </w:p>
    <w:p>
      <w:pPr>
        <w:pStyle w:val="Légendefigure"/>
        <w:spacing w:before="40" w:after="240"/>
        <w:jc w:val="center"/>
      </w:pPr>
      <w:r>
        <w:rPr>
          <w:i/>
          <w:sz w:val="20"/>
        </w:rPr>
        <w:t>Figure III.16 — Diagramme de composants.</w:t>
      </w:r>
    </w:p>
    <w:p>
      <w:pPr>
        <w:spacing w:before="0" w:after="0" w:line="20" w:lineRule="exact"/>
        <w:sectPr w:rsidR="00852587">
          <w:pgSz w:w="16840" w:h="11910" w:orient="landscape"/>
          <w:pgMar w:top="1000" w:right="1000" w:bottom="900" w:left="1000" w:header="0" w:footer="1055" w:gutter="0"/>
          <w:cols w:space="720"/>
        </w:sectPr>
      </w:pPr>
      <w:r>
        <w:rPr>
          <w:sz w:val="2"/>
        </w:rPr>
      </w:r>
    </w:p>
    <w:p>
      <w:pPr>
        <w:pStyle w:val="Légendetableau"/>
        <w:keepNext/>
        <w:spacing w:before="200" w:after="80"/>
        <w:jc w:val="center"/>
      </w:pPr>
      <w:r>
        <w:rPr>
          <w:b/>
          <w:sz w:val="20"/>
        </w:rPr>
        <w:t>Tableau III.34 — Couches de l'architecture.</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1357"/>
        <w:gridCol w:w="5429"/>
        <w:gridCol w:w="2603"/>
      </w:tblGrid>
      <w:tr>
        <w:trPr>
          <w:tblHeader w:val="true"/>
        </w:trPr>
        <w:tc>
          <w:tcPr>
            <w:tcW w:type="dxa" w:w="1357"/>
            <w:shd w:val="clear" w:color="auto" w:fill="D9E2F3"/>
          </w:tcPr>
          <w:p>
            <w:pPr>
              <w:spacing w:after="20" w:before="20" w:line="240" w:lineRule="auto"/>
              <w:jc w:val="left"/>
            </w:pPr>
            <w:r/>
            <w:r>
              <w:rPr>
                <w:b/>
                <w:sz w:val="20"/>
              </w:rPr>
              <w:t>Couche</w:t>
            </w:r>
          </w:p>
        </w:tc>
        <w:tc>
          <w:tcPr>
            <w:tcW w:type="dxa" w:w="5429"/>
            <w:shd w:val="clear" w:color="auto" w:fill="D9E2F3"/>
          </w:tcPr>
          <w:p>
            <w:pPr>
              <w:spacing w:after="20" w:before="20" w:line="240" w:lineRule="auto"/>
              <w:jc w:val="left"/>
            </w:pPr>
            <w:r/>
            <w:r>
              <w:rPr>
                <w:b/>
                <w:sz w:val="20"/>
              </w:rPr>
              <w:t>Composants</w:t>
            </w:r>
          </w:p>
        </w:tc>
        <w:tc>
          <w:tcPr>
            <w:tcW w:type="dxa" w:w="2603"/>
            <w:shd w:val="clear" w:color="auto" w:fill="D9E2F3"/>
          </w:tcPr>
          <w:p>
            <w:pPr>
              <w:spacing w:after="20" w:before="20" w:line="240" w:lineRule="auto"/>
              <w:jc w:val="left"/>
            </w:pPr>
            <w:r/>
            <w:r>
              <w:rPr>
                <w:b/>
                <w:sz w:val="20"/>
              </w:rPr>
              <w:t>Responsabilité</w:t>
            </w:r>
          </w:p>
        </w:tc>
      </w:tr>
      <w:tr>
        <w:trPr>
          <w:cantSplit w:val="true"/>
        </w:trPr>
        <w:tc>
          <w:tcPr>
            <w:tcW w:type="dxa" w:w="1357"/>
          </w:tcPr>
          <w:p>
            <w:pPr>
              <w:spacing w:after="20" w:before="20" w:line="240" w:lineRule="auto"/>
              <w:jc w:val="left"/>
            </w:pPr>
            <w:r/>
            <w:r>
              <w:rPr>
                <w:sz w:val="20"/>
              </w:rPr>
              <w:t>Présentation</w:t>
            </w:r>
          </w:p>
        </w:tc>
        <w:tc>
          <w:tcPr>
            <w:tcW w:type="dxa" w:w="5429"/>
          </w:tcPr>
          <w:p>
            <w:pPr>
              <w:spacing w:after="20" w:before="20" w:line="240" w:lineRule="auto"/>
              <w:jc w:val="left"/>
            </w:pPr>
            <w:r/>
            <w:r>
              <w:rPr>
                <w:sz w:val="20"/>
              </w:rPr>
              <w:t>Nginx, tableau de bord Next.js</w:t>
            </w:r>
          </w:p>
        </w:tc>
        <w:tc>
          <w:tcPr>
            <w:tcW w:type="dxa" w:w="2603"/>
          </w:tcPr>
          <w:p>
            <w:pPr>
              <w:spacing w:after="20" w:before="20" w:line="240" w:lineRule="auto"/>
              <w:jc w:val="left"/>
            </w:pPr>
            <w:r/>
            <w:r>
              <w:rPr>
                <w:sz w:val="20"/>
              </w:rPr>
              <w:t>accès des utilisateurs internes</w:t>
            </w:r>
          </w:p>
        </w:tc>
      </w:tr>
      <w:tr>
        <w:trPr>
          <w:cantSplit w:val="true"/>
        </w:trPr>
        <w:tc>
          <w:tcPr>
            <w:tcW w:type="dxa" w:w="1357"/>
          </w:tcPr>
          <w:p>
            <w:pPr>
              <w:spacing w:after="20" w:before="20" w:line="240" w:lineRule="auto"/>
              <w:jc w:val="left"/>
            </w:pPr>
            <w:r/>
            <w:r>
              <w:rPr>
                <w:sz w:val="20"/>
              </w:rPr>
              <w:t>Intégration (API publique)</w:t>
            </w:r>
          </w:p>
        </w:tc>
        <w:tc>
          <w:tcPr>
            <w:tcW w:type="dxa" w:w="5429"/>
          </w:tcPr>
          <w:p>
            <w:pPr>
              <w:spacing w:after="20" w:before="20" w:line="240" w:lineRule="auto"/>
              <w:jc w:val="left"/>
            </w:pPr>
            <w:r/>
            <w:r>
              <w:rPr>
                <w:sz w:val="20"/>
              </w:rPr>
              <w:t>adaptateurs, format commun, clés, droits, quotas, retours, supervision</w:t>
            </w:r>
          </w:p>
        </w:tc>
        <w:tc>
          <w:tcPr>
            <w:tcW w:type="dxa" w:w="2603"/>
          </w:tcPr>
          <w:p>
            <w:pPr>
              <w:spacing w:after="20" w:before="20" w:line="240" w:lineRule="auto"/>
              <w:jc w:val="left"/>
            </w:pPr>
            <w:r/>
            <w:r>
              <w:rPr>
                <w:sz w:val="20"/>
              </w:rPr>
              <w:t>point d'entrée de toutes les institutions</w:t>
            </w:r>
          </w:p>
        </w:tc>
      </w:tr>
      <w:tr>
        <w:trPr>
          <w:cantSplit w:val="true"/>
        </w:trPr>
        <w:tc>
          <w:tcPr>
            <w:tcW w:type="dxa" w:w="1357"/>
          </w:tcPr>
          <w:p>
            <w:pPr>
              <w:spacing w:after="20" w:before="20" w:line="240" w:lineRule="auto"/>
              <w:jc w:val="left"/>
            </w:pPr>
            <w:r/>
            <w:r>
              <w:rPr>
                <w:sz w:val="20"/>
              </w:rPr>
              <w:t>Détection temps réel</w:t>
            </w:r>
          </w:p>
        </w:tc>
        <w:tc>
          <w:tcPr>
            <w:tcW w:type="dxa" w:w="5429"/>
          </w:tcPr>
          <w:p>
            <w:pPr>
              <w:spacing w:after="20" w:before="20" w:line="240" w:lineRule="auto"/>
              <w:jc w:val="left"/>
            </w:pPr>
            <w:r/>
            <w:r>
              <w:rPr>
                <w:sz w:val="20"/>
              </w:rPr>
              <w:t>magasin de profils, lois physiques, modèle hybride, typologie, SHAP, analyse de texte, cas similaires, politique de décision</w:t>
            </w:r>
          </w:p>
        </w:tc>
        <w:tc>
          <w:tcPr>
            <w:tcW w:type="dxa" w:w="2603"/>
          </w:tcPr>
          <w:p>
            <w:pPr>
              <w:spacing w:after="20" w:before="20" w:line="240" w:lineRule="auto"/>
              <w:jc w:val="left"/>
            </w:pPr>
            <w:r/>
            <w:r>
              <w:rPr>
                <w:sz w:val="20"/>
              </w:rPr>
              <w:t>décision en moins de 100 ms</w:t>
            </w:r>
          </w:p>
        </w:tc>
      </w:tr>
      <w:tr>
        <w:trPr>
          <w:cantSplit w:val="true"/>
        </w:trPr>
        <w:tc>
          <w:tcPr>
            <w:tcW w:type="dxa" w:w="1357"/>
          </w:tcPr>
          <w:p>
            <w:pPr>
              <w:spacing w:after="20" w:before="20" w:line="240" w:lineRule="auto"/>
              <w:jc w:val="left"/>
            </w:pPr>
            <w:r/>
            <w:r>
              <w:rPr>
                <w:sz w:val="20"/>
              </w:rPr>
              <w:t>Traitement asynchrone</w:t>
            </w:r>
          </w:p>
        </w:tc>
        <w:tc>
          <w:tcPr>
            <w:tcW w:type="dxa" w:w="5429"/>
          </w:tcPr>
          <w:p>
            <w:pPr>
              <w:spacing w:after="20" w:before="20" w:line="240" w:lineRule="auto"/>
              <w:jc w:val="left"/>
            </w:pPr>
            <w:r/>
            <w:r>
              <w:rPr>
                <w:sz w:val="20"/>
              </w:rPr>
              <w:t xml:space="preserve">Kafka ; workers </w:t>
            </w:r>
            <w:r>
              <w:rPr>
                <w:i/>
                <w:sz w:val="20"/>
              </w:rPr>
              <w:t>persister</w:t>
            </w:r>
            <w:r>
              <w:rPr>
                <w:sz w:val="20"/>
              </w:rPr>
              <w:t xml:space="preserve">, </w:t>
            </w:r>
            <w:r>
              <w:rPr>
                <w:i/>
                <w:sz w:val="20"/>
              </w:rPr>
              <w:t>alerter</w:t>
            </w:r>
            <w:r>
              <w:rPr>
                <w:sz w:val="20"/>
              </w:rPr>
              <w:t xml:space="preserve">, </w:t>
            </w:r>
            <w:r>
              <w:rPr>
                <w:i/>
                <w:sz w:val="20"/>
              </w:rPr>
              <w:t>auditor</w:t>
            </w:r>
          </w:p>
        </w:tc>
        <w:tc>
          <w:tcPr>
            <w:tcW w:type="dxa" w:w="2603"/>
          </w:tcPr>
          <w:p>
            <w:pPr>
              <w:spacing w:after="20" w:before="20" w:line="240" w:lineRule="auto"/>
              <w:jc w:val="left"/>
            </w:pPr>
            <w:r/>
            <w:r>
              <w:rPr>
                <w:sz w:val="20"/>
              </w:rPr>
              <w:t>enregistrement, alertes, journal d'audit</w:t>
            </w:r>
          </w:p>
        </w:tc>
      </w:tr>
      <w:tr>
        <w:trPr>
          <w:cantSplit w:val="true"/>
        </w:trPr>
        <w:tc>
          <w:tcPr>
            <w:tcW w:type="dxa" w:w="1357"/>
          </w:tcPr>
          <w:p>
            <w:pPr>
              <w:spacing w:after="20" w:before="20" w:line="240" w:lineRule="auto"/>
              <w:jc w:val="left"/>
            </w:pPr>
            <w:r/>
            <w:r>
              <w:rPr>
                <w:sz w:val="20"/>
              </w:rPr>
              <w:t>Back-office</w:t>
            </w:r>
          </w:p>
        </w:tc>
        <w:tc>
          <w:tcPr>
            <w:tcW w:type="dxa" w:w="5429"/>
          </w:tcPr>
          <w:p>
            <w:pPr>
              <w:spacing w:after="20" w:before="20" w:line="240" w:lineRule="auto"/>
              <w:jc w:val="left"/>
            </w:pPr>
            <w:r/>
            <w:r>
              <w:rPr>
                <w:sz w:val="20"/>
              </w:rPr>
              <w:t>API interne : transactions, dossiers, rapports, audit, institutions, réentraînement, réseaux, revue, politique, équité</w:t>
            </w:r>
          </w:p>
        </w:tc>
        <w:tc>
          <w:tcPr>
            <w:tcW w:type="dxa" w:w="2603"/>
          </w:tcPr>
          <w:p>
            <w:pPr>
              <w:spacing w:after="20" w:before="20" w:line="240" w:lineRule="auto"/>
              <w:jc w:val="left"/>
            </w:pPr>
            <w:r/>
            <w:r>
              <w:rPr>
                <w:sz w:val="20"/>
              </w:rPr>
              <w:t>travail des analystes, des superviseurs et des administrateurs</w:t>
            </w:r>
          </w:p>
        </w:tc>
      </w:tr>
      <w:tr>
        <w:trPr>
          <w:cantSplit w:val="true"/>
        </w:trPr>
        <w:tc>
          <w:tcPr>
            <w:tcW w:type="dxa" w:w="1357"/>
          </w:tcPr>
          <w:p>
            <w:pPr>
              <w:spacing w:after="20" w:before="20" w:line="240" w:lineRule="auto"/>
              <w:jc w:val="left"/>
            </w:pPr>
            <w:r/>
            <w:r>
              <w:rPr>
                <w:sz w:val="20"/>
              </w:rPr>
              <w:t>Apprentissage continu</w:t>
            </w:r>
          </w:p>
        </w:tc>
        <w:tc>
          <w:tcPr>
            <w:tcW w:type="dxa" w:w="5429"/>
          </w:tcPr>
          <w:p>
            <w:pPr>
              <w:spacing w:after="20" w:before="20" w:line="240" w:lineRule="auto"/>
              <w:jc w:val="left"/>
            </w:pPr>
            <w:r/>
            <w:r>
              <w:rPr>
                <w:sz w:val="20"/>
              </w:rPr>
              <w:t>moniteur de dérive, planificateur, entraînement du challenger, MLflow</w:t>
            </w:r>
          </w:p>
        </w:tc>
        <w:tc>
          <w:tcPr>
            <w:tcW w:type="dxa" w:w="2603"/>
          </w:tcPr>
          <w:p>
            <w:pPr>
              <w:spacing w:after="20" w:before="20" w:line="240" w:lineRule="auto"/>
              <w:jc w:val="left"/>
            </w:pPr>
            <w:r/>
            <w:r>
              <w:rPr>
                <w:sz w:val="20"/>
              </w:rPr>
              <w:t>adaptation du modèle</w:t>
            </w:r>
          </w:p>
        </w:tc>
      </w:tr>
      <w:tr>
        <w:trPr>
          <w:cantSplit w:val="true"/>
        </w:trPr>
        <w:tc>
          <w:tcPr>
            <w:tcW w:type="dxa" w:w="1357"/>
          </w:tcPr>
          <w:p>
            <w:pPr>
              <w:spacing w:after="20" w:before="20" w:line="240" w:lineRule="auto"/>
              <w:jc w:val="left"/>
            </w:pPr>
            <w:r/>
            <w:r>
              <w:rPr>
                <w:sz w:val="20"/>
              </w:rPr>
              <w:t>Données</w:t>
            </w:r>
          </w:p>
        </w:tc>
        <w:tc>
          <w:tcPr>
            <w:tcW w:type="dxa" w:w="5429"/>
          </w:tcPr>
          <w:p>
            <w:pPr>
              <w:spacing w:after="20" w:before="20" w:line="240" w:lineRule="auto"/>
              <w:jc w:val="left"/>
            </w:pPr>
            <w:r/>
            <w:r>
              <w:rPr>
                <w:sz w:val="20"/>
              </w:rPr>
              <w:t>PostgreSQL / TimescaleDB, Redis, artefacts des modèles</w:t>
            </w:r>
          </w:p>
        </w:tc>
        <w:tc>
          <w:tcPr>
            <w:tcW w:type="dxa" w:w="2603"/>
          </w:tcPr>
          <w:p>
            <w:pPr>
              <w:spacing w:after="20" w:before="20" w:line="240" w:lineRule="auto"/>
              <w:jc w:val="left"/>
            </w:pPr>
            <w:r/>
            <w:r>
              <w:rPr>
                <w:sz w:val="20"/>
              </w:rPr>
              <w:t>persistance</w:t>
            </w:r>
          </w:p>
        </w:tc>
      </w:tr>
      <w:tr>
        <w:trPr>
          <w:cantSplit w:val="true"/>
        </w:trPr>
        <w:tc>
          <w:tcPr>
            <w:tcW w:type="dxa" w:w="1357"/>
          </w:tcPr>
          <w:p>
            <w:pPr>
              <w:spacing w:after="20" w:before="20" w:line="240" w:lineRule="auto"/>
              <w:jc w:val="left"/>
            </w:pPr>
            <w:r/>
            <w:r>
              <w:rPr>
                <w:sz w:val="20"/>
              </w:rPr>
              <w:t>Supervision</w:t>
            </w:r>
          </w:p>
        </w:tc>
        <w:tc>
          <w:tcPr>
            <w:tcW w:type="dxa" w:w="5429"/>
          </w:tcPr>
          <w:p>
            <w:pPr>
              <w:spacing w:after="20" w:before="20" w:line="240" w:lineRule="auto"/>
              <w:jc w:val="left"/>
            </w:pPr>
            <w:r/>
            <w:r>
              <w:rPr>
                <w:sz w:val="20"/>
              </w:rPr>
              <w:t>Prometheus, Grafana, Loki</w:t>
            </w:r>
          </w:p>
        </w:tc>
        <w:tc>
          <w:tcPr>
            <w:tcW w:type="dxa" w:w="2603"/>
          </w:tcPr>
          <w:p>
            <w:pPr>
              <w:spacing w:after="20" w:before="20" w:line="240" w:lineRule="auto"/>
              <w:jc w:val="left"/>
            </w:pPr>
            <w:r/>
            <w:r>
              <w:rPr>
                <w:sz w:val="20"/>
              </w:rPr>
              <w:t>observabilité</w:t>
            </w:r>
          </w:p>
        </w:tc>
      </w:tr>
    </w:tbl>
    <w:p>
      <w:pPr>
        <w:spacing w:after="120"/>
      </w:pPr>
    </w:p>
    <w:p>
      <w:pPr>
        <w:spacing w:before="0" w:after="120" w:line="360" w:lineRule="auto"/>
        <w:jc w:val="both"/>
      </w:pPr>
      <w:r>
        <w:rPr>
          <w:sz w:val="24"/>
        </w:rPr>
        <w:t>Les diagrammes de ce chapitre présentent l'architecture de base. Les modules ajoutés ensuite (analyse de réseau, file de revue, politique de coût, équité, sécurité renforcée) s'intègrent au back-office sans modifier le chemin critique de la décision, sauf la politique de coût, que le service de notation recharge à chaud depuis Redis.</w:t>
      </w:r>
    </w:p>
    <w:p>
      <w:pPr>
        <w:pStyle w:val="Titre4"/>
        <w:keepNext/>
        <w:numPr>
          <w:numId w:val="0"/>
        </w:numPr>
        <w:spacing w:before="200" w:after="120"/>
        <w:ind w:left="0" w:firstLine="0"/>
        <w:jc w:val="left"/>
      </w:pPr>
      <w:r>
        <w:rPr>
          <w:b/>
          <w:i/>
          <w:color w:val="000000"/>
          <w:sz w:val="25"/>
        </w:rPr>
        <w:t>3.3 Organisation du code</w:t>
      </w:r>
    </w:p>
    <w:p>
      <w:pPr>
        <w:spacing w:before="0" w:after="0" w:line="20" w:lineRule="exact"/>
        <w:sectPr w:rsidR="00852587">
          <w:pgSz w:w="11910" w:h="16840"/>
          <w:pgMar w:top="1360" w:right="1180" w:bottom="1240" w:left="1340" w:header="0" w:footer="1055" w:gutter="0"/>
          <w:cols w:space="720"/>
        </w:sectPr>
      </w:pPr>
      <w:r>
        <w:rPr>
          <w:sz w:val="2"/>
        </w:rPr>
      </w:r>
    </w:p>
    <w:p>
      <w:pPr>
        <w:keepNext/>
        <w:spacing w:before="0" w:after="40"/>
        <w:jc w:val="center"/>
      </w:pPr>
      <w:r>
        <w:drawing>
          <wp:inline xmlns:a="http://schemas.openxmlformats.org/drawingml/2006/main" xmlns:pic="http://schemas.openxmlformats.org/drawingml/2006/picture">
            <wp:extent cx="9000000" cy="5243346"/>
            <wp:docPr id="58" name="Picture 58"/>
            <wp:cNvGraphicFramePr>
              <a:graphicFrameLocks noChangeAspect="1"/>
            </wp:cNvGraphicFramePr>
            <a:graphic>
              <a:graphicData uri="http://schemas.openxmlformats.org/drawingml/2006/picture">
                <pic:pic>
                  <pic:nvPicPr>
                    <pic:cNvPr id="0" name="diagramme_packages.png"/>
                    <pic:cNvPicPr/>
                  </pic:nvPicPr>
                  <pic:blipFill>
                    <a:blip r:embed="rId32"/>
                    <a:stretch>
                      <a:fillRect/>
                    </a:stretch>
                  </pic:blipFill>
                  <pic:spPr>
                    <a:xfrm>
                      <a:off x="0" y="0"/>
                      <a:ext cx="9000000" cy="5243346"/>
                    </a:xfrm>
                    <a:prstGeom prst="rect"/>
                  </pic:spPr>
                </pic:pic>
              </a:graphicData>
            </a:graphic>
          </wp:inline>
        </w:drawing>
      </w:r>
    </w:p>
    <w:p>
      <w:pPr>
        <w:pStyle w:val="Légendefigure"/>
        <w:spacing w:before="40" w:after="240"/>
        <w:jc w:val="center"/>
      </w:pPr>
      <w:r>
        <w:rPr>
          <w:i/>
          <w:sz w:val="20"/>
        </w:rPr>
        <w:t>Figure III.17 — Diagramme de packages.</w:t>
      </w:r>
    </w:p>
    <w:p>
      <w:pPr>
        <w:spacing w:before="0" w:after="0" w:line="20" w:lineRule="exact"/>
        <w:sectPr w:rsidR="00852587">
          <w:pgSz w:w="16840" w:h="11910" w:orient="landscape"/>
          <w:pgMar w:top="1000" w:right="1000" w:bottom="900" w:left="1000" w:header="0" w:footer="1055" w:gutter="0"/>
          <w:cols w:space="720"/>
        </w:sectPr>
      </w:pPr>
      <w:r>
        <w:rPr>
          <w:sz w:val="2"/>
        </w:rPr>
      </w:r>
    </w:p>
    <w:p>
      <w:pPr>
        <w:pStyle w:val="Légendetableau"/>
        <w:keepNext/>
        <w:spacing w:before="200" w:after="80"/>
        <w:jc w:val="center"/>
      </w:pPr>
      <w:r>
        <w:rPr>
          <w:b/>
          <w:sz w:val="20"/>
        </w:rPr>
        <w:t>Tableau III.35 — Packages du système.</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3644"/>
        <w:gridCol w:w="5745"/>
      </w:tblGrid>
      <w:tr>
        <w:trPr>
          <w:tblHeader w:val="true"/>
        </w:trPr>
        <w:tc>
          <w:tcPr>
            <w:tcW w:type="dxa" w:w="3644"/>
            <w:shd w:val="clear" w:color="auto" w:fill="D9E2F3"/>
          </w:tcPr>
          <w:p>
            <w:pPr>
              <w:spacing w:after="20" w:before="20" w:line="240" w:lineRule="auto"/>
              <w:jc w:val="left"/>
            </w:pPr>
            <w:r/>
            <w:r>
              <w:rPr>
                <w:b/>
                <w:sz w:val="20"/>
              </w:rPr>
              <w:t>Package</w:t>
            </w:r>
          </w:p>
        </w:tc>
        <w:tc>
          <w:tcPr>
            <w:tcW w:type="dxa" w:w="5745"/>
            <w:shd w:val="clear" w:color="auto" w:fill="D9E2F3"/>
          </w:tcPr>
          <w:p>
            <w:pPr>
              <w:spacing w:after="20" w:before="20" w:line="240" w:lineRule="auto"/>
              <w:jc w:val="left"/>
            </w:pPr>
            <w:r/>
            <w:r>
              <w:rPr>
                <w:b/>
                <w:sz w:val="20"/>
              </w:rPr>
              <w:t>Contenu</w:t>
            </w:r>
          </w:p>
        </w:tc>
      </w:tr>
      <w:tr>
        <w:trPr>
          <w:cantSplit w:val="true"/>
        </w:trPr>
        <w:tc>
          <w:tcPr>
            <w:tcW w:type="dxa" w:w="3644"/>
          </w:tcPr>
          <w:p>
            <w:pPr>
              <w:spacing w:after="20" w:before="20" w:line="240" w:lineRule="auto"/>
              <w:jc w:val="left"/>
            </w:pPr>
            <w:r/>
            <w:r>
              <w:rPr>
                <w:rFonts w:ascii="Courier New" w:hAnsi="Courier New"/>
                <w:b w:val="0"/>
                <w:sz w:val="16"/>
              </w:rPr>
              <w:t>frontend/</w:t>
            </w:r>
          </w:p>
        </w:tc>
        <w:tc>
          <w:tcPr>
            <w:tcW w:type="dxa" w:w="5745"/>
          </w:tcPr>
          <w:p>
            <w:pPr>
              <w:spacing w:after="20" w:before="20" w:line="240" w:lineRule="auto"/>
              <w:jc w:val="left"/>
            </w:pPr>
            <w:r/>
            <w:r>
              <w:rPr>
                <w:sz w:val="20"/>
              </w:rPr>
              <w:t>tableau de bord : pages, composants, accès à l'API</w:t>
            </w:r>
          </w:p>
        </w:tc>
      </w:tr>
      <w:tr>
        <w:trPr>
          <w:cantSplit w:val="true"/>
        </w:trPr>
        <w:tc>
          <w:tcPr>
            <w:tcW w:type="dxa" w:w="3644"/>
          </w:tcPr>
          <w:p>
            <w:pPr>
              <w:spacing w:after="20" w:before="20" w:line="240" w:lineRule="auto"/>
              <w:jc w:val="left"/>
            </w:pPr>
            <w:r/>
            <w:r>
              <w:rPr>
                <w:rFonts w:ascii="Courier New" w:hAnsi="Courier New"/>
                <w:b w:val="0"/>
                <w:sz w:val="16"/>
              </w:rPr>
              <w:t>services/integration-layer</w:t>
            </w:r>
          </w:p>
        </w:tc>
        <w:tc>
          <w:tcPr>
            <w:tcW w:type="dxa" w:w="5745"/>
          </w:tcPr>
          <w:p>
            <w:pPr>
              <w:spacing w:after="20" w:before="20" w:line="240" w:lineRule="auto"/>
              <w:jc w:val="left"/>
            </w:pPr>
            <w:r/>
            <w:r>
              <w:rPr>
                <w:sz w:val="20"/>
              </w:rPr>
              <w:t>API publique : adaptateurs, format commun, gestion des partenaires, quotas</w:t>
            </w:r>
          </w:p>
        </w:tc>
      </w:tr>
      <w:tr>
        <w:trPr>
          <w:cantSplit w:val="true"/>
        </w:trPr>
        <w:tc>
          <w:tcPr>
            <w:tcW w:type="dxa" w:w="3644"/>
          </w:tcPr>
          <w:p>
            <w:pPr>
              <w:spacing w:after="20" w:before="20" w:line="240" w:lineRule="auto"/>
              <w:jc w:val="left"/>
            </w:pPr>
            <w:r/>
            <w:r>
              <w:rPr>
                <w:rFonts w:ascii="Courier New" w:hAnsi="Courier New"/>
                <w:b w:val="0"/>
                <w:sz w:val="16"/>
              </w:rPr>
              <w:t>services/scoring-service</w:t>
            </w:r>
          </w:p>
        </w:tc>
        <w:tc>
          <w:tcPr>
            <w:tcW w:type="dxa" w:w="5745"/>
          </w:tcPr>
          <w:p>
            <w:pPr>
              <w:spacing w:after="20" w:before="20" w:line="240" w:lineRule="auto"/>
              <w:jc w:val="left"/>
            </w:pPr>
            <w:r/>
            <w:r>
              <w:rPr>
                <w:sz w:val="20"/>
              </w:rPr>
              <w:t>service de décision en temps réel</w:t>
            </w:r>
          </w:p>
        </w:tc>
      </w:tr>
      <w:tr>
        <w:trPr>
          <w:cantSplit w:val="true"/>
        </w:trPr>
        <w:tc>
          <w:tcPr>
            <w:tcW w:type="dxa" w:w="3644"/>
          </w:tcPr>
          <w:p>
            <w:pPr>
              <w:spacing w:after="20" w:before="20" w:line="240" w:lineRule="auto"/>
              <w:jc w:val="left"/>
            </w:pPr>
            <w:r/>
            <w:r>
              <w:rPr>
                <w:rFonts w:ascii="Courier New" w:hAnsi="Courier New"/>
                <w:b w:val="0"/>
                <w:sz w:val="16"/>
              </w:rPr>
              <w:t>services/backoffice-api</w:t>
            </w:r>
          </w:p>
        </w:tc>
        <w:tc>
          <w:tcPr>
            <w:tcW w:type="dxa" w:w="5745"/>
          </w:tcPr>
          <w:p>
            <w:pPr>
              <w:spacing w:after="20" w:before="20" w:line="240" w:lineRule="auto"/>
              <w:jc w:val="left"/>
            </w:pPr>
            <w:r/>
            <w:r>
              <w:rPr>
                <w:sz w:val="20"/>
              </w:rPr>
              <w:t>API interne, migrations de la base (Alembic)</w:t>
            </w:r>
          </w:p>
        </w:tc>
      </w:tr>
      <w:tr>
        <w:trPr>
          <w:cantSplit w:val="true"/>
        </w:trPr>
        <w:tc>
          <w:tcPr>
            <w:tcW w:type="dxa" w:w="3644"/>
          </w:tcPr>
          <w:p>
            <w:pPr>
              <w:spacing w:after="20" w:before="20" w:line="240" w:lineRule="auto"/>
              <w:jc w:val="left"/>
            </w:pPr>
            <w:r/>
            <w:r>
              <w:rPr>
                <w:rFonts w:ascii="Courier New" w:hAnsi="Courier New"/>
                <w:b w:val="0"/>
                <w:sz w:val="16"/>
              </w:rPr>
              <w:t>services/workers</w:t>
            </w:r>
          </w:p>
        </w:tc>
        <w:tc>
          <w:tcPr>
            <w:tcW w:type="dxa" w:w="5745"/>
          </w:tcPr>
          <w:p>
            <w:pPr>
              <w:spacing w:after="20" w:before="20" w:line="240" w:lineRule="auto"/>
              <w:jc w:val="left"/>
            </w:pPr>
            <w:r/>
            <w:r>
              <w:rPr>
                <w:sz w:val="20"/>
              </w:rPr>
              <w:t xml:space="preserve">workers </w:t>
            </w:r>
            <w:r>
              <w:rPr>
                <w:i/>
                <w:sz w:val="20"/>
              </w:rPr>
              <w:t>persister</w:t>
            </w:r>
            <w:r>
              <w:rPr>
                <w:sz w:val="20"/>
              </w:rPr>
              <w:t xml:space="preserve">, </w:t>
            </w:r>
            <w:r>
              <w:rPr>
                <w:i/>
                <w:sz w:val="20"/>
              </w:rPr>
              <w:t>alerter</w:t>
            </w:r>
            <w:r>
              <w:rPr>
                <w:sz w:val="20"/>
              </w:rPr>
              <w:t xml:space="preserve">, </w:t>
            </w:r>
            <w:r>
              <w:rPr>
                <w:i/>
                <w:sz w:val="20"/>
              </w:rPr>
              <w:t>auditor</w:t>
            </w:r>
          </w:p>
        </w:tc>
      </w:tr>
      <w:tr>
        <w:trPr>
          <w:cantSplit w:val="true"/>
        </w:trPr>
        <w:tc>
          <w:tcPr>
            <w:tcW w:type="dxa" w:w="3644"/>
          </w:tcPr>
          <w:p>
            <w:pPr>
              <w:spacing w:after="20" w:before="20" w:line="240" w:lineRule="auto"/>
              <w:jc w:val="left"/>
            </w:pPr>
            <w:r/>
            <w:r>
              <w:rPr>
                <w:rFonts w:ascii="Courier New" w:hAnsi="Courier New"/>
                <w:b w:val="0"/>
                <w:sz w:val="16"/>
              </w:rPr>
              <w:t>ml/</w:t>
            </w:r>
          </w:p>
        </w:tc>
        <w:tc>
          <w:tcPr>
            <w:tcW w:type="dxa" w:w="5745"/>
          </w:tcPr>
          <w:p>
            <w:pPr>
              <w:spacing w:after="20" w:before="20" w:line="240" w:lineRule="auto"/>
              <w:jc w:val="left"/>
            </w:pPr>
            <w:r/>
            <w:r>
              <w:rPr>
                <w:sz w:val="20"/>
              </w:rPr>
              <w:t>générateur, variables, lois physiques, modèles, entraînement, mise en service, surveillance, réentraînement, évaluations</w:t>
            </w:r>
          </w:p>
        </w:tc>
      </w:tr>
      <w:tr>
        <w:trPr>
          <w:cantSplit w:val="true"/>
        </w:trPr>
        <w:tc>
          <w:tcPr>
            <w:tcW w:type="dxa" w:w="3644"/>
          </w:tcPr>
          <w:p>
            <w:pPr>
              <w:spacing w:after="20" w:before="20" w:line="240" w:lineRule="auto"/>
              <w:jc w:val="left"/>
            </w:pPr>
            <w:r/>
            <w:r>
              <w:rPr>
                <w:rFonts w:ascii="Courier New" w:hAnsi="Courier New"/>
                <w:b w:val="0"/>
                <w:sz w:val="16"/>
              </w:rPr>
              <w:t>shared/</w:t>
            </w:r>
          </w:p>
        </w:tc>
        <w:tc>
          <w:tcPr>
            <w:tcW w:type="dxa" w:w="5745"/>
          </w:tcPr>
          <w:p>
            <w:pPr>
              <w:spacing w:after="20" w:before="20" w:line="240" w:lineRule="auto"/>
              <w:jc w:val="left"/>
            </w:pPr>
            <w:r/>
            <w:r>
              <w:rPr>
                <w:sz w:val="20"/>
              </w:rPr>
              <w:t>modèles de base, schémas, sujets Kafka, NLP, cas similaires, graphe, politique de coût, utilitaires (taux de change, clés d'API)</w:t>
            </w:r>
          </w:p>
        </w:tc>
      </w:tr>
      <w:tr>
        <w:trPr>
          <w:cantSplit w:val="true"/>
        </w:trPr>
        <w:tc>
          <w:tcPr>
            <w:tcW w:type="dxa" w:w="3644"/>
          </w:tcPr>
          <w:p>
            <w:pPr>
              <w:spacing w:after="20" w:before="20" w:line="240" w:lineRule="auto"/>
              <w:jc w:val="left"/>
            </w:pPr>
            <w:r/>
            <w:r>
              <w:rPr>
                <w:rFonts w:ascii="Courier New" w:hAnsi="Courier New"/>
                <w:b w:val="0"/>
                <w:sz w:val="16"/>
              </w:rPr>
              <w:t>infra/</w:t>
            </w:r>
          </w:p>
        </w:tc>
        <w:tc>
          <w:tcPr>
            <w:tcW w:type="dxa" w:w="5745"/>
          </w:tcPr>
          <w:p>
            <w:pPr>
              <w:spacing w:after="20" w:before="20" w:line="240" w:lineRule="auto"/>
              <w:jc w:val="left"/>
            </w:pPr>
            <w:r/>
            <w:r>
              <w:rPr>
                <w:sz w:val="20"/>
              </w:rPr>
              <w:t>Nginx, Prometheus, Grafana, Loki, Kubernetes</w:t>
            </w:r>
          </w:p>
        </w:tc>
      </w:tr>
    </w:tbl>
    <w:p>
      <w:pPr>
        <w:spacing w:after="120"/>
      </w:pPr>
    </w:p>
    <w:p>
      <w:pPr>
        <w:pStyle w:val="Titre4"/>
        <w:keepNext/>
        <w:numPr>
          <w:numId w:val="0"/>
        </w:numPr>
        <w:spacing w:before="200" w:after="120"/>
        <w:ind w:left="0" w:firstLine="0"/>
        <w:jc w:val="left"/>
      </w:pPr>
      <w:r>
        <w:rPr>
          <w:b/>
          <w:i/>
          <w:color w:val="000000"/>
          <w:sz w:val="25"/>
        </w:rPr>
        <w:t>3.4 Modèle de données</w:t>
      </w:r>
    </w:p>
    <w:p>
      <w:pPr>
        <w:spacing w:before="0" w:after="0" w:line="20" w:lineRule="exact"/>
        <w:sectPr w:rsidR="00852587">
          <w:pgSz w:w="11910" w:h="16840"/>
          <w:pgMar w:top="1360" w:right="1180" w:bottom="1240" w:left="1340" w:header="0" w:footer="1055" w:gutter="0"/>
          <w:cols w:space="720"/>
        </w:sectPr>
      </w:pPr>
      <w:r>
        <w:rPr>
          <w:sz w:val="2"/>
        </w:rPr>
      </w:r>
    </w:p>
    <w:p>
      <w:pPr>
        <w:keepNext/>
        <w:spacing w:before="0" w:after="40"/>
        <w:jc w:val="center"/>
      </w:pPr>
      <w:r>
        <w:drawing>
          <wp:inline xmlns:a="http://schemas.openxmlformats.org/drawingml/2006/main" xmlns:pic="http://schemas.openxmlformats.org/drawingml/2006/picture">
            <wp:extent cx="6885810" cy="5472000"/>
            <wp:docPr id="59" name="Picture 59"/>
            <wp:cNvGraphicFramePr>
              <a:graphicFrameLocks noChangeAspect="1"/>
            </wp:cNvGraphicFramePr>
            <a:graphic>
              <a:graphicData uri="http://schemas.openxmlformats.org/drawingml/2006/picture">
                <pic:pic>
                  <pic:nvPicPr>
                    <pic:cNvPr id="0" name="diagramme_classes.png"/>
                    <pic:cNvPicPr/>
                  </pic:nvPicPr>
                  <pic:blipFill>
                    <a:blip r:embed="rId33"/>
                    <a:stretch>
                      <a:fillRect/>
                    </a:stretch>
                  </pic:blipFill>
                  <pic:spPr>
                    <a:xfrm>
                      <a:off x="0" y="0"/>
                      <a:ext cx="6885810" cy="5472000"/>
                    </a:xfrm>
                    <a:prstGeom prst="rect"/>
                  </pic:spPr>
                </pic:pic>
              </a:graphicData>
            </a:graphic>
          </wp:inline>
        </w:drawing>
      </w:r>
    </w:p>
    <w:p>
      <w:pPr>
        <w:pStyle w:val="Légendefigure"/>
        <w:spacing w:before="40" w:after="240"/>
        <w:jc w:val="center"/>
      </w:pPr>
      <w:r>
        <w:rPr>
          <w:i/>
          <w:sz w:val="20"/>
        </w:rPr>
        <w:t>Figure III.18 — Diagramme de classes.</w:t>
      </w:r>
    </w:p>
    <w:p>
      <w:pPr>
        <w:spacing w:before="0" w:after="0" w:line="20" w:lineRule="exact"/>
        <w:sectPr w:rsidR="00852587">
          <w:pgSz w:w="16840" w:h="11910" w:orient="landscape"/>
          <w:pgMar w:top="1000" w:right="1000" w:bottom="900" w:left="1000" w:header="0" w:footer="1055" w:gutter="0"/>
          <w:cols w:space="720"/>
        </w:sectPr>
      </w:pPr>
      <w:r>
        <w:rPr>
          <w:sz w:val="2"/>
        </w:rPr>
      </w:r>
    </w:p>
    <w:p>
      <w:pPr>
        <w:pStyle w:val="Légendetableau"/>
        <w:keepNext/>
        <w:spacing w:before="200" w:after="80"/>
        <w:jc w:val="center"/>
      </w:pPr>
      <w:r>
        <w:rPr>
          <w:b/>
          <w:sz w:val="20"/>
        </w:rPr>
        <w:t>Tableau III.36 — Tables de la base de données.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2117"/>
        <w:gridCol w:w="2710"/>
        <w:gridCol w:w="4562"/>
      </w:tblGrid>
      <w:tr>
        <w:trPr>
          <w:tblHeader w:val="true"/>
        </w:trPr>
        <w:tc>
          <w:tcPr>
            <w:tcW w:type="dxa" w:w="2117"/>
            <w:shd w:val="clear" w:color="auto" w:fill="D9E2F3"/>
          </w:tcPr>
          <w:p>
            <w:pPr>
              <w:spacing w:after="20" w:before="20" w:line="240" w:lineRule="auto"/>
              <w:jc w:val="left"/>
            </w:pPr>
            <w:r/>
            <w:r>
              <w:rPr>
                <w:b/>
                <w:sz w:val="20"/>
              </w:rPr>
              <w:t>Table</w:t>
            </w:r>
          </w:p>
        </w:tc>
        <w:tc>
          <w:tcPr>
            <w:tcW w:type="dxa" w:w="2710"/>
            <w:shd w:val="clear" w:color="auto" w:fill="D9E2F3"/>
          </w:tcPr>
          <w:p>
            <w:pPr>
              <w:spacing w:after="20" w:before="20" w:line="240" w:lineRule="auto"/>
              <w:jc w:val="left"/>
            </w:pPr>
            <w:r/>
            <w:r>
              <w:rPr>
                <w:b/>
                <w:sz w:val="20"/>
              </w:rPr>
              <w:t>Rôle</w:t>
            </w:r>
          </w:p>
        </w:tc>
        <w:tc>
          <w:tcPr>
            <w:tcW w:type="dxa" w:w="4562"/>
            <w:shd w:val="clear" w:color="auto" w:fill="D9E2F3"/>
          </w:tcPr>
          <w:p>
            <w:pPr>
              <w:spacing w:after="20" w:before="20" w:line="240" w:lineRule="auto"/>
              <w:jc w:val="left"/>
            </w:pPr>
            <w:r/>
            <w:r>
              <w:rPr>
                <w:b/>
                <w:sz w:val="20"/>
              </w:rPr>
              <w:t>Particularités</w:t>
            </w:r>
          </w:p>
        </w:tc>
      </w:tr>
      <w:tr>
        <w:trPr>
          <w:cantSplit w:val="true"/>
        </w:trPr>
        <w:tc>
          <w:tcPr>
            <w:tcW w:type="dxa" w:w="2117"/>
          </w:tcPr>
          <w:p>
            <w:pPr>
              <w:spacing w:after="20" w:before="20" w:line="240" w:lineRule="auto"/>
              <w:jc w:val="left"/>
            </w:pPr>
            <w:r/>
            <w:r>
              <w:rPr>
                <w:rFonts w:ascii="Courier New" w:hAnsi="Courier New"/>
                <w:b w:val="0"/>
                <w:sz w:val="16"/>
              </w:rPr>
              <w:t>scored_transactions</w:t>
            </w:r>
          </w:p>
        </w:tc>
        <w:tc>
          <w:tcPr>
            <w:tcW w:type="dxa" w:w="2710"/>
          </w:tcPr>
          <w:p>
            <w:pPr>
              <w:spacing w:after="20" w:before="20" w:line="240" w:lineRule="auto"/>
              <w:jc w:val="left"/>
            </w:pPr>
            <w:r/>
            <w:r>
              <w:rPr>
                <w:sz w:val="20"/>
              </w:rPr>
              <w:t>toute opération notée : données, décision, explication, variables, étiquette</w:t>
            </w:r>
          </w:p>
        </w:tc>
        <w:tc>
          <w:tcPr>
            <w:tcW w:type="dxa" w:w="4562"/>
          </w:tcPr>
          <w:p>
            <w:pPr>
              <w:spacing w:after="20" w:before="20" w:line="240" w:lineRule="auto"/>
              <w:jc w:val="left"/>
            </w:pPr>
            <w:r/>
            <w:r>
              <w:rPr>
                <w:sz w:val="20"/>
              </w:rPr>
              <w:t>hypertable TimescaleDB partitionnée par le temps ; clé (</w:t>
            </w:r>
            <w:r>
              <w:rPr>
                <w:rFonts w:ascii="Courier New" w:hAnsi="Courier New"/>
                <w:b w:val="0"/>
                <w:sz w:val="16"/>
              </w:rPr>
              <w:t>transaction_id</w:t>
            </w:r>
            <w:r>
              <w:rPr>
                <w:sz w:val="20"/>
              </w:rPr>
              <w:t xml:space="preserve">, </w:t>
            </w:r>
            <w:r>
              <w:rPr>
                <w:rFonts w:ascii="Courier New" w:hAnsi="Courier New"/>
                <w:b w:val="0"/>
                <w:sz w:val="16"/>
              </w:rPr>
              <w:t>tx_time</w:t>
            </w:r>
            <w:r>
              <w:rPr>
                <w:sz w:val="20"/>
              </w:rPr>
              <w:t>) ; rattachée à une institution</w:t>
            </w:r>
          </w:p>
        </w:tc>
      </w:tr>
      <w:tr>
        <w:trPr>
          <w:cantSplit w:val="true"/>
        </w:trPr>
        <w:tc>
          <w:tcPr>
            <w:tcW w:type="dxa" w:w="2117"/>
          </w:tcPr>
          <w:p>
            <w:pPr>
              <w:spacing w:after="20" w:before="20" w:line="240" w:lineRule="auto"/>
              <w:jc w:val="left"/>
            </w:pPr>
            <w:r/>
            <w:r>
              <w:rPr>
                <w:rFonts w:ascii="Courier New" w:hAnsi="Courier New"/>
                <w:b w:val="0"/>
                <w:sz w:val="16"/>
              </w:rPr>
              <w:t>cases</w:t>
            </w:r>
          </w:p>
        </w:tc>
        <w:tc>
          <w:tcPr>
            <w:tcW w:type="dxa" w:w="2710"/>
          </w:tcPr>
          <w:p>
            <w:pPr>
              <w:spacing w:after="20" w:before="20" w:line="240" w:lineRule="auto"/>
              <w:jc w:val="left"/>
            </w:pPr>
            <w:r/>
            <w:r>
              <w:rPr>
                <w:sz w:val="20"/>
              </w:rPr>
              <w:t>dossier d'alerte : statut, affectation, résolution, motif de revue</w:t>
            </w:r>
          </w:p>
        </w:tc>
        <w:tc>
          <w:tcPr>
            <w:tcW w:type="dxa" w:w="4562"/>
          </w:tcPr>
          <w:p>
            <w:pPr>
              <w:spacing w:after="20" w:before="20" w:line="240" w:lineRule="auto"/>
              <w:jc w:val="left"/>
            </w:pPr>
            <w:r/>
            <w:r>
              <w:rPr>
                <w:sz w:val="20"/>
              </w:rPr>
              <w:t>statuts OUVERT, EN_COURS, FRAUDE_CONFIRMEE, FAUX_POSITIF</w:t>
            </w:r>
          </w:p>
        </w:tc>
      </w:tr>
      <w:tr>
        <w:trPr>
          <w:cantSplit w:val="true"/>
        </w:trPr>
        <w:tc>
          <w:tcPr>
            <w:tcW w:type="dxa" w:w="2117"/>
          </w:tcPr>
          <w:p>
            <w:pPr>
              <w:spacing w:after="20" w:before="20" w:line="240" w:lineRule="auto"/>
              <w:jc w:val="left"/>
            </w:pPr>
            <w:r/>
            <w:r>
              <w:rPr>
                <w:rFonts w:ascii="Courier New" w:hAnsi="Courier New"/>
                <w:b w:val="0"/>
                <w:sz w:val="16"/>
              </w:rPr>
              <w:t>unblock_requests</w:t>
            </w:r>
          </w:p>
        </w:tc>
        <w:tc>
          <w:tcPr>
            <w:tcW w:type="dxa" w:w="2710"/>
          </w:tcPr>
          <w:p>
            <w:pPr>
              <w:spacing w:after="20" w:before="20" w:line="240" w:lineRule="auto"/>
              <w:jc w:val="left"/>
            </w:pPr>
            <w:r/>
            <w:r>
              <w:rPr>
                <w:sz w:val="20"/>
              </w:rPr>
              <w:t>déblocages importants en attente d'un second validateur</w:t>
            </w:r>
          </w:p>
        </w:tc>
        <w:tc>
          <w:tcPr>
            <w:tcW w:type="dxa" w:w="4562"/>
          </w:tcPr>
          <w:p>
            <w:pPr>
              <w:spacing w:after="20" w:before="20" w:line="240" w:lineRule="auto"/>
              <w:jc w:val="left"/>
            </w:pPr>
            <w:r/>
            <w:r>
              <w:rPr>
                <w:sz w:val="20"/>
              </w:rPr>
              <w:t>une seule demande en attente par dossier</w:t>
            </w:r>
          </w:p>
        </w:tc>
      </w:tr>
      <w:tr>
        <w:trPr>
          <w:cantSplit w:val="true"/>
        </w:trPr>
        <w:tc>
          <w:tcPr>
            <w:tcW w:type="dxa" w:w="2117"/>
          </w:tcPr>
          <w:p>
            <w:pPr>
              <w:spacing w:after="20" w:before="20" w:line="240" w:lineRule="auto"/>
              <w:jc w:val="left"/>
            </w:pPr>
            <w:r/>
            <w:r>
              <w:rPr>
                <w:rFonts w:ascii="Courier New" w:hAnsi="Courier New"/>
                <w:b w:val="0"/>
                <w:sz w:val="16"/>
              </w:rPr>
              <w:t>notifications</w:t>
            </w:r>
          </w:p>
        </w:tc>
        <w:tc>
          <w:tcPr>
            <w:tcW w:type="dxa" w:w="2710"/>
          </w:tcPr>
          <w:p>
            <w:pPr>
              <w:spacing w:after="20" w:before="20" w:line="240" w:lineRule="auto"/>
              <w:jc w:val="left"/>
            </w:pPr>
            <w:r/>
            <w:r>
              <w:rPr>
                <w:sz w:val="20"/>
              </w:rPr>
              <w:t>SMS et e-mails envoyés</w:t>
            </w:r>
          </w:p>
        </w:tc>
        <w:tc>
          <w:tcPr>
            <w:tcW w:type="dxa" w:w="4562"/>
          </w:tcPr>
          <w:p>
            <w:pPr>
              <w:spacing w:after="20" w:before="20" w:line="240" w:lineRule="auto"/>
              <w:jc w:val="left"/>
            </w:pPr>
            <w:r/>
            <w:r>
              <w:rPr>
                <w:sz w:val="20"/>
              </w:rPr>
              <w:t>liées au dossier</w:t>
            </w:r>
          </w:p>
        </w:tc>
      </w:tr>
      <w:tr>
        <w:trPr>
          <w:cantSplit w:val="true"/>
        </w:trPr>
        <w:tc>
          <w:tcPr>
            <w:tcW w:type="dxa" w:w="2117"/>
          </w:tcPr>
          <w:p>
            <w:pPr>
              <w:spacing w:after="20" w:before="20" w:line="240" w:lineRule="auto"/>
              <w:jc w:val="left"/>
            </w:pPr>
            <w:r/>
            <w:r>
              <w:rPr>
                <w:rFonts w:ascii="Courier New" w:hAnsi="Courier New"/>
                <w:b w:val="0"/>
                <w:sz w:val="16"/>
              </w:rPr>
              <w:t>audit_log</w:t>
            </w:r>
          </w:p>
        </w:tc>
        <w:tc>
          <w:tcPr>
            <w:tcW w:type="dxa" w:w="2710"/>
          </w:tcPr>
          <w:p>
            <w:pPr>
              <w:spacing w:after="20" w:before="20" w:line="240" w:lineRule="auto"/>
              <w:jc w:val="left"/>
            </w:pPr>
            <w:r/>
            <w:r>
              <w:rPr>
                <w:sz w:val="20"/>
              </w:rPr>
              <w:t>journal d'audit inaltérable</w:t>
            </w:r>
          </w:p>
        </w:tc>
        <w:tc>
          <w:tcPr>
            <w:tcW w:type="dxa" w:w="4562"/>
          </w:tcPr>
          <w:p>
            <w:pPr>
              <w:spacing w:after="20" w:before="20" w:line="240" w:lineRule="auto"/>
              <w:jc w:val="left"/>
            </w:pPr>
            <w:r/>
            <w:r>
              <w:rPr>
                <w:sz w:val="20"/>
              </w:rPr>
              <w:t xml:space="preserve">chaînage </w:t>
            </w:r>
            <w:r>
              <w:rPr>
                <w:rFonts w:ascii="Courier New" w:hAnsi="Courier New"/>
                <w:b w:val="0"/>
                <w:sz w:val="16"/>
              </w:rPr>
              <w:t>prev_hash</w:t>
            </w:r>
            <w:r>
              <w:rPr>
                <w:sz w:val="20"/>
              </w:rPr>
              <w:t xml:space="preserve"> vers </w:t>
            </w:r>
            <w:r>
              <w:rPr>
                <w:rFonts w:ascii="Courier New" w:hAnsi="Courier New"/>
                <w:b w:val="0"/>
                <w:sz w:val="16"/>
              </w:rPr>
              <w:t>hash</w:t>
            </w:r>
            <w:r>
              <w:rPr>
                <w:sz w:val="20"/>
              </w:rPr>
              <w:t xml:space="preserve"> (SHA-256) ; modification et suppression interdites par déclencheur</w:t>
            </w:r>
          </w:p>
        </w:tc>
      </w:tr>
      <w:tr>
        <w:trPr>
          <w:cantSplit w:val="true"/>
        </w:trPr>
        <w:tc>
          <w:tcPr>
            <w:tcW w:type="dxa" w:w="2117"/>
          </w:tcPr>
          <w:p>
            <w:pPr>
              <w:spacing w:after="20" w:before="20" w:line="240" w:lineRule="auto"/>
              <w:jc w:val="left"/>
            </w:pPr>
            <w:r/>
            <w:r>
              <w:rPr>
                <w:rFonts w:ascii="Courier New" w:hAnsi="Courier New"/>
                <w:b w:val="0"/>
                <w:sz w:val="16"/>
              </w:rPr>
              <w:t>bo_users</w:t>
            </w:r>
          </w:p>
        </w:tc>
        <w:tc>
          <w:tcPr>
            <w:tcW w:type="dxa" w:w="2710"/>
          </w:tcPr>
          <w:p>
            <w:pPr>
              <w:spacing w:after="20" w:before="20" w:line="240" w:lineRule="auto"/>
              <w:jc w:val="left"/>
            </w:pPr>
            <w:r/>
            <w:r>
              <w:rPr>
                <w:sz w:val="20"/>
              </w:rPr>
              <w:t>utilisateurs internes</w:t>
            </w:r>
          </w:p>
        </w:tc>
        <w:tc>
          <w:tcPr>
            <w:tcW w:type="dxa" w:w="4562"/>
          </w:tcPr>
          <w:p>
            <w:pPr>
              <w:spacing w:after="20" w:before="20" w:line="240" w:lineRule="auto"/>
              <w:jc w:val="left"/>
            </w:pPr>
            <w:r/>
            <w:r>
              <w:rPr>
                <w:sz w:val="20"/>
              </w:rPr>
              <w:t>rôle ANALYSTE, SUPERVISEUR ou ADMIN ; mot de passe haché par bcrypt ; secret TOTP chiffré, verrouillage</w:t>
            </w:r>
          </w:p>
        </w:tc>
      </w:tr>
      <w:tr>
        <w:trPr>
          <w:cantSplit w:val="true"/>
        </w:trPr>
        <w:tc>
          <w:tcPr>
            <w:tcW w:type="dxa" w:w="2117"/>
          </w:tcPr>
          <w:p>
            <w:pPr>
              <w:spacing w:after="20" w:before="20" w:line="240" w:lineRule="auto"/>
              <w:jc w:val="left"/>
            </w:pPr>
            <w:r/>
            <w:r>
              <w:rPr>
                <w:rFonts w:ascii="Courier New" w:hAnsi="Courier New"/>
                <w:b w:val="0"/>
                <w:sz w:val="16"/>
              </w:rPr>
              <w:t>institutions</w:t>
            </w:r>
          </w:p>
        </w:tc>
        <w:tc>
          <w:tcPr>
            <w:tcW w:type="dxa" w:w="2710"/>
          </w:tcPr>
          <w:p>
            <w:pPr>
              <w:spacing w:after="20" w:before="20" w:line="240" w:lineRule="auto"/>
              <w:jc w:val="left"/>
            </w:pPr>
            <w:r/>
            <w:r>
              <w:rPr>
                <w:sz w:val="20"/>
              </w:rPr>
              <w:t>partenaires de l'API</w:t>
            </w:r>
          </w:p>
        </w:tc>
        <w:tc>
          <w:tcPr>
            <w:tcW w:type="dxa" w:w="4562"/>
          </w:tcPr>
          <w:p>
            <w:pPr>
              <w:spacing w:after="20" w:before="20" w:line="240" w:lineRule="auto"/>
              <w:jc w:val="left"/>
            </w:pPr>
            <w:r/>
            <w:r>
              <w:rPr>
                <w:sz w:val="20"/>
              </w:rPr>
              <w:t>type, droits, formats natifs, empreinte de la clé, quota de débit</w:t>
            </w:r>
          </w:p>
        </w:tc>
      </w:tr>
      <w:tr>
        <w:trPr>
          <w:cantSplit w:val="true"/>
        </w:trPr>
        <w:tc>
          <w:tcPr>
            <w:tcW w:type="dxa" w:w="2117"/>
          </w:tcPr>
          <w:p>
            <w:pPr>
              <w:spacing w:after="20" w:before="20" w:line="240" w:lineRule="auto"/>
              <w:jc w:val="left"/>
            </w:pPr>
            <w:r/>
            <w:r>
              <w:rPr>
                <w:rFonts w:ascii="Courier New" w:hAnsi="Courier New"/>
                <w:b w:val="0"/>
                <w:sz w:val="16"/>
              </w:rPr>
              <w:t>model_registry</w:t>
            </w:r>
          </w:p>
        </w:tc>
        <w:tc>
          <w:tcPr>
            <w:tcW w:type="dxa" w:w="2710"/>
          </w:tcPr>
          <w:p>
            <w:pPr>
              <w:spacing w:after="20" w:before="20" w:line="240" w:lineRule="auto"/>
              <w:jc w:val="left"/>
            </w:pPr>
            <w:r/>
            <w:r>
              <w:rPr>
                <w:sz w:val="20"/>
              </w:rPr>
              <w:t>versions des modèles</w:t>
            </w:r>
          </w:p>
        </w:tc>
        <w:tc>
          <w:tcPr>
            <w:tcW w:type="dxa" w:w="4562"/>
          </w:tcPr>
          <w:p>
            <w:pPr>
              <w:spacing w:after="20" w:before="20" w:line="240" w:lineRule="auto"/>
              <w:jc w:val="left"/>
            </w:pPr>
            <w:r/>
            <w:r>
              <w:rPr>
                <w:sz w:val="20"/>
              </w:rPr>
              <w:t>statut CHAMPION, CHALLENGER, ARCHIVE ou REJETE ; métriques</w:t>
            </w:r>
          </w:p>
        </w:tc>
      </w:tr>
      <w:tr>
        <w:trPr>
          <w:cantSplit w:val="true"/>
        </w:trPr>
        <w:tc>
          <w:tcPr>
            <w:tcW w:type="dxa" w:w="2117"/>
          </w:tcPr>
          <w:p>
            <w:pPr>
              <w:spacing w:after="20" w:before="20" w:line="240" w:lineRule="auto"/>
              <w:jc w:val="left"/>
            </w:pPr>
            <w:r/>
            <w:r>
              <w:rPr>
                <w:rFonts w:ascii="Courier New" w:hAnsi="Courier New"/>
                <w:b w:val="0"/>
                <w:sz w:val="16"/>
              </w:rPr>
              <w:t>decision_policies</w:t>
            </w:r>
          </w:p>
        </w:tc>
        <w:tc>
          <w:tcPr>
            <w:tcW w:type="dxa" w:w="2710"/>
          </w:tcPr>
          <w:p>
            <w:pPr>
              <w:spacing w:after="20" w:before="20" w:line="240" w:lineRule="auto"/>
              <w:jc w:val="left"/>
            </w:pPr>
            <w:r/>
            <w:r>
              <w:rPr>
                <w:sz w:val="20"/>
              </w:rPr>
              <w:t>versions de la politique de coût</w:t>
            </w:r>
          </w:p>
        </w:tc>
        <w:tc>
          <w:tcPr>
            <w:tcW w:type="dxa" w:w="4562"/>
          </w:tcPr>
          <w:p>
            <w:pPr>
              <w:spacing w:after="20" w:before="20" w:line="240" w:lineRule="auto"/>
              <w:jc w:val="left"/>
            </w:pPr>
            <w:r/>
            <w:r>
              <w:rPr>
                <w:sz w:val="20"/>
              </w:rPr>
              <w:t>auteur, justification, effet simulé ; une seule version active</w:t>
            </w:r>
          </w:p>
        </w:tc>
      </w:tr>
      <w:tr>
        <w:trPr>
          <w:cantSplit w:val="true"/>
        </w:trPr>
        <w:tc>
          <w:tcPr>
            <w:tcW w:type="dxa" w:w="2117"/>
          </w:tcPr>
          <w:p>
            <w:pPr>
              <w:spacing w:after="20" w:before="20" w:line="240" w:lineRule="auto"/>
              <w:jc w:val="left"/>
            </w:pPr>
            <w:r/>
            <w:r>
              <w:rPr>
                <w:rFonts w:ascii="Courier New" w:hAnsi="Courier New"/>
                <w:b w:val="0"/>
                <w:sz w:val="16"/>
              </w:rPr>
              <w:t>retrain_events</w:t>
            </w:r>
            <w:r>
              <w:rPr>
                <w:sz w:val="20"/>
              </w:rPr>
              <w:t xml:space="preserve">, </w:t>
            </w:r>
            <w:r>
              <w:rPr>
                <w:rFonts w:ascii="Courier New" w:hAnsi="Courier New"/>
                <w:b w:val="0"/>
                <w:sz w:val="16"/>
              </w:rPr>
              <w:t>retrain_state</w:t>
            </w:r>
          </w:p>
        </w:tc>
        <w:tc>
          <w:tcPr>
            <w:tcW w:type="dxa" w:w="2710"/>
          </w:tcPr>
          <w:p>
            <w:pPr>
              <w:spacing w:after="20" w:before="20" w:line="240" w:lineRule="auto"/>
              <w:jc w:val="left"/>
            </w:pPr>
            <w:r/>
            <w:r>
              <w:rPr>
                <w:sz w:val="20"/>
              </w:rPr>
              <w:t>journal et signaux de l'apprentissage continu</w:t>
            </w:r>
          </w:p>
        </w:tc>
        <w:tc>
          <w:tcPr>
            <w:tcW w:type="dxa" w:w="4562"/>
          </w:tcPr>
          <w:p>
            <w:pPr>
              <w:spacing w:after="20" w:before="20" w:line="240" w:lineRule="auto"/>
              <w:jc w:val="left"/>
            </w:pPr>
            <w:r/>
            <w:r>
              <w:rPr>
                <w:sz w:val="20"/>
              </w:rPr>
              <w:t>déclencheur AUTO ou MANUEL, motifs</w:t>
            </w:r>
          </w:p>
        </w:tc>
      </w:tr>
    </w:tbl>
    <w:p>
      <w:pPr>
        <w:spacing w:after="120"/>
      </w:pPr>
    </w:p>
    <w:p>
      <w:pPr>
        <w:spacing w:before="0" w:after="120" w:line="360" w:lineRule="auto"/>
        <w:jc w:val="both"/>
      </w:pPr>
      <w:r>
        <w:rPr>
          <w:b/>
          <w:sz w:val="24"/>
        </w:rPr>
        <w:t>Magasin de profils.</w:t>
      </w:r>
      <w:r>
        <w:rPr>
          <w:sz w:val="24"/>
        </w:rPr>
        <w:t xml:space="preserve"> L'état comportemental de chaque client est conservé dans </w:t>
      </w:r>
      <w:r>
        <w:rPr>
          <w:b/>
          <w:sz w:val="24"/>
        </w:rPr>
        <w:t>Redis</w:t>
      </w:r>
      <w:r>
        <w:rPr>
          <w:sz w:val="24"/>
        </w:rPr>
        <w:t xml:space="preserve">, en mémoire, pour être lu en moins d'une milliseconde : agrégats de montants, appareils, agents et destinataires connus, dernière province, séquence des 10 dernières opérations. Les décisions y sont aussi conservées 30 minutes pour l'idempotence. La mise à jour du profil se fait sous </w:t>
      </w:r>
      <w:r>
        <w:rPr>
          <w:b/>
          <w:sz w:val="24"/>
        </w:rPr>
        <w:t>verrou</w:t>
      </w:r>
      <w:r>
        <w:rPr>
          <w:sz w:val="24"/>
        </w:rPr>
        <w:t>, afin que deux opérations simultanées d'un même client ne se contredisent pas (condition de concurrence).</w:t>
      </w:r>
    </w:p>
    <w:p>
      <w:pPr>
        <w:spacing w:before="0" w:after="120" w:line="360" w:lineRule="auto"/>
        <w:jc w:val="both"/>
      </w:pPr>
      <w:r>
        <w:rPr>
          <w:b/>
          <w:sz w:val="24"/>
        </w:rPr>
        <w:t>Journal d'audit chaîné.</w:t>
      </w:r>
      <w:r>
        <w:rPr>
          <w:sz w:val="24"/>
        </w:rPr>
        <w:t xml:space="preserve"> Chaque entrée du journal contient l'empreinte de l'entrée précédente :</w:t>
      </w:r>
    </w:p>
    <w:p>
      <w:pPr>
        <w:spacing w:before="120" w:after="160"/>
        <w:jc w:val="center"/>
      </w:pPr>
      <m:oMath>
        <m:sSub>
          <m:e>
            <m:r>
              <m:t>h</m:t>
            </m:r>
          </m:e>
          <m:sub>
            <m:r>
              <m:t>n</m:t>
            </m:r>
          </m:sub>
        </m:sSub>
        <m:r>
          <m:t>=</m:t>
        </m:r>
        <m:r>
          <m:rPr>
            <m:sty m:val="p"/>
          </m:rPr>
          <m:t>SHA</m:t>
        </m:r>
        <m:r>
          <m:t>256</m:t>
        </m:r>
        <m:r>
          <m:t>(</m:t>
        </m:r>
        <m:sSub>
          <m:e>
            <m:r>
              <m:t>h</m:t>
            </m:r>
          </m:e>
          <m:sub>
            <m:r>
              <m:t>n−1</m:t>
            </m:r>
          </m:sub>
        </m:sSub>
        <m:r>
          <m:rPr>
            <m:sty m:val="p"/>
          </m:rPr>
          <m:t> </m:t>
        </m:r>
        <m:r>
          <m:t>‖</m:t>
        </m:r>
        <m:r>
          <m:rPr>
            <m:sty m:val="p"/>
          </m:rPr>
          <m:t> </m:t>
        </m:r>
        <m:sSub>
          <m:e>
            <m:r>
              <m:rPr>
                <m:nor/>
              </m:rPr>
              <m:t>contenu</m:t>
            </m:r>
          </m:e>
          <m:sub>
            <m:r>
              <m:t>n</m:t>
            </m:r>
          </m:sub>
        </m:sSub>
        <m:r>
          <m:t>)</m:t>
        </m:r>
      </m:oMath>
    </w:p>
    <w:p>
      <w:pPr>
        <w:spacing w:before="0" w:after="120" w:line="360" w:lineRule="auto"/>
        <w:jc w:val="both"/>
      </w:pPr>
      <w:r>
        <w:rPr>
          <w:sz w:val="24"/>
        </w:rPr>
        <w:t xml:space="preserve">où SHA-256 est une fonction de hachage cryptographique (l'empreinte change entièrement au moindre changement du contenu et ne permet pas de retrouver ce contenu) et </w:t>
      </w:r>
      <m:oMath>
        <m:r>
          <m:t>‖</m:t>
        </m:r>
      </m:oMath>
      <w:r>
        <w:rPr>
          <w:sz w:val="24"/>
        </w:rPr>
        <w:t xml:space="preserve"> la concaténation. Modifier une entrée passée change son empreinte et rompt toute la chaîne qui suit. Un déclencheur en base interdit en outre toute modification ou suppression. Une vérification de la chaîne, accessible au superviseur, prouve que le journal n'a pas été altéré.</w:t>
      </w:r>
    </w:p>
    <w:p>
      <w:pPr>
        <w:pStyle w:val="Titre4"/>
        <w:keepNext/>
        <w:numPr>
          <w:numId w:val="0"/>
        </w:numPr>
        <w:spacing w:before="200" w:after="120"/>
        <w:ind w:left="0" w:firstLine="0"/>
        <w:jc w:val="left"/>
      </w:pPr>
      <w:r>
        <w:rPr>
          <w:b/>
          <w:i/>
          <w:color w:val="000000"/>
          <w:sz w:val="25"/>
        </w:rPr>
        <w:t>3.5 Comportement dynamique</w:t>
      </w:r>
    </w:p>
    <w:p>
      <w:pPr>
        <w:spacing w:before="0" w:after="120" w:line="360" w:lineRule="auto"/>
        <w:jc w:val="both"/>
      </w:pPr>
      <w:r>
        <w:rPr>
          <w:b/>
          <w:sz w:val="24"/>
        </w:rPr>
        <w:t>Notation d'une opération en temps réel.</w:t>
      </w:r>
      <w:r>
        <w:rPr>
          <w:sz w:val="24"/>
        </w:rPr>
        <w:t xml:space="preserve"> L'institution envoie l'opération avant de l'exécuter ; l'API d'intégration vérifie la clé, le quota et le format, puis rattache l'opération à l'institution ; le service de notation vérifie l'idempotence, met à jour le profil sous verrou, calcule les variables et les lois physiques, applique le modèle hybride puis le classifieur de typologie, analyse le message éventuel et décide ; la décision est renvoyée de façon synchrone ; en parallèle, l'événement est publié dans Kafka et les workers enregistrent l'opération, ouvrent un dossier si nécessaire, préviennent le client et écrivent le journal d'audit (figure III.19).</w:t>
      </w:r>
    </w:p>
    <w:p>
      <w:pPr>
        <w:spacing w:before="0" w:after="0" w:line="20" w:lineRule="exact"/>
        <w:sectPr w:rsidR="00852587">
          <w:pgSz w:w="11910" w:h="16840"/>
          <w:pgMar w:top="1360" w:right="1180" w:bottom="1240" w:left="1340" w:header="0" w:footer="1055" w:gutter="0"/>
          <w:cols w:space="720"/>
        </w:sectPr>
      </w:pPr>
      <w:r>
        <w:rPr>
          <w:sz w:val="2"/>
        </w:rPr>
      </w:r>
    </w:p>
    <w:p>
      <w:pPr>
        <w:keepNext/>
        <w:spacing w:before="0" w:after="40"/>
        <w:jc w:val="center"/>
      </w:pPr>
      <w:r>
        <w:drawing>
          <wp:inline xmlns:a="http://schemas.openxmlformats.org/drawingml/2006/main" xmlns:pic="http://schemas.openxmlformats.org/drawingml/2006/picture">
            <wp:extent cx="6761022" cy="5472000"/>
            <wp:docPr id="60" name="Picture 60"/>
            <wp:cNvGraphicFramePr>
              <a:graphicFrameLocks noChangeAspect="1"/>
            </wp:cNvGraphicFramePr>
            <a:graphic>
              <a:graphicData uri="http://schemas.openxmlformats.org/drawingml/2006/picture">
                <pic:pic>
                  <pic:nvPicPr>
                    <pic:cNvPr id="0" name="sequence_scoring_temps_reel.png"/>
                    <pic:cNvPicPr/>
                  </pic:nvPicPr>
                  <pic:blipFill>
                    <a:blip r:embed="rId34"/>
                    <a:stretch>
                      <a:fillRect/>
                    </a:stretch>
                  </pic:blipFill>
                  <pic:spPr>
                    <a:xfrm>
                      <a:off x="0" y="0"/>
                      <a:ext cx="6761022" cy="5472000"/>
                    </a:xfrm>
                    <a:prstGeom prst="rect"/>
                  </pic:spPr>
                </pic:pic>
              </a:graphicData>
            </a:graphic>
          </wp:inline>
        </w:drawing>
      </w:r>
    </w:p>
    <w:p>
      <w:pPr>
        <w:pStyle w:val="Légendefigure"/>
        <w:spacing w:before="40" w:after="240"/>
        <w:jc w:val="center"/>
      </w:pPr>
      <w:r>
        <w:rPr>
          <w:i/>
          <w:sz w:val="20"/>
        </w:rPr>
        <w:t>Figure III.19 — Diagramme de séquence de la notation en temps réel.</w:t>
      </w:r>
    </w:p>
    <w:p>
      <w:pPr>
        <w:spacing w:before="0" w:after="0" w:line="20" w:lineRule="exact"/>
        <w:sectPr w:rsidR="00852587">
          <w:pgSz w:w="16840" w:h="11910" w:orient="landscape"/>
          <w:pgMar w:top="1000" w:right="1000" w:bottom="900" w:left="1000" w:header="0" w:footer="1055" w:gutter="0"/>
          <w:cols w:space="720"/>
        </w:sectPr>
      </w:pPr>
      <w:r>
        <w:rPr>
          <w:sz w:val="2"/>
        </w:rPr>
      </w:r>
    </w:p>
    <w:p>
      <w:pPr>
        <w:spacing w:before="0" w:after="120" w:line="360" w:lineRule="auto"/>
        <w:jc w:val="both"/>
      </w:pPr>
      <w:r>
        <w:rPr>
          <w:b/>
          <w:sz w:val="24"/>
        </w:rPr>
        <w:t>Processus cible de traitement d'une alerte.</w:t>
      </w:r>
      <w:r>
        <w:rPr>
          <w:sz w:val="24"/>
        </w:rPr>
        <w:t xml:space="preserve"> Le diagramme d'activité suivant montre le processus complet, de la soumission de l'opération jusqu'au verdict de l'analyste. Il est à comparer au processus existant (figure II.2) : la détection a lieu avant l'exécution, la réponse est graduée, et le verdict de l'analyste alimente l'apprentissage.</w:t>
      </w:r>
    </w:p>
    <w:p>
      <w:pPr>
        <w:keepNext/>
        <w:spacing w:before="160" w:after="40"/>
        <w:jc w:val="center"/>
      </w:pPr>
      <w:r>
        <w:drawing>
          <wp:inline xmlns:a="http://schemas.openxmlformats.org/drawingml/2006/main" xmlns:pic="http://schemas.openxmlformats.org/drawingml/2006/picture">
            <wp:extent cx="5580000" cy="5784440"/>
            <wp:docPr id="61" name="Picture 61"/>
            <wp:cNvGraphicFramePr>
              <a:graphicFrameLocks noChangeAspect="1"/>
            </wp:cNvGraphicFramePr>
            <a:graphic>
              <a:graphicData uri="http://schemas.openxmlformats.org/drawingml/2006/picture">
                <pic:pic>
                  <pic:nvPicPr>
                    <pic:cNvPr id="0" name="activite_traitement_alerte.png"/>
                    <pic:cNvPicPr/>
                  </pic:nvPicPr>
                  <pic:blipFill>
                    <a:blip r:embed="rId35"/>
                    <a:stretch>
                      <a:fillRect/>
                    </a:stretch>
                  </pic:blipFill>
                  <pic:spPr>
                    <a:xfrm>
                      <a:off x="0" y="0"/>
                      <a:ext cx="5580000" cy="5784440"/>
                    </a:xfrm>
                    <a:prstGeom prst="rect"/>
                  </pic:spPr>
                </pic:pic>
              </a:graphicData>
            </a:graphic>
          </wp:inline>
        </w:drawing>
      </w:r>
    </w:p>
    <w:p>
      <w:pPr>
        <w:pStyle w:val="Légendefigure"/>
        <w:spacing w:before="40" w:after="240"/>
        <w:jc w:val="center"/>
      </w:pPr>
      <w:r>
        <w:rPr>
          <w:i/>
          <w:sz w:val="20"/>
        </w:rPr>
        <w:t>Figure III.20 — Diagramme d'activité du processus cible.</w:t>
      </w:r>
    </w:p>
    <w:p>
      <w:pPr>
        <w:spacing w:before="0" w:after="120" w:line="360" w:lineRule="auto"/>
        <w:jc w:val="both"/>
      </w:pPr>
      <w:r>
        <w:rPr>
          <w:b/>
          <w:sz w:val="24"/>
        </w:rPr>
        <w:t>Cycle de vie d'un dossier.</w:t>
      </w:r>
      <w:r>
        <w:rPr>
          <w:sz w:val="24"/>
        </w:rPr>
        <w:t xml:space="preserve"> Un dossier naît OUVERT lorsqu'une décision VERIFY ou BLOCK est rendue, ou directement FRAUDE_CONFIRMEE lorsqu'il résulte d'une plainte ou d'un retour d'institution. Les deux états finaux produisent une étiquette (</w:t>
      </w:r>
      <m:oMath>
        <m:r>
          <m:t>y=1</m:t>
        </m:r>
      </m:oMath>
      <w:r>
        <w:rPr>
          <w:sz w:val="24"/>
        </w:rPr>
        <w:t xml:space="preserve"> ou </w:t>
      </w:r>
      <m:oMath>
        <m:r>
          <m:t>y=0</m:t>
        </m:r>
      </m:oMath>
      <w:r>
        <w:rPr>
          <w:sz w:val="24"/>
        </w:rPr>
        <w:t>) et ne peuvent plus être quittés. Déclarer faux positif une opération bloquée d'au moins 500 USD place le dossier en attente de la validation d'un second validateur avant de produire l'étiquette.</w:t>
      </w:r>
    </w:p>
    <w:p>
      <w:pPr>
        <w:keepNext/>
        <w:spacing w:before="160" w:after="40"/>
        <w:jc w:val="center"/>
      </w:pPr>
      <w:r>
        <w:drawing>
          <wp:inline xmlns:a="http://schemas.openxmlformats.org/drawingml/2006/main" xmlns:pic="http://schemas.openxmlformats.org/drawingml/2006/picture">
            <wp:extent cx="5580000" cy="5293623"/>
            <wp:docPr id="62" name="Picture 62"/>
            <wp:cNvGraphicFramePr>
              <a:graphicFrameLocks noChangeAspect="1"/>
            </wp:cNvGraphicFramePr>
            <a:graphic>
              <a:graphicData uri="http://schemas.openxmlformats.org/drawingml/2006/picture">
                <pic:pic>
                  <pic:nvPicPr>
                    <pic:cNvPr id="0" name="etats_dossier.png"/>
                    <pic:cNvPicPr/>
                  </pic:nvPicPr>
                  <pic:blipFill>
                    <a:blip r:embed="rId36"/>
                    <a:stretch>
                      <a:fillRect/>
                    </a:stretch>
                  </pic:blipFill>
                  <pic:spPr>
                    <a:xfrm>
                      <a:off x="0" y="0"/>
                      <a:ext cx="5580000" cy="5293623"/>
                    </a:xfrm>
                    <a:prstGeom prst="rect"/>
                  </pic:spPr>
                </pic:pic>
              </a:graphicData>
            </a:graphic>
          </wp:inline>
        </w:drawing>
      </w:r>
    </w:p>
    <w:p>
      <w:pPr>
        <w:pStyle w:val="Légendefigure"/>
        <w:spacing w:before="40" w:after="240"/>
        <w:jc w:val="center"/>
      </w:pPr>
      <w:r>
        <w:rPr>
          <w:i/>
          <w:sz w:val="20"/>
        </w:rPr>
        <w:t>Figure III.21 — Diagramme d'états-transitions d'un dossier.</w:t>
      </w:r>
    </w:p>
    <w:p>
      <w:pPr>
        <w:spacing w:before="0" w:after="120" w:line="360" w:lineRule="auto"/>
        <w:jc w:val="both"/>
      </w:pPr>
      <w:r>
        <w:rPr>
          <w:b/>
          <w:sz w:val="24"/>
        </w:rPr>
        <w:t>Réentraînement champion / challenger.</w:t>
      </w:r>
      <w:r>
        <w:rPr>
          <w:sz w:val="24"/>
        </w:rPr>
        <w:t xml:space="preserve"> Le planificateur relève des signaux, entraîne un challenger, le soumet aux contrôles de qualité, puis ne le promeut que s'il est meilleur que le champion sur la même période (figure III.22).</w:t>
      </w:r>
    </w:p>
    <w:p>
      <w:pPr>
        <w:spacing w:before="0" w:after="0" w:line="20" w:lineRule="exact"/>
        <w:sectPr w:rsidR="00852587">
          <w:pgSz w:w="11910" w:h="16840"/>
          <w:pgMar w:top="1360" w:right="1180" w:bottom="1240" w:left="1340" w:header="0" w:footer="1055" w:gutter="0"/>
          <w:cols w:space="720"/>
        </w:sectPr>
      </w:pPr>
      <w:r>
        <w:rPr>
          <w:sz w:val="2"/>
        </w:rPr>
      </w:r>
    </w:p>
    <w:p>
      <w:pPr>
        <w:keepNext/>
        <w:spacing w:before="0" w:after="40"/>
        <w:jc w:val="center"/>
      </w:pPr>
      <w:r>
        <w:drawing>
          <wp:inline xmlns:a="http://schemas.openxmlformats.org/drawingml/2006/main" xmlns:pic="http://schemas.openxmlformats.org/drawingml/2006/picture">
            <wp:extent cx="6438116" cy="5471999"/>
            <wp:docPr id="63" name="Picture 63"/>
            <wp:cNvGraphicFramePr>
              <a:graphicFrameLocks noChangeAspect="1"/>
            </wp:cNvGraphicFramePr>
            <a:graphic>
              <a:graphicData uri="http://schemas.openxmlformats.org/drawingml/2006/picture">
                <pic:pic>
                  <pic:nvPicPr>
                    <pic:cNvPr id="0" name="sequence_reentrainement.png"/>
                    <pic:cNvPicPr/>
                  </pic:nvPicPr>
                  <pic:blipFill>
                    <a:blip r:embed="rId37"/>
                    <a:stretch>
                      <a:fillRect/>
                    </a:stretch>
                  </pic:blipFill>
                  <pic:spPr>
                    <a:xfrm>
                      <a:off x="0" y="0"/>
                      <a:ext cx="6438116" cy="5471999"/>
                    </a:xfrm>
                    <a:prstGeom prst="rect"/>
                  </pic:spPr>
                </pic:pic>
              </a:graphicData>
            </a:graphic>
          </wp:inline>
        </w:drawing>
      </w:r>
    </w:p>
    <w:p>
      <w:pPr>
        <w:pStyle w:val="Légendefigure"/>
        <w:spacing w:before="40" w:after="240"/>
        <w:jc w:val="center"/>
      </w:pPr>
      <w:r>
        <w:rPr>
          <w:i/>
          <w:sz w:val="20"/>
        </w:rPr>
        <w:t>Figure III.22 — Diagramme de séquence du réentraînement.</w:t>
      </w:r>
    </w:p>
    <w:p>
      <w:pPr>
        <w:spacing w:before="0" w:after="0" w:line="20" w:lineRule="exact"/>
        <w:sectPr w:rsidR="00852587">
          <w:pgSz w:w="16840" w:h="11910" w:orient="landscape"/>
          <w:pgMar w:top="1000" w:right="1000" w:bottom="900" w:left="1000" w:header="0" w:footer="1055" w:gutter="0"/>
          <w:cols w:space="720"/>
        </w:sectPr>
      </w:pPr>
      <w:r>
        <w:rPr>
          <w:sz w:val="2"/>
        </w:rPr>
      </w:r>
    </w:p>
    <w:p>
      <w:pPr>
        <w:pStyle w:val="Titre4"/>
        <w:keepNext/>
        <w:numPr>
          <w:numId w:val="0"/>
        </w:numPr>
        <w:spacing w:before="200" w:after="120"/>
        <w:ind w:left="0" w:firstLine="0"/>
        <w:jc w:val="left"/>
      </w:pPr>
      <w:r>
        <w:rPr>
          <w:b/>
          <w:i/>
          <w:color w:val="000000"/>
          <w:sz w:val="25"/>
        </w:rPr>
        <w:t>3.6 Moteur de détection</w:t>
      </w:r>
    </w:p>
    <w:p>
      <w:pPr>
        <w:spacing w:before="0" w:after="120" w:line="360" w:lineRule="auto"/>
        <w:jc w:val="both"/>
      </w:pPr>
      <w:r>
        <w:rPr>
          <w:sz w:val="24"/>
        </w:rPr>
        <w:t xml:space="preserve">Le moteur de détection assemble les composants décrits au chapitre II dans un ordre précis, sous le même service de notation : lois physiques et variables, modèle hybride (XGBoost, LSTM avec attention, autoencodeur, méta-apprenant), classifieur de typologie restreint au canal, analyse du message, </w:t>
      </w:r>
      <w:r>
        <w:rPr>
          <w:b/>
          <w:sz w:val="24"/>
        </w:rPr>
        <w:t>décision selon la politique de coût</w:t>
      </w:r>
      <w:r>
        <w:rPr>
          <w:sz w:val="24"/>
        </w:rPr>
        <w:t xml:space="preserve">, puis règles métier qui ne peuvent que renforcer l'action. Chaque réponse contient la probabilité, le niveau de risque, l'action, le type probable, les motifs, la version de la politique appliquée, les contributions SHAP, la part de chaque composante et les poids d'attention. Deux éléments sont </w:t>
      </w:r>
      <w:r>
        <w:rPr>
          <w:b/>
          <w:sz w:val="24"/>
        </w:rPr>
        <w:t>rechargés à chaud</w:t>
      </w:r>
      <w:r>
        <w:rPr>
          <w:sz w:val="24"/>
        </w:rPr>
        <w:t xml:space="preserve"> sans interrompre le service : le modèle, quand un réentraînement promeut un nouveau champion (après un contrôle de cohérence ; en cas d'échec, l'ancien modèle est conservé et une alerte est levée), et la politique de coût, dans les dix secondes qui suivent son application par un superviseur.</w:t>
      </w:r>
    </w:p>
    <w:p>
      <w:pPr>
        <w:pStyle w:val="Titre4"/>
        <w:keepNext/>
        <w:numPr>
          <w:numId w:val="0"/>
        </w:numPr>
        <w:spacing w:before="200" w:after="120"/>
        <w:ind w:left="0" w:firstLine="0"/>
        <w:jc w:val="left"/>
      </w:pPr>
      <w:r>
        <w:rPr>
          <w:b/>
          <w:i/>
          <w:color w:val="000000"/>
          <w:sz w:val="25"/>
        </w:rPr>
        <w:t>3.7 Interfaces de programmation</w:t>
      </w:r>
    </w:p>
    <w:p>
      <w:pPr>
        <w:spacing w:before="0" w:after="120" w:line="360" w:lineRule="auto"/>
        <w:jc w:val="both"/>
      </w:pPr>
      <w:r>
        <w:rPr>
          <w:sz w:val="24"/>
        </w:rPr>
        <w:t>L'API partenaires ouvre le système aux opérateurs, aux banques et au régulateur. Elle est versionnée (</w:t>
      </w:r>
      <w:r>
        <w:rPr>
          <w:rFonts w:ascii="Courier New" w:hAnsi="Courier New"/>
          <w:b w:val="0"/>
          <w:sz w:val="20"/>
        </w:rPr>
        <w:t>/v1</w:t>
      </w:r>
      <w:r>
        <w:rPr>
          <w:sz w:val="24"/>
        </w:rPr>
        <w:t>) et documentée au format OpenAPI (tableau III.37).</w:t>
      </w:r>
    </w:p>
    <w:p>
      <w:pPr>
        <w:pStyle w:val="Légendetableau"/>
        <w:keepNext/>
        <w:spacing w:before="200" w:after="80"/>
        <w:jc w:val="center"/>
      </w:pPr>
      <w:r>
        <w:rPr>
          <w:b/>
          <w:sz w:val="20"/>
        </w:rPr>
        <w:t>Tableau III.37 — Routes de l'API partenaires.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3523"/>
        <w:gridCol w:w="1397"/>
        <w:gridCol w:w="4469"/>
      </w:tblGrid>
      <w:tr>
        <w:trPr>
          <w:tblHeader w:val="true"/>
        </w:trPr>
        <w:tc>
          <w:tcPr>
            <w:tcW w:type="dxa" w:w="3523"/>
            <w:shd w:val="clear" w:color="auto" w:fill="D9E2F3"/>
          </w:tcPr>
          <w:p>
            <w:pPr>
              <w:spacing w:after="20" w:before="20" w:line="240" w:lineRule="auto"/>
              <w:jc w:val="left"/>
            </w:pPr>
            <w:r/>
            <w:r>
              <w:rPr>
                <w:b/>
                <w:sz w:val="20"/>
              </w:rPr>
              <w:t>Route</w:t>
            </w:r>
          </w:p>
        </w:tc>
        <w:tc>
          <w:tcPr>
            <w:tcW w:type="dxa" w:w="1397"/>
            <w:shd w:val="clear" w:color="auto" w:fill="D9E2F3"/>
          </w:tcPr>
          <w:p>
            <w:pPr>
              <w:spacing w:after="20" w:before="20" w:line="240" w:lineRule="auto"/>
              <w:jc w:val="left"/>
            </w:pPr>
            <w:r/>
            <w:r>
              <w:rPr>
                <w:b/>
                <w:sz w:val="20"/>
              </w:rPr>
              <w:t>Droit requis</w:t>
            </w:r>
          </w:p>
        </w:tc>
        <w:tc>
          <w:tcPr>
            <w:tcW w:type="dxa" w:w="4469"/>
            <w:shd w:val="clear" w:color="auto" w:fill="D9E2F3"/>
          </w:tcPr>
          <w:p>
            <w:pPr>
              <w:spacing w:after="20" w:before="20" w:line="240" w:lineRule="auto"/>
              <w:jc w:val="left"/>
            </w:pPr>
            <w:r/>
            <w:r>
              <w:rPr>
                <w:b/>
                <w:sz w:val="20"/>
              </w:rPr>
              <w:t>Rôle</w:t>
            </w:r>
          </w:p>
        </w:tc>
      </w:tr>
      <w:tr>
        <w:trPr>
          <w:cantSplit w:val="true"/>
        </w:trPr>
        <w:tc>
          <w:tcPr>
            <w:tcW w:type="dxa" w:w="3523"/>
          </w:tcPr>
          <w:p>
            <w:pPr>
              <w:spacing w:after="20" w:before="20" w:line="240" w:lineRule="auto"/>
              <w:jc w:val="left"/>
            </w:pPr>
            <w:r/>
            <w:r>
              <w:rPr>
                <w:rFonts w:ascii="Courier New" w:hAnsi="Courier New"/>
                <w:b w:val="0"/>
                <w:sz w:val="16"/>
              </w:rPr>
              <w:t>POST /v1/transactions</w:t>
            </w:r>
          </w:p>
        </w:tc>
        <w:tc>
          <w:tcPr>
            <w:tcW w:type="dxa" w:w="1397"/>
          </w:tcPr>
          <w:p>
            <w:pPr>
              <w:spacing w:after="20" w:before="20" w:line="240" w:lineRule="auto"/>
              <w:jc w:val="left"/>
            </w:pPr>
            <w:r/>
            <w:r>
              <w:rPr>
                <w:sz w:val="20"/>
              </w:rPr>
              <w:t>transactions</w:t>
            </w:r>
          </w:p>
        </w:tc>
        <w:tc>
          <w:tcPr>
            <w:tcW w:type="dxa" w:w="4469"/>
          </w:tcPr>
          <w:p>
            <w:pPr>
              <w:spacing w:after="20" w:before="20" w:line="240" w:lineRule="auto"/>
              <w:jc w:val="left"/>
            </w:pPr>
            <w:r/>
            <w:r>
              <w:rPr>
                <w:sz w:val="20"/>
              </w:rPr>
              <w:t>notation au format commun</w:t>
            </w:r>
          </w:p>
        </w:tc>
      </w:tr>
      <w:tr>
        <w:trPr>
          <w:cantSplit w:val="true"/>
        </w:trPr>
        <w:tc>
          <w:tcPr>
            <w:tcW w:type="dxa" w:w="3523"/>
          </w:tcPr>
          <w:p>
            <w:pPr>
              <w:spacing w:after="20" w:before="20" w:line="240" w:lineRule="auto"/>
              <w:jc w:val="left"/>
            </w:pPr>
            <w:r/>
            <w:r>
              <w:rPr>
                <w:rFonts w:ascii="Courier New" w:hAnsi="Courier New"/>
                <w:b w:val="0"/>
                <w:sz w:val="16"/>
              </w:rPr>
              <w:t>POST /v1/transactions/{format}</w:t>
            </w:r>
          </w:p>
        </w:tc>
        <w:tc>
          <w:tcPr>
            <w:tcW w:type="dxa" w:w="1397"/>
          </w:tcPr>
          <w:p>
            <w:pPr>
              <w:spacing w:after="20" w:before="20" w:line="240" w:lineRule="auto"/>
              <w:jc w:val="left"/>
            </w:pPr>
            <w:r/>
            <w:r>
              <w:rPr>
                <w:sz w:val="20"/>
              </w:rPr>
              <w:t>transactions</w:t>
            </w:r>
          </w:p>
        </w:tc>
        <w:tc>
          <w:tcPr>
            <w:tcW w:type="dxa" w:w="4469"/>
          </w:tcPr>
          <w:p>
            <w:pPr>
              <w:spacing w:after="20" w:before="20" w:line="240" w:lineRule="auto"/>
              <w:jc w:val="left"/>
            </w:pPr>
            <w:r/>
            <w:r>
              <w:rPr>
                <w:sz w:val="20"/>
              </w:rPr>
              <w:t>notation au format natif d'un opérateur (Vodacom, Airtel, Orange, Visa)</w:t>
            </w:r>
          </w:p>
        </w:tc>
      </w:tr>
      <w:tr>
        <w:trPr>
          <w:cantSplit w:val="true"/>
        </w:trPr>
        <w:tc>
          <w:tcPr>
            <w:tcW w:type="dxa" w:w="3523"/>
          </w:tcPr>
          <w:p>
            <w:pPr>
              <w:spacing w:after="20" w:before="20" w:line="240" w:lineRule="auto"/>
              <w:jc w:val="left"/>
            </w:pPr>
            <w:r/>
            <w:r>
              <w:rPr>
                <w:rFonts w:ascii="Courier New" w:hAnsi="Courier New"/>
                <w:b w:val="0"/>
                <w:sz w:val="16"/>
              </w:rPr>
              <w:t>GET /v1/transactions/{id}</w:t>
            </w:r>
          </w:p>
        </w:tc>
        <w:tc>
          <w:tcPr>
            <w:tcW w:type="dxa" w:w="1397"/>
          </w:tcPr>
          <w:p>
            <w:pPr>
              <w:spacing w:after="20" w:before="20" w:line="240" w:lineRule="auto"/>
              <w:jc w:val="left"/>
            </w:pPr>
            <w:r/>
            <w:r>
              <w:rPr>
                <w:sz w:val="20"/>
              </w:rPr>
              <w:t>transactions</w:t>
            </w:r>
          </w:p>
        </w:tc>
        <w:tc>
          <w:tcPr>
            <w:tcW w:type="dxa" w:w="4469"/>
          </w:tcPr>
          <w:p>
            <w:pPr>
              <w:spacing w:after="20" w:before="20" w:line="240" w:lineRule="auto"/>
              <w:jc w:val="left"/>
            </w:pPr>
            <w:r/>
            <w:r>
              <w:rPr>
                <w:sz w:val="20"/>
              </w:rPr>
              <w:t>décision, dossier et étiquette d'une opération de l'institution</w:t>
            </w:r>
          </w:p>
        </w:tc>
      </w:tr>
      <w:tr>
        <w:trPr>
          <w:cantSplit w:val="true"/>
        </w:trPr>
        <w:tc>
          <w:tcPr>
            <w:tcW w:type="dxa" w:w="3523"/>
          </w:tcPr>
          <w:p>
            <w:pPr>
              <w:spacing w:after="20" w:before="20" w:line="240" w:lineRule="auto"/>
              <w:jc w:val="left"/>
            </w:pPr>
            <w:r/>
            <w:r>
              <w:rPr>
                <w:rFonts w:ascii="Courier New" w:hAnsi="Courier New"/>
                <w:b w:val="0"/>
                <w:sz w:val="16"/>
              </w:rPr>
              <w:t>POST /v1/feedback</w:t>
            </w:r>
          </w:p>
        </w:tc>
        <w:tc>
          <w:tcPr>
            <w:tcW w:type="dxa" w:w="1397"/>
          </w:tcPr>
          <w:p>
            <w:pPr>
              <w:spacing w:after="20" w:before="20" w:line="240" w:lineRule="auto"/>
              <w:jc w:val="left"/>
            </w:pPr>
            <w:r/>
            <w:r>
              <w:rPr>
                <w:sz w:val="20"/>
              </w:rPr>
              <w:t>feedback</w:t>
            </w:r>
          </w:p>
        </w:tc>
        <w:tc>
          <w:tcPr>
            <w:tcW w:type="dxa" w:w="4469"/>
          </w:tcPr>
          <w:p>
            <w:pPr>
              <w:spacing w:after="20" w:before="20" w:line="240" w:lineRule="auto"/>
              <w:jc w:val="left"/>
            </w:pPr>
            <w:r/>
            <w:r>
              <w:rPr>
                <w:sz w:val="20"/>
              </w:rPr>
              <w:t>fraude constatée ou fausse alerte, devenant une étiquette</w:t>
            </w:r>
          </w:p>
        </w:tc>
      </w:tr>
      <w:tr>
        <w:trPr>
          <w:cantSplit w:val="true"/>
        </w:trPr>
        <w:tc>
          <w:tcPr>
            <w:tcW w:type="dxa" w:w="3523"/>
          </w:tcPr>
          <w:p>
            <w:pPr>
              <w:spacing w:after="20" w:before="20" w:line="240" w:lineRule="auto"/>
              <w:jc w:val="left"/>
            </w:pPr>
            <w:r/>
            <w:r>
              <w:rPr>
                <w:rFonts w:ascii="Courier New" w:hAnsi="Courier New"/>
                <w:b w:val="0"/>
                <w:sz w:val="16"/>
              </w:rPr>
              <w:t>GET /v1/stats</w:t>
            </w:r>
          </w:p>
        </w:tc>
        <w:tc>
          <w:tcPr>
            <w:tcW w:type="dxa" w:w="1397"/>
          </w:tcPr>
          <w:p>
            <w:pPr>
              <w:spacing w:after="20" w:before="20" w:line="240" w:lineRule="auto"/>
              <w:jc w:val="left"/>
            </w:pPr>
            <w:r/>
            <w:r>
              <w:rPr>
                <w:sz w:val="20"/>
              </w:rPr>
              <w:t>transactions</w:t>
            </w:r>
          </w:p>
        </w:tc>
        <w:tc>
          <w:tcPr>
            <w:tcW w:type="dxa" w:w="4469"/>
          </w:tcPr>
          <w:p>
            <w:pPr>
              <w:spacing w:after="20" w:before="20" w:line="240" w:lineRule="auto"/>
              <w:jc w:val="left"/>
            </w:pPr>
            <w:r/>
            <w:r>
              <w:rPr>
                <w:sz w:val="20"/>
              </w:rPr>
              <w:t>statistiques de l'institution</w:t>
            </w:r>
          </w:p>
        </w:tc>
      </w:tr>
      <w:tr>
        <w:trPr>
          <w:cantSplit w:val="true"/>
        </w:trPr>
        <w:tc>
          <w:tcPr>
            <w:tcW w:type="dxa" w:w="3523"/>
          </w:tcPr>
          <w:p>
            <w:pPr>
              <w:spacing w:after="20" w:before="20" w:line="240" w:lineRule="auto"/>
              <w:jc w:val="left"/>
            </w:pPr>
            <w:r/>
            <w:r>
              <w:rPr>
                <w:rFonts w:ascii="Courier New" w:hAnsi="Courier New"/>
                <w:b w:val="0"/>
                <w:sz w:val="16"/>
              </w:rPr>
              <w:t>GET /v1/supervision/summary</w:t>
            </w:r>
            <w:r>
              <w:rPr>
                <w:sz w:val="20"/>
              </w:rPr>
              <w:t xml:space="preserve">, </w:t>
            </w:r>
            <w:r>
              <w:rPr>
                <w:rFonts w:ascii="Courier New" w:hAnsi="Courier New"/>
                <w:b w:val="0"/>
                <w:sz w:val="16"/>
              </w:rPr>
              <w:t>/daily</w:t>
            </w:r>
          </w:p>
        </w:tc>
        <w:tc>
          <w:tcPr>
            <w:tcW w:type="dxa" w:w="1397"/>
          </w:tcPr>
          <w:p>
            <w:pPr>
              <w:spacing w:after="20" w:before="20" w:line="240" w:lineRule="auto"/>
              <w:jc w:val="left"/>
            </w:pPr>
            <w:r/>
            <w:r>
              <w:rPr>
                <w:sz w:val="20"/>
              </w:rPr>
              <w:t>supervision</w:t>
            </w:r>
          </w:p>
        </w:tc>
        <w:tc>
          <w:tcPr>
            <w:tcW w:type="dxa" w:w="4469"/>
          </w:tcPr>
          <w:p>
            <w:pPr>
              <w:spacing w:after="20" w:before="20" w:line="240" w:lineRule="auto"/>
              <w:jc w:val="left"/>
            </w:pPr>
            <w:r/>
            <w:r>
              <w:rPr>
                <w:sz w:val="20"/>
              </w:rPr>
              <w:t>agrégats de toutes les institutions, sans donnée personnelle</w:t>
            </w:r>
          </w:p>
        </w:tc>
      </w:tr>
    </w:tbl>
    <w:p>
      <w:pPr>
        <w:spacing w:after="120"/>
      </w:pPr>
    </w:p>
    <w:p>
      <w:pPr>
        <w:spacing w:before="0" w:after="120" w:line="360" w:lineRule="auto"/>
        <w:jc w:val="both"/>
      </w:pPr>
      <w:r>
        <w:rPr>
          <w:sz w:val="24"/>
        </w:rPr>
        <w:t>Les choix de conception sont les suivants. Le *</w:t>
      </w:r>
      <w:r>
        <w:rPr>
          <w:i/>
          <w:sz w:val="24"/>
        </w:rPr>
        <w:t xml:space="preserve">patron </w:t>
      </w:r>
      <w:r>
        <w:rPr>
          <w:sz w:val="24"/>
        </w:rPr>
        <w:t>Adapter*</w:t>
      </w:r>
      <w:r>
        <w:rPr>
          <w:b/>
          <w:sz w:val="24"/>
        </w:rPr>
        <w:t xml:space="preserve"> convertit chaque format d'opérateur vers </w:t>
      </w:r>
      <w:r>
        <w:rPr>
          <w:rFonts w:ascii="Courier New" w:hAnsi="Courier New"/>
          <w:b/>
          <w:sz w:val="20"/>
        </w:rPr>
        <w:t>UnifiedTransaction</w:t>
      </w:r>
      <w:r>
        <w:rPr>
          <w:b/>
          <w:sz w:val="24"/>
        </w:rPr>
        <w:t xml:space="preserve"> : ajouter un opérateur revient à écrire un adaptateur, sans toucher au moteur. Une </w:t>
      </w:r>
      <w:r>
        <w:rPr>
          <w:sz w:val="24"/>
        </w:rPr>
        <w:t>clé de 256 bits par institution</w:t>
      </w:r>
      <w:r>
        <w:rPr>
          <w:b/>
          <w:sz w:val="24"/>
        </w:rPr>
        <w:t xml:space="preserve"> n'est conservée que sous forme d'empreinte SHA-256 et n'est affichée qu'une fois. Les </w:t>
      </w:r>
      <w:r>
        <w:rPr>
          <w:sz w:val="24"/>
        </w:rPr>
        <w:t>droits</w:t>
      </w:r>
      <w:r>
        <w:rPr>
          <w:b/>
          <w:sz w:val="24"/>
        </w:rPr>
        <w:t xml:space="preserve"> sont portés par institution : un régulateur ne soumet pas d'opérations, une banque ne supervise pas le secteur. L'</w:t>
      </w:r>
      <w:r>
        <w:rPr>
          <w:sz w:val="24"/>
        </w:rPr>
        <w:t>isolement des données</w:t>
      </w:r>
      <w:r>
        <w:rPr>
          <w:b/>
          <w:sz w:val="24"/>
        </w:rPr>
        <w:t xml:space="preserve"> est assuré par le code de l'institution, fixé par le serveur d'après la clé, et par une réponse 404 identique pour l'opération d'une autre institution et pour une opération inexistante. Un </w:t>
      </w:r>
      <w:r>
        <w:rPr>
          <w:sz w:val="24"/>
        </w:rPr>
        <w:t>quota** par institution (seau à jetons, réglable) protège le service, en plus de la limitation par adresse de Nginx.</w:t>
      </w:r>
    </w:p>
    <w:p>
      <w:pPr>
        <w:spacing w:before="0" w:after="120" w:line="360" w:lineRule="auto"/>
        <w:jc w:val="both"/>
      </w:pPr>
      <w:r>
        <w:rPr>
          <w:sz w:val="24"/>
        </w:rPr>
        <w:t>Le back-office expose en outre les routes nécessaires aux écrans, dont les plus récentes sont présentées au tableau III.38.</w:t>
      </w:r>
    </w:p>
    <w:p>
      <w:pPr>
        <w:pStyle w:val="Légendetableau"/>
        <w:keepNext/>
        <w:spacing w:before="200" w:after="80"/>
        <w:jc w:val="center"/>
      </w:pPr>
      <w:r>
        <w:rPr>
          <w:b/>
          <w:sz w:val="20"/>
        </w:rPr>
        <w:t>Tableau III.38 — Routes du back-office pour les fonctions de pilotage.</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4302"/>
        <w:gridCol w:w="5087"/>
      </w:tblGrid>
      <w:tr>
        <w:trPr>
          <w:tblHeader w:val="true"/>
        </w:trPr>
        <w:tc>
          <w:tcPr>
            <w:tcW w:type="dxa" w:w="4302"/>
            <w:shd w:val="clear" w:color="auto" w:fill="D9E2F3"/>
          </w:tcPr>
          <w:p>
            <w:pPr>
              <w:spacing w:after="20" w:before="20" w:line="240" w:lineRule="auto"/>
              <w:jc w:val="left"/>
            </w:pPr>
            <w:r/>
            <w:r>
              <w:rPr>
                <w:b/>
                <w:sz w:val="20"/>
              </w:rPr>
              <w:t>Route</w:t>
            </w:r>
          </w:p>
        </w:tc>
        <w:tc>
          <w:tcPr>
            <w:tcW w:type="dxa" w:w="5087"/>
            <w:shd w:val="clear" w:color="auto" w:fill="D9E2F3"/>
          </w:tcPr>
          <w:p>
            <w:pPr>
              <w:spacing w:after="20" w:before="20" w:line="240" w:lineRule="auto"/>
              <w:jc w:val="left"/>
            </w:pPr>
            <w:r/>
            <w:r>
              <w:rPr>
                <w:b/>
                <w:sz w:val="20"/>
              </w:rPr>
              <w:t>Rôle</w:t>
            </w:r>
          </w:p>
        </w:tc>
      </w:tr>
      <w:tr>
        <w:trPr>
          <w:cantSplit w:val="true"/>
        </w:trPr>
        <w:tc>
          <w:tcPr>
            <w:tcW w:type="dxa" w:w="4302"/>
          </w:tcPr>
          <w:p>
            <w:pPr>
              <w:spacing w:after="20" w:before="20" w:line="240" w:lineRule="auto"/>
              <w:jc w:val="left"/>
            </w:pPr>
            <w:r/>
            <w:r>
              <w:rPr>
                <w:rFonts w:ascii="Courier New" w:hAnsi="Courier New"/>
                <w:b w:val="0"/>
                <w:sz w:val="16"/>
              </w:rPr>
              <w:t>GET /network/overview</w:t>
            </w:r>
            <w:r>
              <w:rPr>
                <w:sz w:val="20"/>
              </w:rPr>
              <w:t xml:space="preserve">, </w:t>
            </w:r>
            <w:r>
              <w:rPr>
                <w:rFonts w:ascii="Courier New" w:hAnsi="Courier New"/>
                <w:b w:val="0"/>
                <w:sz w:val="16"/>
              </w:rPr>
              <w:t>GET /network/ego</w:t>
            </w:r>
          </w:p>
        </w:tc>
        <w:tc>
          <w:tcPr>
            <w:tcW w:type="dxa" w:w="5087"/>
          </w:tcPr>
          <w:p>
            <w:pPr>
              <w:spacing w:after="20" w:before="20" w:line="240" w:lineRule="auto"/>
              <w:jc w:val="left"/>
            </w:pPr>
            <w:r/>
            <w:r>
              <w:rPr>
                <w:sz w:val="20"/>
              </w:rPr>
              <w:t>réseaux de fraude et voisinage d'un compte, d'un portefeuille, d'un appareil, d'un agent ou d'un marchand</w:t>
            </w:r>
          </w:p>
        </w:tc>
      </w:tr>
      <w:tr>
        <w:trPr>
          <w:cantSplit w:val="true"/>
        </w:trPr>
        <w:tc>
          <w:tcPr>
            <w:tcW w:type="dxa" w:w="4302"/>
          </w:tcPr>
          <w:p>
            <w:pPr>
              <w:spacing w:after="20" w:before="20" w:line="240" w:lineRule="auto"/>
              <w:jc w:val="left"/>
            </w:pPr>
            <w:r/>
            <w:r>
              <w:rPr>
                <w:rFonts w:ascii="Courier New" w:hAnsi="Courier New"/>
                <w:b w:val="0"/>
                <w:sz w:val="16"/>
              </w:rPr>
              <w:t>GET /feedback/queue</w:t>
            </w:r>
            <w:r>
              <w:rPr>
                <w:sz w:val="20"/>
              </w:rPr>
              <w:t xml:space="preserve">, </w:t>
            </w:r>
            <w:r>
              <w:rPr>
                <w:rFonts w:ascii="Courier New" w:hAnsi="Courier New"/>
                <w:b w:val="0"/>
                <w:sz w:val="16"/>
              </w:rPr>
              <w:t>GET /feedback/quality</w:t>
            </w:r>
          </w:p>
        </w:tc>
        <w:tc>
          <w:tcPr>
            <w:tcW w:type="dxa" w:w="5087"/>
          </w:tcPr>
          <w:p>
            <w:pPr>
              <w:spacing w:after="20" w:before="20" w:line="240" w:lineRule="auto"/>
              <w:jc w:val="left"/>
            </w:pPr>
            <w:r/>
            <w:r>
              <w:rPr>
                <w:sz w:val="20"/>
              </w:rPr>
              <w:t>file de revue (incertitude, nouveauté, réseau, témoin) ; précision réelle, fraudes manquées estimées, calibration</w:t>
            </w:r>
          </w:p>
        </w:tc>
      </w:tr>
      <w:tr>
        <w:trPr>
          <w:cantSplit w:val="true"/>
        </w:trPr>
        <w:tc>
          <w:tcPr>
            <w:tcW w:type="dxa" w:w="4302"/>
          </w:tcPr>
          <w:p>
            <w:pPr>
              <w:spacing w:after="20" w:before="20" w:line="240" w:lineRule="auto"/>
              <w:jc w:val="left"/>
            </w:pPr>
            <w:r/>
            <w:r>
              <w:rPr>
                <w:rFonts w:ascii="Courier New" w:hAnsi="Courier New"/>
                <w:b w:val="0"/>
                <w:sz w:val="16"/>
              </w:rPr>
              <w:t>GET /policy</w:t>
            </w:r>
            <w:r>
              <w:rPr>
                <w:sz w:val="20"/>
              </w:rPr>
              <w:t xml:space="preserve">, </w:t>
            </w:r>
            <w:r>
              <w:rPr>
                <w:rFonts w:ascii="Courier New" w:hAnsi="Courier New"/>
                <w:b w:val="0"/>
                <w:sz w:val="16"/>
              </w:rPr>
              <w:t>POST /policy/simulate</w:t>
            </w:r>
            <w:r>
              <w:rPr>
                <w:sz w:val="20"/>
              </w:rPr>
              <w:t xml:space="preserve">, </w:t>
            </w:r>
            <w:r>
              <w:rPr>
                <w:rFonts w:ascii="Courier New" w:hAnsi="Courier New"/>
                <w:b w:val="0"/>
                <w:sz w:val="16"/>
              </w:rPr>
              <w:t>PUT /policy</w:t>
            </w:r>
          </w:p>
        </w:tc>
        <w:tc>
          <w:tcPr>
            <w:tcW w:type="dxa" w:w="5087"/>
          </w:tcPr>
          <w:p>
            <w:pPr>
              <w:spacing w:after="20" w:before="20" w:line="240" w:lineRule="auto"/>
              <w:jc w:val="left"/>
            </w:pPr>
            <w:r/>
            <w:r>
              <w:rPr>
                <w:sz w:val="20"/>
              </w:rPr>
              <w:t>politique de coût active, simulation d'une politique candidate, application d'une nouvelle version</w:t>
            </w:r>
          </w:p>
        </w:tc>
      </w:tr>
      <w:tr>
        <w:trPr>
          <w:cantSplit w:val="true"/>
        </w:trPr>
        <w:tc>
          <w:tcPr>
            <w:tcW w:type="dxa" w:w="4302"/>
          </w:tcPr>
          <w:p>
            <w:pPr>
              <w:spacing w:after="20" w:before="20" w:line="240" w:lineRule="auto"/>
              <w:jc w:val="left"/>
            </w:pPr>
            <w:r/>
            <w:r>
              <w:rPr>
                <w:rFonts w:ascii="Courier New" w:hAnsi="Courier New"/>
                <w:b w:val="0"/>
                <w:sz w:val="16"/>
              </w:rPr>
              <w:t>GET /fairness/live</w:t>
            </w:r>
            <w:r>
              <w:rPr>
                <w:sz w:val="20"/>
              </w:rPr>
              <w:t xml:space="preserve">, </w:t>
            </w:r>
            <w:r>
              <w:rPr>
                <w:rFonts w:ascii="Courier New" w:hAnsi="Courier New"/>
                <w:b w:val="0"/>
                <w:sz w:val="16"/>
              </w:rPr>
              <w:t>GET /fairness/evaluation</w:t>
            </w:r>
          </w:p>
        </w:tc>
        <w:tc>
          <w:tcPr>
            <w:tcW w:type="dxa" w:w="5087"/>
          </w:tcPr>
          <w:p>
            <w:pPr>
              <w:spacing w:after="20" w:before="20" w:line="240" w:lineRule="auto"/>
              <w:jc w:val="left"/>
            </w:pPr>
            <w:r/>
            <w:r>
              <w:rPr>
                <w:sz w:val="20"/>
              </w:rPr>
              <w:t>taux d'alerte par groupe en production, évaluation avec la vérité complète</w:t>
            </w:r>
          </w:p>
        </w:tc>
      </w:tr>
      <w:tr>
        <w:trPr>
          <w:cantSplit w:val="true"/>
        </w:trPr>
        <w:tc>
          <w:tcPr>
            <w:tcW w:type="dxa" w:w="4302"/>
          </w:tcPr>
          <w:p>
            <w:pPr>
              <w:spacing w:after="20" w:before="20" w:line="240" w:lineRule="auto"/>
              <w:jc w:val="left"/>
            </w:pPr>
            <w:r/>
            <w:r>
              <w:rPr>
                <w:rFonts w:ascii="Courier New" w:hAnsi="Courier New"/>
                <w:b w:val="0"/>
                <w:sz w:val="16"/>
              </w:rPr>
              <w:t>POST /auth/2fa/setup</w:t>
            </w:r>
            <w:r>
              <w:rPr>
                <w:sz w:val="20"/>
              </w:rPr>
              <w:t xml:space="preserve">, </w:t>
            </w:r>
            <w:r>
              <w:rPr>
                <w:rFonts w:ascii="Courier New" w:hAnsi="Courier New"/>
                <w:b w:val="0"/>
                <w:sz w:val="16"/>
              </w:rPr>
              <w:t>/auth/2fa/enable</w:t>
            </w:r>
            <w:r>
              <w:rPr>
                <w:sz w:val="20"/>
              </w:rPr>
              <w:t xml:space="preserve">, </w:t>
            </w:r>
            <w:r>
              <w:rPr>
                <w:rFonts w:ascii="Courier New" w:hAnsi="Courier New"/>
                <w:b w:val="0"/>
                <w:sz w:val="16"/>
              </w:rPr>
              <w:t>/auth/2fa/disable</w:t>
            </w:r>
          </w:p>
        </w:tc>
        <w:tc>
          <w:tcPr>
            <w:tcW w:type="dxa" w:w="5087"/>
          </w:tcPr>
          <w:p>
            <w:pPr>
              <w:spacing w:after="20" w:before="20" w:line="240" w:lineRule="auto"/>
              <w:jc w:val="left"/>
            </w:pPr>
            <w:r/>
            <w:r>
              <w:rPr>
                <w:sz w:val="20"/>
              </w:rPr>
              <w:t>double authentification</w:t>
            </w:r>
          </w:p>
        </w:tc>
      </w:tr>
      <w:tr>
        <w:trPr>
          <w:cantSplit w:val="true"/>
        </w:trPr>
        <w:tc>
          <w:tcPr>
            <w:tcW w:type="dxa" w:w="4302"/>
          </w:tcPr>
          <w:p>
            <w:pPr>
              <w:spacing w:after="20" w:before="20" w:line="240" w:lineRule="auto"/>
              <w:jc w:val="left"/>
            </w:pPr>
            <w:r/>
            <w:r>
              <w:rPr>
                <w:rFonts w:ascii="Courier New" w:hAnsi="Courier New"/>
                <w:b w:val="0"/>
                <w:sz w:val="16"/>
              </w:rPr>
              <w:t>GET /cases/unblock-requests</w:t>
            </w:r>
            <w:r>
              <w:rPr>
                <w:sz w:val="20"/>
              </w:rPr>
              <w:t xml:space="preserve">, </w:t>
            </w:r>
            <w:r>
              <w:rPr>
                <w:rFonts w:ascii="Courier New" w:hAnsi="Courier New"/>
                <w:b w:val="0"/>
                <w:sz w:val="16"/>
              </w:rPr>
              <w:t>POST /cases/unblock-requests/{id}/decision</w:t>
            </w:r>
          </w:p>
        </w:tc>
        <w:tc>
          <w:tcPr>
            <w:tcW w:type="dxa" w:w="5087"/>
          </w:tcPr>
          <w:p>
            <w:pPr>
              <w:spacing w:after="20" w:before="20" w:line="240" w:lineRule="auto"/>
              <w:jc w:val="left"/>
            </w:pPr>
            <w:r/>
            <w:r>
              <w:rPr>
                <w:sz w:val="20"/>
              </w:rPr>
              <w:t>validation à quatre yeux des déblocages</w:t>
            </w:r>
          </w:p>
        </w:tc>
      </w:tr>
    </w:tbl>
    <w:p>
      <w:pPr>
        <w:spacing w:after="120"/>
      </w:pPr>
    </w:p>
    <w:p>
      <w:pPr>
        <w:pStyle w:val="Titre4"/>
        <w:keepNext/>
        <w:numPr>
          <w:numId w:val="0"/>
        </w:numPr>
        <w:spacing w:before="200" w:after="120"/>
        <w:ind w:left="0" w:firstLine="0"/>
        <w:jc w:val="left"/>
      </w:pPr>
      <w:r>
        <w:rPr>
          <w:b/>
          <w:i/>
          <w:color w:val="000000"/>
          <w:sz w:val="25"/>
        </w:rPr>
        <w:t>3.8 Apprentissage continu</w:t>
      </w:r>
    </w:p>
    <w:p>
      <w:pPr>
        <w:spacing w:before="0" w:after="120" w:line="360" w:lineRule="auto"/>
        <w:jc w:val="both"/>
      </w:pPr>
      <w:r>
        <w:rPr>
          <w:sz w:val="24"/>
        </w:rPr>
        <w:t>Quatre signaux déclenchent le réentraînement (tableau III.39).</w:t>
      </w:r>
    </w:p>
    <w:p>
      <w:pPr>
        <w:pStyle w:val="Légendetableau"/>
        <w:keepNext/>
        <w:spacing w:before="200" w:after="80"/>
        <w:jc w:val="center"/>
      </w:pPr>
      <w:r>
        <w:rPr>
          <w:b/>
          <w:sz w:val="20"/>
        </w:rPr>
        <w:t>Tableau III.39 — Signaux de réentraînement.</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1799"/>
        <w:gridCol w:w="5331"/>
        <w:gridCol w:w="2259"/>
      </w:tblGrid>
      <w:tr>
        <w:trPr>
          <w:tblHeader w:val="true"/>
        </w:trPr>
        <w:tc>
          <w:tcPr>
            <w:tcW w:type="dxa" w:w="1799"/>
            <w:shd w:val="clear" w:color="auto" w:fill="D9E2F3"/>
          </w:tcPr>
          <w:p>
            <w:pPr>
              <w:spacing w:after="20" w:before="20" w:line="240" w:lineRule="auto"/>
              <w:jc w:val="left"/>
            </w:pPr>
            <w:r/>
            <w:r>
              <w:rPr>
                <w:b/>
                <w:sz w:val="20"/>
              </w:rPr>
              <w:t>Signal</w:t>
            </w:r>
          </w:p>
        </w:tc>
        <w:tc>
          <w:tcPr>
            <w:tcW w:type="dxa" w:w="5331"/>
            <w:shd w:val="clear" w:color="auto" w:fill="D9E2F3"/>
          </w:tcPr>
          <w:p>
            <w:pPr>
              <w:spacing w:after="20" w:before="20" w:line="240" w:lineRule="auto"/>
              <w:jc w:val="left"/>
            </w:pPr>
            <w:r/>
            <w:r>
              <w:rPr>
                <w:b/>
                <w:sz w:val="20"/>
              </w:rPr>
              <w:t>Mesure</w:t>
            </w:r>
          </w:p>
        </w:tc>
        <w:tc>
          <w:tcPr>
            <w:tcW w:type="dxa" w:w="2259"/>
            <w:shd w:val="clear" w:color="auto" w:fill="D9E2F3"/>
          </w:tcPr>
          <w:p>
            <w:pPr>
              <w:spacing w:after="20" w:before="20" w:line="240" w:lineRule="auto"/>
              <w:jc w:val="left"/>
            </w:pPr>
            <w:r/>
            <w:r>
              <w:rPr>
                <w:b/>
                <w:sz w:val="20"/>
              </w:rPr>
              <w:t>Déclenchement</w:t>
            </w:r>
          </w:p>
        </w:tc>
      </w:tr>
      <w:tr>
        <w:trPr>
          <w:cantSplit w:val="true"/>
        </w:trPr>
        <w:tc>
          <w:tcPr>
            <w:tcW w:type="dxa" w:w="1799"/>
          </w:tcPr>
          <w:p>
            <w:pPr>
              <w:spacing w:after="20" w:before="20" w:line="240" w:lineRule="auto"/>
              <w:jc w:val="left"/>
            </w:pPr>
            <w:r/>
            <w:r>
              <w:rPr>
                <w:sz w:val="20"/>
              </w:rPr>
              <w:t>Nouvelles étiquettes</w:t>
            </w:r>
          </w:p>
        </w:tc>
        <w:tc>
          <w:tcPr>
            <w:tcW w:type="dxa" w:w="5331"/>
          </w:tcPr>
          <w:p>
            <w:pPr>
              <w:spacing w:after="20" w:before="20" w:line="240" w:lineRule="auto"/>
              <w:jc w:val="left"/>
            </w:pPr>
            <w:r/>
            <w:r>
              <w:rPr>
                <w:sz w:val="20"/>
              </w:rPr>
              <w:t>verdicts d'analystes, plaintes, retours des institutions, revues ciblées</w:t>
            </w:r>
          </w:p>
        </w:tc>
        <w:tc>
          <w:tcPr>
            <w:tcW w:type="dxa" w:w="2259"/>
          </w:tcPr>
          <w:p>
            <w:pPr>
              <w:spacing w:after="20" w:before="20" w:line="240" w:lineRule="auto"/>
              <w:jc w:val="left"/>
            </w:pPr>
            <w:r/>
            <w:r>
              <w:rPr>
                <w:sz w:val="20"/>
              </w:rPr>
              <w:t>seuil d'étiquettes nouvelles atteint (500)</w:t>
            </w:r>
          </w:p>
        </w:tc>
      </w:tr>
      <w:tr>
        <w:trPr>
          <w:cantSplit w:val="true"/>
        </w:trPr>
        <w:tc>
          <w:tcPr>
            <w:tcW w:type="dxa" w:w="1799"/>
          </w:tcPr>
          <w:p>
            <w:pPr>
              <w:spacing w:after="20" w:before="20" w:line="240" w:lineRule="auto"/>
              <w:jc w:val="left"/>
            </w:pPr>
            <w:r/>
            <w:r>
              <w:rPr>
                <w:sz w:val="20"/>
              </w:rPr>
              <w:t>Dérive des données</w:t>
            </w:r>
          </w:p>
        </w:tc>
        <w:tc>
          <w:tcPr>
            <w:tcW w:type="dxa" w:w="5331"/>
          </w:tcPr>
          <w:p>
            <w:pPr>
              <w:spacing w:after="20" w:before="20" w:line="240" w:lineRule="auto"/>
              <w:jc w:val="left"/>
            </w:pPr>
            <w:r/>
            <w:r>
              <w:rPr>
                <w:sz w:val="20"/>
              </w:rPr>
              <w:t>test de Kolmogorov-Smirnov et indice PSI par variable, PSI du score</w:t>
            </w:r>
          </w:p>
        </w:tc>
        <w:tc>
          <w:tcPr>
            <w:tcW w:type="dxa" w:w="2259"/>
          </w:tcPr>
          <w:p>
            <w:pPr>
              <w:spacing w:after="20" w:before="20" w:line="240" w:lineRule="auto"/>
              <w:jc w:val="left"/>
            </w:pPr>
            <w:r/>
            <w:r>
              <w:rPr>
                <w:sz w:val="20"/>
              </w:rPr>
              <w:t>PSI au-dessus de 0,2</w:t>
            </w:r>
          </w:p>
        </w:tc>
      </w:tr>
      <w:tr>
        <w:trPr>
          <w:cantSplit w:val="true"/>
        </w:trPr>
        <w:tc>
          <w:tcPr>
            <w:tcW w:type="dxa" w:w="1799"/>
          </w:tcPr>
          <w:p>
            <w:pPr>
              <w:spacing w:after="20" w:before="20" w:line="240" w:lineRule="auto"/>
              <w:jc w:val="left"/>
            </w:pPr>
            <w:r/>
            <w:r>
              <w:rPr>
                <w:sz w:val="20"/>
              </w:rPr>
              <w:t>Comportements nouveaux</w:t>
            </w:r>
          </w:p>
        </w:tc>
        <w:tc>
          <w:tcPr>
            <w:tcW w:type="dxa" w:w="5331"/>
          </w:tcPr>
          <w:p>
            <w:pPr>
              <w:spacing w:after="20" w:before="20" w:line="240" w:lineRule="auto"/>
              <w:jc w:val="left"/>
            </w:pPr>
            <w:r/>
            <w:r>
              <w:rPr>
                <w:sz w:val="20"/>
              </w:rPr>
              <w:t>part des opérations dont l'erreur de reconstruction dépasse le 99ᵉ centile de référence</w:t>
            </w:r>
          </w:p>
        </w:tc>
        <w:tc>
          <w:tcPr>
            <w:tcW w:type="dxa" w:w="2259"/>
          </w:tcPr>
          <w:p>
            <w:pPr>
              <w:spacing w:after="20" w:before="20" w:line="240" w:lineRule="auto"/>
              <w:jc w:val="left"/>
            </w:pPr>
            <w:r/>
            <w:r>
              <w:rPr>
                <w:sz w:val="20"/>
              </w:rPr>
              <w:t>taux supérieur à 4 %</w:t>
            </w:r>
          </w:p>
        </w:tc>
      </w:tr>
      <w:tr>
        <w:trPr>
          <w:cantSplit w:val="true"/>
        </w:trPr>
        <w:tc>
          <w:tcPr>
            <w:tcW w:type="dxa" w:w="1799"/>
          </w:tcPr>
          <w:p>
            <w:pPr>
              <w:spacing w:after="20" w:before="20" w:line="240" w:lineRule="auto"/>
              <w:jc w:val="left"/>
            </w:pPr>
            <w:r/>
            <w:r>
              <w:rPr>
                <w:sz w:val="20"/>
              </w:rPr>
              <w:t>Demande manuelle</w:t>
            </w:r>
          </w:p>
        </w:tc>
        <w:tc>
          <w:tcPr>
            <w:tcW w:type="dxa" w:w="5331"/>
          </w:tcPr>
          <w:p>
            <w:pPr>
              <w:spacing w:after="20" w:before="20" w:line="240" w:lineRule="auto"/>
              <w:jc w:val="left"/>
            </w:pPr>
            <w:r/>
            <w:r>
              <w:rPr>
                <w:sz w:val="20"/>
              </w:rPr>
              <w:t>superviseur</w:t>
            </w:r>
          </w:p>
        </w:tc>
        <w:tc>
          <w:tcPr>
            <w:tcW w:type="dxa" w:w="2259"/>
          </w:tcPr>
          <w:p>
            <w:pPr>
              <w:spacing w:after="20" w:before="20" w:line="240" w:lineRule="auto"/>
              <w:jc w:val="left"/>
            </w:pPr>
            <w:r/>
            <w:r>
              <w:rPr>
                <w:sz w:val="20"/>
              </w:rPr>
              <w:t>immédiat</w:t>
            </w:r>
          </w:p>
        </w:tc>
      </w:tr>
    </w:tbl>
    <w:p>
      <w:pPr>
        <w:spacing w:after="120"/>
      </w:pPr>
    </w:p>
    <w:p>
      <w:pPr>
        <w:spacing w:before="0" w:after="120" w:line="360" w:lineRule="auto"/>
        <w:jc w:val="both"/>
      </w:pPr>
      <w:r>
        <w:rPr>
          <w:sz w:val="24"/>
        </w:rPr>
        <w:t xml:space="preserve">Le cycle suit quatre étapes : le planificateur décide, en respectant un délai de carence de six heures entre deux réentraînements ; un challenger est entraîné sur l'historique et sur les données de production étiquetées, les verdicts vérifiés pesant trois fois les étiquettes supposées ; il doit passer trois contrôles (le diagnostic de surapprentissage, la </w:t>
      </w:r>
      <w:r>
        <w:rPr>
          <w:b/>
          <w:sz w:val="24"/>
        </w:rPr>
        <w:t>porte de détection</w:t>
      </w:r>
      <w:r>
        <w:rPr>
          <w:sz w:val="24"/>
        </w:rPr>
        <w:t xml:space="preserve"> qui exige un rappel minimal par type de fraude et un taux maximal de faux positifs, et la comparaison avec le champion sur la même période) ; s'il est meilleur, il est promu par écriture atomique, enregistré dans MLflow et rechargé à chaud.</w:t>
      </w:r>
    </w:p>
    <w:p>
      <w:pPr>
        <w:pStyle w:val="Titre4"/>
        <w:keepNext/>
        <w:numPr>
          <w:numId w:val="0"/>
        </w:numPr>
        <w:spacing w:before="200" w:after="120"/>
        <w:ind w:left="0" w:firstLine="0"/>
        <w:jc w:val="left"/>
      </w:pPr>
      <w:r>
        <w:rPr>
          <w:b/>
          <w:i/>
          <w:color w:val="000000"/>
          <w:sz w:val="25"/>
        </w:rPr>
        <w:t>3.9 Sécurité</w:t>
      </w:r>
    </w:p>
    <w:p>
      <w:pPr>
        <w:pStyle w:val="Légendetableau"/>
        <w:keepNext/>
        <w:spacing w:before="200" w:after="80"/>
        <w:jc w:val="center"/>
      </w:pPr>
      <w:r>
        <w:rPr>
          <w:b/>
          <w:sz w:val="20"/>
        </w:rPr>
        <w:t>Tableau III.40 — Menaces et contre-mesures.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2846"/>
        <w:gridCol w:w="6543"/>
      </w:tblGrid>
      <w:tr>
        <w:trPr>
          <w:tblHeader w:val="true"/>
        </w:trPr>
        <w:tc>
          <w:tcPr>
            <w:tcW w:type="dxa" w:w="2846"/>
            <w:shd w:val="clear" w:color="auto" w:fill="D9E2F3"/>
          </w:tcPr>
          <w:p>
            <w:pPr>
              <w:spacing w:after="20" w:before="20" w:line="240" w:lineRule="auto"/>
              <w:jc w:val="left"/>
            </w:pPr>
            <w:r/>
            <w:r>
              <w:rPr>
                <w:b/>
                <w:sz w:val="20"/>
              </w:rPr>
              <w:t>Menace</w:t>
            </w:r>
          </w:p>
        </w:tc>
        <w:tc>
          <w:tcPr>
            <w:tcW w:type="dxa" w:w="6543"/>
            <w:shd w:val="clear" w:color="auto" w:fill="D9E2F3"/>
          </w:tcPr>
          <w:p>
            <w:pPr>
              <w:spacing w:after="20" w:before="20" w:line="240" w:lineRule="auto"/>
              <w:jc w:val="left"/>
            </w:pPr>
            <w:r/>
            <w:r>
              <w:rPr>
                <w:b/>
                <w:sz w:val="20"/>
              </w:rPr>
              <w:t>Contre-mesure</w:t>
            </w:r>
          </w:p>
        </w:tc>
      </w:tr>
      <w:tr>
        <w:trPr>
          <w:cantSplit w:val="true"/>
        </w:trPr>
        <w:tc>
          <w:tcPr>
            <w:tcW w:type="dxa" w:w="2846"/>
          </w:tcPr>
          <w:p>
            <w:pPr>
              <w:spacing w:after="20" w:before="20" w:line="240" w:lineRule="auto"/>
              <w:jc w:val="left"/>
            </w:pPr>
            <w:r/>
            <w:r>
              <w:rPr>
                <w:sz w:val="20"/>
              </w:rPr>
              <w:t>Accès non autorisé à l'interface</w:t>
            </w:r>
          </w:p>
        </w:tc>
        <w:tc>
          <w:tcPr>
            <w:tcW w:type="dxa" w:w="6543"/>
          </w:tcPr>
          <w:p>
            <w:pPr>
              <w:spacing w:after="20" w:before="20" w:line="240" w:lineRule="auto"/>
              <w:jc w:val="left"/>
            </w:pPr>
            <w:r/>
            <w:r>
              <w:rPr>
                <w:sz w:val="20"/>
              </w:rPr>
              <w:t>Jeton JWT, rôles, routes protégées côté serveur et côté interface</w:t>
            </w:r>
          </w:p>
        </w:tc>
      </w:tr>
      <w:tr>
        <w:trPr>
          <w:cantSplit w:val="true"/>
        </w:trPr>
        <w:tc>
          <w:tcPr>
            <w:tcW w:type="dxa" w:w="2846"/>
          </w:tcPr>
          <w:p>
            <w:pPr>
              <w:spacing w:after="20" w:before="20" w:line="240" w:lineRule="auto"/>
              <w:jc w:val="left"/>
            </w:pPr>
            <w:r/>
            <w:r>
              <w:rPr>
                <w:sz w:val="20"/>
              </w:rPr>
              <w:t>Vol d'identifiants</w:t>
            </w:r>
          </w:p>
        </w:tc>
        <w:tc>
          <w:tcPr>
            <w:tcW w:type="dxa" w:w="6543"/>
          </w:tcPr>
          <w:p>
            <w:pPr>
              <w:spacing w:after="20" w:before="20" w:line="240" w:lineRule="auto"/>
              <w:jc w:val="left"/>
            </w:pPr>
            <w:r/>
            <w:r>
              <w:rPr>
                <w:sz w:val="20"/>
              </w:rPr>
              <w:t>Verrouillage après 5 échecs consécutifs ; double authentification par code à usage unique, secret chiffré en base, code déjà utilisé refusé</w:t>
            </w:r>
          </w:p>
        </w:tc>
      </w:tr>
      <w:tr>
        <w:trPr>
          <w:cantSplit w:val="true"/>
        </w:trPr>
        <w:tc>
          <w:tcPr>
            <w:tcW w:type="dxa" w:w="2846"/>
          </w:tcPr>
          <w:p>
            <w:pPr>
              <w:spacing w:after="20" w:before="20" w:line="240" w:lineRule="auto"/>
              <w:jc w:val="left"/>
            </w:pPr>
            <w:r/>
            <w:r>
              <w:rPr>
                <w:sz w:val="20"/>
              </w:rPr>
              <w:t>Déblocage frauduleux d'une opération importante</w:t>
            </w:r>
          </w:p>
        </w:tc>
        <w:tc>
          <w:tcPr>
            <w:tcW w:type="dxa" w:w="6543"/>
          </w:tcPr>
          <w:p>
            <w:pPr>
              <w:spacing w:after="20" w:before="20" w:line="240" w:lineRule="auto"/>
              <w:jc w:val="left"/>
            </w:pPr>
            <w:r/>
            <w:r>
              <w:rPr>
                <w:sz w:val="20"/>
              </w:rPr>
              <w:t>Validation à quatre yeux au-delà de 500 USD, par un second validateur différent du demandeur</w:t>
            </w:r>
          </w:p>
        </w:tc>
      </w:tr>
      <w:tr>
        <w:trPr>
          <w:cantSplit w:val="true"/>
        </w:trPr>
        <w:tc>
          <w:tcPr>
            <w:tcW w:type="dxa" w:w="2846"/>
          </w:tcPr>
          <w:p>
            <w:pPr>
              <w:spacing w:after="20" w:before="20" w:line="240" w:lineRule="auto"/>
              <w:jc w:val="left"/>
            </w:pPr>
            <w:r/>
            <w:r>
              <w:rPr>
                <w:sz w:val="20"/>
              </w:rPr>
              <w:t>Système partenaire non autorisé</w:t>
            </w:r>
          </w:p>
        </w:tc>
        <w:tc>
          <w:tcPr>
            <w:tcW w:type="dxa" w:w="6543"/>
          </w:tcPr>
          <w:p>
            <w:pPr>
              <w:spacing w:after="20" w:before="20" w:line="240" w:lineRule="auto"/>
              <w:jc w:val="left"/>
            </w:pPr>
            <w:r/>
            <w:r>
              <w:rPr>
                <w:sz w:val="20"/>
              </w:rPr>
              <w:t>Clés d'API par institution, droits, révocation</w:t>
            </w:r>
          </w:p>
        </w:tc>
      </w:tr>
      <w:tr>
        <w:trPr>
          <w:cantSplit w:val="true"/>
        </w:trPr>
        <w:tc>
          <w:tcPr>
            <w:tcW w:type="dxa" w:w="2846"/>
          </w:tcPr>
          <w:p>
            <w:pPr>
              <w:spacing w:after="20" w:before="20" w:line="240" w:lineRule="auto"/>
              <w:jc w:val="left"/>
            </w:pPr>
            <w:r/>
            <w:r>
              <w:rPr>
                <w:sz w:val="20"/>
              </w:rPr>
              <w:t>Fuite de données entre institutions</w:t>
            </w:r>
          </w:p>
        </w:tc>
        <w:tc>
          <w:tcPr>
            <w:tcW w:type="dxa" w:w="6543"/>
          </w:tcPr>
          <w:p>
            <w:pPr>
              <w:spacing w:after="20" w:before="20" w:line="240" w:lineRule="auto"/>
              <w:jc w:val="left"/>
            </w:pPr>
            <w:r/>
            <w:r>
              <w:rPr>
                <w:sz w:val="20"/>
              </w:rPr>
              <w:t>Rattachement fixé par le serveur, filtrage systématique</w:t>
            </w:r>
          </w:p>
        </w:tc>
      </w:tr>
      <w:tr>
        <w:trPr>
          <w:cantSplit w:val="true"/>
        </w:trPr>
        <w:tc>
          <w:tcPr>
            <w:tcW w:type="dxa" w:w="2846"/>
          </w:tcPr>
          <w:p>
            <w:pPr>
              <w:spacing w:after="20" w:before="20" w:line="240" w:lineRule="auto"/>
              <w:jc w:val="left"/>
            </w:pPr>
            <w:r/>
            <w:r>
              <w:rPr>
                <w:sz w:val="20"/>
              </w:rPr>
              <w:t>Altération des preuves</w:t>
            </w:r>
          </w:p>
        </w:tc>
        <w:tc>
          <w:tcPr>
            <w:tcW w:type="dxa" w:w="6543"/>
          </w:tcPr>
          <w:p>
            <w:pPr>
              <w:spacing w:after="20" w:before="20" w:line="240" w:lineRule="auto"/>
              <w:jc w:val="left"/>
            </w:pPr>
            <w:r/>
            <w:r>
              <w:rPr>
                <w:sz w:val="20"/>
              </w:rPr>
              <w:t>Journal d'audit chaîné, modification et suppression interdites en base</w:t>
            </w:r>
          </w:p>
        </w:tc>
      </w:tr>
      <w:tr>
        <w:trPr>
          <w:cantSplit w:val="true"/>
        </w:trPr>
        <w:tc>
          <w:tcPr>
            <w:tcW w:type="dxa" w:w="2846"/>
          </w:tcPr>
          <w:p>
            <w:pPr>
              <w:spacing w:after="20" w:before="20" w:line="240" w:lineRule="auto"/>
              <w:jc w:val="left"/>
            </w:pPr>
            <w:r/>
            <w:r>
              <w:rPr>
                <w:sz w:val="20"/>
              </w:rPr>
              <w:t>Abus et déni de service</w:t>
            </w:r>
          </w:p>
        </w:tc>
        <w:tc>
          <w:tcPr>
            <w:tcW w:type="dxa" w:w="6543"/>
          </w:tcPr>
          <w:p>
            <w:pPr>
              <w:spacing w:after="20" w:before="20" w:line="240" w:lineRule="auto"/>
              <w:jc w:val="left"/>
            </w:pPr>
            <w:r/>
            <w:r>
              <w:rPr>
                <w:sz w:val="20"/>
              </w:rPr>
              <w:t>Quota par institution, limitation de débit par adresse (Nginx), délais bornés</w:t>
            </w:r>
          </w:p>
        </w:tc>
      </w:tr>
      <w:tr>
        <w:trPr>
          <w:cantSplit w:val="true"/>
        </w:trPr>
        <w:tc>
          <w:tcPr>
            <w:tcW w:type="dxa" w:w="2846"/>
          </w:tcPr>
          <w:p>
            <w:pPr>
              <w:spacing w:after="20" w:before="20" w:line="240" w:lineRule="auto"/>
              <w:jc w:val="left"/>
            </w:pPr>
            <w:r/>
            <w:r>
              <w:rPr>
                <w:sz w:val="20"/>
              </w:rPr>
              <w:t>Fuite de données personnelles</w:t>
            </w:r>
          </w:p>
        </w:tc>
        <w:tc>
          <w:tcPr>
            <w:tcW w:type="dxa" w:w="6543"/>
          </w:tcPr>
          <w:p>
            <w:pPr>
              <w:spacing w:after="20" w:before="20" w:line="240" w:lineRule="auto"/>
              <w:jc w:val="left"/>
            </w:pPr>
            <w:r/>
            <w:r>
              <w:rPr>
                <w:sz w:val="20"/>
              </w:rPr>
              <w:t>Aucun service externe, texte des messages non stocké, supervision par agrégats</w:t>
            </w:r>
          </w:p>
        </w:tc>
      </w:tr>
      <w:tr>
        <w:trPr>
          <w:cantSplit w:val="true"/>
        </w:trPr>
        <w:tc>
          <w:tcPr>
            <w:tcW w:type="dxa" w:w="2846"/>
          </w:tcPr>
          <w:p>
            <w:pPr>
              <w:spacing w:after="20" w:before="20" w:line="240" w:lineRule="auto"/>
              <w:jc w:val="left"/>
            </w:pPr>
            <w:r/>
            <w:r>
              <w:rPr>
                <w:sz w:val="20"/>
              </w:rPr>
              <w:t>Injection SQL, XSS</w:t>
            </w:r>
          </w:p>
        </w:tc>
        <w:tc>
          <w:tcPr>
            <w:tcW w:type="dxa" w:w="6543"/>
          </w:tcPr>
          <w:p>
            <w:pPr>
              <w:spacing w:after="20" w:before="20" w:line="240" w:lineRule="auto"/>
              <w:jc w:val="left"/>
            </w:pPr>
            <w:r/>
            <w:r>
              <w:rPr>
                <w:sz w:val="20"/>
              </w:rPr>
              <w:t>Requêtes paramétrées (SQLAlchemy), échappement à l'affichage, en-têtes de sécurité</w:t>
            </w:r>
          </w:p>
        </w:tc>
      </w:tr>
    </w:tbl>
    <w:p>
      <w:pPr>
        <w:spacing w:after="120"/>
      </w:pPr>
    </w:p>
    <w:p>
      <w:pPr>
        <w:pStyle w:val="Légendetableau"/>
        <w:keepNext/>
        <w:spacing w:before="200" w:after="80"/>
        <w:jc w:val="center"/>
      </w:pPr>
      <w:r>
        <w:rPr>
          <w:b/>
          <w:sz w:val="20"/>
        </w:rPr>
        <w:t>Tableau III.41 — Rôles et droits.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1986"/>
        <w:gridCol w:w="7403"/>
      </w:tblGrid>
      <w:tr>
        <w:trPr>
          <w:tblHeader w:val="true"/>
        </w:trPr>
        <w:tc>
          <w:tcPr>
            <w:tcW w:type="dxa" w:w="1986"/>
            <w:shd w:val="clear" w:color="auto" w:fill="D9E2F3"/>
          </w:tcPr>
          <w:p>
            <w:pPr>
              <w:spacing w:after="20" w:before="20" w:line="240" w:lineRule="auto"/>
              <w:jc w:val="left"/>
            </w:pPr>
            <w:r/>
            <w:r>
              <w:rPr>
                <w:b/>
                <w:sz w:val="20"/>
              </w:rPr>
              <w:t>Rôle</w:t>
            </w:r>
          </w:p>
        </w:tc>
        <w:tc>
          <w:tcPr>
            <w:tcW w:type="dxa" w:w="7403"/>
            <w:shd w:val="clear" w:color="auto" w:fill="D9E2F3"/>
          </w:tcPr>
          <w:p>
            <w:pPr>
              <w:spacing w:after="20" w:before="20" w:line="240" w:lineRule="auto"/>
              <w:jc w:val="left"/>
            </w:pPr>
            <w:r/>
            <w:r>
              <w:rPr>
                <w:b/>
                <w:sz w:val="20"/>
              </w:rPr>
              <w:t>Droits</w:t>
            </w:r>
          </w:p>
        </w:tc>
      </w:tr>
      <w:tr>
        <w:trPr>
          <w:cantSplit w:val="true"/>
        </w:trPr>
        <w:tc>
          <w:tcPr>
            <w:tcW w:type="dxa" w:w="1986"/>
          </w:tcPr>
          <w:p>
            <w:pPr>
              <w:spacing w:after="20" w:before="20" w:line="240" w:lineRule="auto"/>
              <w:jc w:val="left"/>
            </w:pPr>
            <w:r/>
            <w:r>
              <w:rPr>
                <w:sz w:val="20"/>
              </w:rPr>
              <w:t>Analyste</w:t>
            </w:r>
          </w:p>
        </w:tc>
        <w:tc>
          <w:tcPr>
            <w:tcW w:type="dxa" w:w="7403"/>
          </w:tcPr>
          <w:p>
            <w:pPr>
              <w:spacing w:after="20" w:before="20" w:line="240" w:lineRule="auto"/>
              <w:jc w:val="left"/>
            </w:pPr>
            <w:r/>
            <w:r>
              <w:rPr>
                <w:sz w:val="20"/>
              </w:rPr>
              <w:t>consulter les opérations, traiter ses dossiers, enregistrer les plaintes, examiner les comportements nouveaux, consulter les réseaux et la file de revue</w:t>
            </w:r>
          </w:p>
        </w:tc>
      </w:tr>
      <w:tr>
        <w:trPr>
          <w:cantSplit w:val="true"/>
        </w:trPr>
        <w:tc>
          <w:tcPr>
            <w:tcW w:type="dxa" w:w="1986"/>
          </w:tcPr>
          <w:p>
            <w:pPr>
              <w:spacing w:after="20" w:before="20" w:line="240" w:lineRule="auto"/>
              <w:jc w:val="left"/>
            </w:pPr>
            <w:r/>
            <w:r>
              <w:rPr>
                <w:sz w:val="20"/>
              </w:rPr>
              <w:t>Superviseur</w:t>
            </w:r>
          </w:p>
        </w:tc>
        <w:tc>
          <w:tcPr>
            <w:tcW w:type="dxa" w:w="7403"/>
          </w:tcPr>
          <w:p>
            <w:pPr>
              <w:spacing w:after="20" w:before="20" w:line="240" w:lineRule="auto"/>
              <w:jc w:val="left"/>
            </w:pPr>
            <w:r/>
            <w:r>
              <w:rPr>
                <w:sz w:val="20"/>
              </w:rPr>
              <w:t>droits de l'analyste + affecter les dossiers, valider les déblocages, régler la politique de décision, consulter l'équité et le journal d'audit, déclencher le réentraînement</w:t>
            </w:r>
          </w:p>
        </w:tc>
      </w:tr>
      <w:tr>
        <w:trPr>
          <w:cantSplit w:val="true"/>
        </w:trPr>
        <w:tc>
          <w:tcPr>
            <w:tcW w:type="dxa" w:w="1986"/>
          </w:tcPr>
          <w:p>
            <w:pPr>
              <w:spacing w:after="20" w:before="20" w:line="240" w:lineRule="auto"/>
              <w:jc w:val="left"/>
            </w:pPr>
            <w:r/>
            <w:r>
              <w:rPr>
                <w:sz w:val="20"/>
              </w:rPr>
              <w:t>Administrateur</w:t>
            </w:r>
          </w:p>
        </w:tc>
        <w:tc>
          <w:tcPr>
            <w:tcW w:type="dxa" w:w="7403"/>
          </w:tcPr>
          <w:p>
            <w:pPr>
              <w:spacing w:after="20" w:before="20" w:line="240" w:lineRule="auto"/>
              <w:jc w:val="left"/>
            </w:pPr>
            <w:r/>
            <w:r>
              <w:rPr>
                <w:sz w:val="20"/>
              </w:rPr>
              <w:t>droits du superviseur + gérer les utilisateurs (verrouillage, double authentification), les institutions, les quotas et les clés d'API</w:t>
            </w:r>
          </w:p>
        </w:tc>
      </w:tr>
    </w:tbl>
    <w:p>
      <w:pPr>
        <w:spacing w:after="120"/>
      </w:pPr>
    </w:p>
    <w:p>
      <w:pPr>
        <w:pStyle w:val="Titre4"/>
        <w:keepNext/>
        <w:numPr>
          <w:numId w:val="0"/>
        </w:numPr>
        <w:spacing w:before="200" w:after="120"/>
        <w:ind w:left="0" w:firstLine="0"/>
        <w:jc w:val="left"/>
      </w:pPr>
      <w:r>
        <w:rPr>
          <w:b/>
          <w:i/>
          <w:color w:val="000000"/>
          <w:sz w:val="25"/>
        </w:rPr>
        <w:t>3.10 Interfaces utilisateur</w:t>
      </w:r>
    </w:p>
    <w:p>
      <w:pPr>
        <w:spacing w:before="0" w:after="120" w:line="360" w:lineRule="auto"/>
        <w:jc w:val="both"/>
      </w:pPr>
      <w:r>
        <w:rPr>
          <w:sz w:val="24"/>
        </w:rPr>
        <w:t>L'interface est conçue pour l'analyste : chaque alerte présente d'emblée le niveau de risque, le type probable, les motifs et la procédure recommandée, afin de réduire le temps de traitement d'un dossier (tableau III.42).</w:t>
      </w:r>
    </w:p>
    <w:p>
      <w:pPr>
        <w:pStyle w:val="Légendetableau"/>
        <w:keepNext/>
        <w:spacing w:before="200" w:after="80"/>
        <w:jc w:val="center"/>
      </w:pPr>
      <w:r>
        <w:rPr>
          <w:b/>
          <w:sz w:val="20"/>
        </w:rPr>
        <w:t>Tableau III.42 — Pages de l'interface.</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1606"/>
        <w:gridCol w:w="1701"/>
        <w:gridCol w:w="6082"/>
      </w:tblGrid>
      <w:tr>
        <w:trPr>
          <w:tblHeader w:val="true"/>
        </w:trPr>
        <w:tc>
          <w:tcPr>
            <w:tcW w:type="dxa" w:w="1606"/>
            <w:shd w:val="clear" w:color="auto" w:fill="D9E2F3"/>
          </w:tcPr>
          <w:p>
            <w:pPr>
              <w:spacing w:after="20" w:before="20" w:line="240" w:lineRule="auto"/>
              <w:jc w:val="left"/>
            </w:pPr>
            <w:r/>
            <w:r>
              <w:rPr>
                <w:b/>
                <w:sz w:val="20"/>
              </w:rPr>
              <w:t>Page</w:t>
            </w:r>
          </w:p>
        </w:tc>
        <w:tc>
          <w:tcPr>
            <w:tcW w:type="dxa" w:w="1701"/>
            <w:shd w:val="clear" w:color="auto" w:fill="D9E2F3"/>
          </w:tcPr>
          <w:p>
            <w:pPr>
              <w:spacing w:after="20" w:before="20" w:line="240" w:lineRule="auto"/>
              <w:jc w:val="left"/>
            </w:pPr>
            <w:r/>
            <w:r>
              <w:rPr>
                <w:b/>
                <w:sz w:val="20"/>
              </w:rPr>
              <w:t>Rôle minimal</w:t>
            </w:r>
          </w:p>
        </w:tc>
        <w:tc>
          <w:tcPr>
            <w:tcW w:type="dxa" w:w="6082"/>
            <w:shd w:val="clear" w:color="auto" w:fill="D9E2F3"/>
          </w:tcPr>
          <w:p>
            <w:pPr>
              <w:spacing w:after="20" w:before="20" w:line="240" w:lineRule="auto"/>
              <w:jc w:val="left"/>
            </w:pPr>
            <w:r/>
            <w:r>
              <w:rPr>
                <w:b/>
                <w:sz w:val="20"/>
              </w:rPr>
              <w:t>Contenu</w:t>
            </w:r>
          </w:p>
        </w:tc>
      </w:tr>
      <w:tr>
        <w:trPr>
          <w:cantSplit w:val="true"/>
        </w:trPr>
        <w:tc>
          <w:tcPr>
            <w:tcW w:type="dxa" w:w="1606"/>
          </w:tcPr>
          <w:p>
            <w:pPr>
              <w:spacing w:after="20" w:before="20" w:line="240" w:lineRule="auto"/>
              <w:jc w:val="left"/>
            </w:pPr>
            <w:r/>
            <w:r>
              <w:rPr>
                <w:sz w:val="20"/>
              </w:rPr>
              <w:t>Accueil (publique)</w:t>
            </w:r>
          </w:p>
        </w:tc>
        <w:tc>
          <w:tcPr>
            <w:tcW w:type="dxa" w:w="1701"/>
          </w:tcPr>
          <w:p>
            <w:pPr>
              <w:spacing w:after="20" w:before="20" w:line="240" w:lineRule="auto"/>
              <w:jc w:val="left"/>
            </w:pPr>
            <w:r/>
            <w:r>
              <w:rPr>
                <w:sz w:val="20"/>
              </w:rPr>
              <w:t>aucun</w:t>
            </w:r>
          </w:p>
        </w:tc>
        <w:tc>
          <w:tcPr>
            <w:tcW w:type="dxa" w:w="6082"/>
          </w:tcPr>
          <w:p>
            <w:pPr>
              <w:spacing w:after="20" w:before="20" w:line="240" w:lineRule="auto"/>
              <w:jc w:val="left"/>
            </w:pPr>
            <w:r/>
            <w:r>
              <w:rPr>
                <w:sz w:val="20"/>
              </w:rPr>
              <w:t>présentation du système, accès à la connexion</w:t>
            </w:r>
          </w:p>
        </w:tc>
      </w:tr>
      <w:tr>
        <w:trPr>
          <w:cantSplit w:val="true"/>
        </w:trPr>
        <w:tc>
          <w:tcPr>
            <w:tcW w:type="dxa" w:w="1606"/>
          </w:tcPr>
          <w:p>
            <w:pPr>
              <w:spacing w:after="20" w:before="20" w:line="240" w:lineRule="auto"/>
              <w:jc w:val="left"/>
            </w:pPr>
            <w:r/>
            <w:r>
              <w:rPr>
                <w:sz w:val="20"/>
              </w:rPr>
              <w:t>Connexion</w:t>
            </w:r>
          </w:p>
        </w:tc>
        <w:tc>
          <w:tcPr>
            <w:tcW w:type="dxa" w:w="1701"/>
          </w:tcPr>
          <w:p>
            <w:pPr>
              <w:spacing w:after="20" w:before="20" w:line="240" w:lineRule="auto"/>
              <w:jc w:val="left"/>
            </w:pPr>
            <w:r/>
            <w:r>
              <w:rPr>
                <w:sz w:val="20"/>
              </w:rPr>
              <w:t>aucun</w:t>
            </w:r>
          </w:p>
        </w:tc>
        <w:tc>
          <w:tcPr>
            <w:tcW w:type="dxa" w:w="6082"/>
          </w:tcPr>
          <w:p>
            <w:pPr>
              <w:spacing w:after="20" w:before="20" w:line="240" w:lineRule="auto"/>
              <w:jc w:val="left"/>
            </w:pPr>
            <w:r/>
            <w:r>
              <w:rPr>
                <w:sz w:val="20"/>
              </w:rPr>
              <w:t>authentification, code de double authentification</w:t>
            </w:r>
          </w:p>
        </w:tc>
      </w:tr>
      <w:tr>
        <w:trPr>
          <w:cantSplit w:val="true"/>
        </w:trPr>
        <w:tc>
          <w:tcPr>
            <w:tcW w:type="dxa" w:w="1606"/>
          </w:tcPr>
          <w:p>
            <w:pPr>
              <w:spacing w:after="20" w:before="20" w:line="240" w:lineRule="auto"/>
              <w:jc w:val="left"/>
            </w:pPr>
            <w:r/>
            <w:r>
              <w:rPr>
                <w:sz w:val="20"/>
              </w:rPr>
              <w:t>Tableau de bord</w:t>
            </w:r>
          </w:p>
        </w:tc>
        <w:tc>
          <w:tcPr>
            <w:tcW w:type="dxa" w:w="1701"/>
          </w:tcPr>
          <w:p>
            <w:pPr>
              <w:spacing w:after="20" w:before="20" w:line="240" w:lineRule="auto"/>
              <w:jc w:val="left"/>
            </w:pPr>
            <w:r/>
            <w:r>
              <w:rPr>
                <w:sz w:val="20"/>
              </w:rPr>
              <w:t>analyste</w:t>
            </w:r>
          </w:p>
        </w:tc>
        <w:tc>
          <w:tcPr>
            <w:tcW w:type="dxa" w:w="6082"/>
          </w:tcPr>
          <w:p>
            <w:pPr>
              <w:spacing w:after="20" w:before="20" w:line="240" w:lineRule="auto"/>
              <w:jc w:val="left"/>
            </w:pPr>
            <w:r/>
            <w:r>
              <w:rPr>
                <w:sz w:val="20"/>
              </w:rPr>
              <w:t>indicateurs temps réel, flux, alertes récentes, typologies, performance du modèle, apprentissage continu</w:t>
            </w:r>
          </w:p>
        </w:tc>
      </w:tr>
      <w:tr>
        <w:trPr>
          <w:cantSplit w:val="true"/>
        </w:trPr>
        <w:tc>
          <w:tcPr>
            <w:tcW w:type="dxa" w:w="1606"/>
          </w:tcPr>
          <w:p>
            <w:pPr>
              <w:spacing w:after="20" w:before="20" w:line="240" w:lineRule="auto"/>
              <w:jc w:val="left"/>
            </w:pPr>
            <w:r/>
            <w:r>
              <w:rPr>
                <w:sz w:val="20"/>
              </w:rPr>
              <w:t>Carte des fraudes</w:t>
            </w:r>
          </w:p>
        </w:tc>
        <w:tc>
          <w:tcPr>
            <w:tcW w:type="dxa" w:w="1701"/>
          </w:tcPr>
          <w:p>
            <w:pPr>
              <w:spacing w:after="20" w:before="20" w:line="240" w:lineRule="auto"/>
              <w:jc w:val="left"/>
            </w:pPr>
            <w:r/>
            <w:r>
              <w:rPr>
                <w:sz w:val="20"/>
              </w:rPr>
              <w:t>analyste</w:t>
            </w:r>
          </w:p>
        </w:tc>
        <w:tc>
          <w:tcPr>
            <w:tcW w:type="dxa" w:w="6082"/>
          </w:tcPr>
          <w:p>
            <w:pPr>
              <w:spacing w:after="20" w:before="20" w:line="240" w:lineRule="auto"/>
              <w:jc w:val="left"/>
            </w:pPr>
            <w:r/>
            <w:r>
              <w:rPr>
                <w:sz w:val="20"/>
              </w:rPr>
              <w:t>26 provinces, intensité de la fraude</w:t>
            </w:r>
          </w:p>
        </w:tc>
      </w:tr>
      <w:tr>
        <w:trPr>
          <w:cantSplit w:val="true"/>
        </w:trPr>
        <w:tc>
          <w:tcPr>
            <w:tcW w:type="dxa" w:w="1606"/>
          </w:tcPr>
          <w:p>
            <w:pPr>
              <w:spacing w:after="20" w:before="20" w:line="240" w:lineRule="auto"/>
              <w:jc w:val="left"/>
            </w:pPr>
            <w:r/>
            <w:r>
              <w:rPr>
                <w:sz w:val="20"/>
              </w:rPr>
              <w:t>Transactions</w:t>
            </w:r>
          </w:p>
        </w:tc>
        <w:tc>
          <w:tcPr>
            <w:tcW w:type="dxa" w:w="1701"/>
          </w:tcPr>
          <w:p>
            <w:pPr>
              <w:spacing w:after="20" w:before="20" w:line="240" w:lineRule="auto"/>
              <w:jc w:val="left"/>
            </w:pPr>
            <w:r/>
            <w:r>
              <w:rPr>
                <w:sz w:val="20"/>
              </w:rPr>
              <w:t>analyste</w:t>
            </w:r>
          </w:p>
        </w:tc>
        <w:tc>
          <w:tcPr>
            <w:tcW w:type="dxa" w:w="6082"/>
          </w:tcPr>
          <w:p>
            <w:pPr>
              <w:spacing w:after="20" w:before="20" w:line="240" w:lineRule="auto"/>
              <w:jc w:val="left"/>
            </w:pPr>
            <w:r/>
            <w:r>
              <w:rPr>
                <w:sz w:val="20"/>
              </w:rPr>
              <w:t>recherche, filtres ; détail : SHAP, composantes, physique, analyse du message, cas similaires, revue</w:t>
            </w:r>
          </w:p>
        </w:tc>
      </w:tr>
      <w:tr>
        <w:trPr>
          <w:cantSplit w:val="true"/>
        </w:trPr>
        <w:tc>
          <w:tcPr>
            <w:tcW w:type="dxa" w:w="1606"/>
          </w:tcPr>
          <w:p>
            <w:pPr>
              <w:spacing w:after="20" w:before="20" w:line="240" w:lineRule="auto"/>
              <w:jc w:val="left"/>
            </w:pPr>
            <w:r/>
            <w:r>
              <w:rPr>
                <w:sz w:val="20"/>
              </w:rPr>
              <w:t>Alertes et dossiers</w:t>
            </w:r>
          </w:p>
        </w:tc>
        <w:tc>
          <w:tcPr>
            <w:tcW w:type="dxa" w:w="1701"/>
          </w:tcPr>
          <w:p>
            <w:pPr>
              <w:spacing w:after="20" w:before="20" w:line="240" w:lineRule="auto"/>
              <w:jc w:val="left"/>
            </w:pPr>
            <w:r/>
            <w:r>
              <w:rPr>
                <w:sz w:val="20"/>
              </w:rPr>
              <w:t>analyste</w:t>
            </w:r>
          </w:p>
        </w:tc>
        <w:tc>
          <w:tcPr>
            <w:tcW w:type="dxa" w:w="6082"/>
          </w:tcPr>
          <w:p>
            <w:pPr>
              <w:spacing w:after="20" w:before="20" w:line="240" w:lineRule="auto"/>
              <w:jc w:val="left"/>
            </w:pPr>
            <w:r/>
            <w:r>
              <w:rPr>
                <w:sz w:val="20"/>
              </w:rPr>
              <w:t>file priorisée, instruction, verdict, validations à quatre yeux</w:t>
            </w:r>
          </w:p>
        </w:tc>
      </w:tr>
      <w:tr>
        <w:trPr>
          <w:cantSplit w:val="true"/>
        </w:trPr>
        <w:tc>
          <w:tcPr>
            <w:tcW w:type="dxa" w:w="1606"/>
          </w:tcPr>
          <w:p>
            <w:pPr>
              <w:spacing w:after="20" w:before="20" w:line="240" w:lineRule="auto"/>
              <w:jc w:val="left"/>
            </w:pPr>
            <w:r/>
            <w:r>
              <w:rPr>
                <w:sz w:val="20"/>
              </w:rPr>
              <w:t>Réseaux de fraude</w:t>
            </w:r>
          </w:p>
        </w:tc>
        <w:tc>
          <w:tcPr>
            <w:tcW w:type="dxa" w:w="1701"/>
          </w:tcPr>
          <w:p>
            <w:pPr>
              <w:spacing w:after="20" w:before="20" w:line="240" w:lineRule="auto"/>
              <w:jc w:val="left"/>
            </w:pPr>
            <w:r/>
            <w:r>
              <w:rPr>
                <w:sz w:val="20"/>
              </w:rPr>
              <w:t>analyste</w:t>
            </w:r>
          </w:p>
        </w:tc>
        <w:tc>
          <w:tcPr>
            <w:tcW w:type="dxa" w:w="6082"/>
          </w:tcPr>
          <w:p>
            <w:pPr>
              <w:spacing w:after="20" w:before="20" w:line="240" w:lineRule="auto"/>
              <w:jc w:val="left"/>
            </w:pPr>
            <w:r/>
            <w:r>
              <w:rPr>
                <w:sz w:val="20"/>
              </w:rPr>
              <w:t>graphe des comptes, portefeuilles, appareils, agents et marchands liés</w:t>
            </w:r>
          </w:p>
        </w:tc>
      </w:tr>
      <w:tr>
        <w:trPr>
          <w:cantSplit w:val="true"/>
        </w:trPr>
        <w:tc>
          <w:tcPr>
            <w:tcW w:type="dxa" w:w="1606"/>
          </w:tcPr>
          <w:p>
            <w:pPr>
              <w:spacing w:after="20" w:before="20" w:line="240" w:lineRule="auto"/>
              <w:jc w:val="left"/>
            </w:pPr>
            <w:r/>
            <w:r>
              <w:rPr>
                <w:sz w:val="20"/>
              </w:rPr>
              <w:t>Revue et qualité</w:t>
            </w:r>
          </w:p>
        </w:tc>
        <w:tc>
          <w:tcPr>
            <w:tcW w:type="dxa" w:w="1701"/>
          </w:tcPr>
          <w:p>
            <w:pPr>
              <w:spacing w:after="20" w:before="20" w:line="240" w:lineRule="auto"/>
              <w:jc w:val="left"/>
            </w:pPr>
            <w:r/>
            <w:r>
              <w:rPr>
                <w:sz w:val="20"/>
              </w:rPr>
              <w:t>analyste</w:t>
            </w:r>
          </w:p>
        </w:tc>
        <w:tc>
          <w:tcPr>
            <w:tcW w:type="dxa" w:w="6082"/>
          </w:tcPr>
          <w:p>
            <w:pPr>
              <w:spacing w:after="20" w:before="20" w:line="240" w:lineRule="auto"/>
              <w:jc w:val="left"/>
            </w:pPr>
            <w:r/>
            <w:r>
              <w:rPr>
                <w:sz w:val="20"/>
              </w:rPr>
              <w:t>file de revue ciblée, précision réelle, fraudes manquées estimées, calibration</w:t>
            </w:r>
          </w:p>
        </w:tc>
      </w:tr>
      <w:tr>
        <w:trPr>
          <w:cantSplit w:val="true"/>
        </w:trPr>
        <w:tc>
          <w:tcPr>
            <w:tcW w:type="dxa" w:w="1606"/>
          </w:tcPr>
          <w:p>
            <w:pPr>
              <w:spacing w:after="20" w:before="20" w:line="240" w:lineRule="auto"/>
              <w:jc w:val="left"/>
            </w:pPr>
            <w:r/>
            <w:r>
              <w:rPr>
                <w:sz w:val="20"/>
              </w:rPr>
              <w:t>Sécurité du compte</w:t>
            </w:r>
          </w:p>
        </w:tc>
        <w:tc>
          <w:tcPr>
            <w:tcW w:type="dxa" w:w="1701"/>
          </w:tcPr>
          <w:p>
            <w:pPr>
              <w:spacing w:after="20" w:before="20" w:line="240" w:lineRule="auto"/>
              <w:jc w:val="left"/>
            </w:pPr>
            <w:r/>
            <w:r>
              <w:rPr>
                <w:sz w:val="20"/>
              </w:rPr>
              <w:t>analyste</w:t>
            </w:r>
          </w:p>
        </w:tc>
        <w:tc>
          <w:tcPr>
            <w:tcW w:type="dxa" w:w="6082"/>
          </w:tcPr>
          <w:p>
            <w:pPr>
              <w:spacing w:after="20" w:before="20" w:line="240" w:lineRule="auto"/>
              <w:jc w:val="left"/>
            </w:pPr>
            <w:r/>
            <w:r>
              <w:rPr>
                <w:sz w:val="20"/>
              </w:rPr>
              <w:t>activation de la double authentification</w:t>
            </w:r>
          </w:p>
        </w:tc>
      </w:tr>
      <w:tr>
        <w:trPr>
          <w:cantSplit w:val="true"/>
        </w:trPr>
        <w:tc>
          <w:tcPr>
            <w:tcW w:type="dxa" w:w="1606"/>
          </w:tcPr>
          <w:p>
            <w:pPr>
              <w:spacing w:after="20" w:before="20" w:line="240" w:lineRule="auto"/>
              <w:jc w:val="left"/>
            </w:pPr>
            <w:r/>
            <w:r>
              <w:rPr>
                <w:sz w:val="20"/>
              </w:rPr>
              <w:t>Politique de décision</w:t>
            </w:r>
          </w:p>
        </w:tc>
        <w:tc>
          <w:tcPr>
            <w:tcW w:type="dxa" w:w="1701"/>
          </w:tcPr>
          <w:p>
            <w:pPr>
              <w:spacing w:after="20" w:before="20" w:line="240" w:lineRule="auto"/>
              <w:jc w:val="left"/>
            </w:pPr>
            <w:r/>
            <w:r>
              <w:rPr>
                <w:sz w:val="20"/>
              </w:rPr>
              <w:t>superviseur</w:t>
            </w:r>
          </w:p>
        </w:tc>
        <w:tc>
          <w:tcPr>
            <w:tcW w:type="dxa" w:w="6082"/>
          </w:tcPr>
          <w:p>
            <w:pPr>
              <w:spacing w:after="20" w:before="20" w:line="240" w:lineRule="auto"/>
              <w:jc w:val="left"/>
            </w:pPr>
            <w:r/>
            <w:r>
              <w:rPr>
                <w:sz w:val="20"/>
              </w:rPr>
              <w:t>réglage des coûts, simulation avant application, historique des versions</w:t>
            </w:r>
          </w:p>
        </w:tc>
      </w:tr>
      <w:tr>
        <w:trPr>
          <w:cantSplit w:val="true"/>
        </w:trPr>
        <w:tc>
          <w:tcPr>
            <w:tcW w:type="dxa" w:w="1606"/>
          </w:tcPr>
          <w:p>
            <w:pPr>
              <w:spacing w:after="20" w:before="20" w:line="240" w:lineRule="auto"/>
              <w:jc w:val="left"/>
            </w:pPr>
            <w:r/>
            <w:r>
              <w:rPr>
                <w:sz w:val="20"/>
              </w:rPr>
              <w:t>Équité du modèle</w:t>
            </w:r>
          </w:p>
        </w:tc>
        <w:tc>
          <w:tcPr>
            <w:tcW w:type="dxa" w:w="1701"/>
          </w:tcPr>
          <w:p>
            <w:pPr>
              <w:spacing w:after="20" w:before="20" w:line="240" w:lineRule="auto"/>
              <w:jc w:val="left"/>
            </w:pPr>
            <w:r/>
            <w:r>
              <w:rPr>
                <w:sz w:val="20"/>
              </w:rPr>
              <w:t>superviseur</w:t>
            </w:r>
          </w:p>
        </w:tc>
        <w:tc>
          <w:tcPr>
            <w:tcW w:type="dxa" w:w="6082"/>
          </w:tcPr>
          <w:p>
            <w:pPr>
              <w:spacing w:after="20" w:before="20" w:line="240" w:lineRule="auto"/>
              <w:jc w:val="left"/>
            </w:pPr>
            <w:r/>
            <w:r>
              <w:rPr>
                <w:sz w:val="20"/>
              </w:rPr>
              <w:t>taux d'alerte par groupe, avec intervalles de confiance</w:t>
            </w:r>
          </w:p>
        </w:tc>
      </w:tr>
      <w:tr>
        <w:trPr>
          <w:cantSplit w:val="true"/>
        </w:trPr>
        <w:tc>
          <w:tcPr>
            <w:tcW w:type="dxa" w:w="1606"/>
          </w:tcPr>
          <w:p>
            <w:pPr>
              <w:spacing w:after="20" w:before="20" w:line="240" w:lineRule="auto"/>
              <w:jc w:val="left"/>
            </w:pPr>
            <w:r/>
            <w:r>
              <w:rPr>
                <w:sz w:val="20"/>
              </w:rPr>
              <w:t>Journal d'audit</w:t>
            </w:r>
          </w:p>
        </w:tc>
        <w:tc>
          <w:tcPr>
            <w:tcW w:type="dxa" w:w="1701"/>
          </w:tcPr>
          <w:p>
            <w:pPr>
              <w:spacing w:after="20" w:before="20" w:line="240" w:lineRule="auto"/>
              <w:jc w:val="left"/>
            </w:pPr>
            <w:r/>
            <w:r>
              <w:rPr>
                <w:sz w:val="20"/>
              </w:rPr>
              <w:t>superviseur</w:t>
            </w:r>
          </w:p>
        </w:tc>
        <w:tc>
          <w:tcPr>
            <w:tcW w:type="dxa" w:w="6082"/>
          </w:tcPr>
          <w:p>
            <w:pPr>
              <w:spacing w:after="20" w:before="20" w:line="240" w:lineRule="auto"/>
              <w:jc w:val="left"/>
            </w:pPr>
            <w:r/>
            <w:r>
              <w:rPr>
                <w:sz w:val="20"/>
              </w:rPr>
              <w:t>consultation du journal et vérification de la chaîne</w:t>
            </w:r>
          </w:p>
        </w:tc>
      </w:tr>
      <w:tr>
        <w:trPr>
          <w:cantSplit w:val="true"/>
        </w:trPr>
        <w:tc>
          <w:tcPr>
            <w:tcW w:type="dxa" w:w="1606"/>
          </w:tcPr>
          <w:p>
            <w:pPr>
              <w:spacing w:after="20" w:before="20" w:line="240" w:lineRule="auto"/>
              <w:jc w:val="left"/>
            </w:pPr>
            <w:r/>
            <w:r>
              <w:rPr>
                <w:sz w:val="20"/>
              </w:rPr>
              <w:t>Utilisateurs</w:t>
            </w:r>
          </w:p>
        </w:tc>
        <w:tc>
          <w:tcPr>
            <w:tcW w:type="dxa" w:w="1701"/>
          </w:tcPr>
          <w:p>
            <w:pPr>
              <w:spacing w:after="20" w:before="20" w:line="240" w:lineRule="auto"/>
              <w:jc w:val="left"/>
            </w:pPr>
            <w:r/>
            <w:r>
              <w:rPr>
                <w:sz w:val="20"/>
              </w:rPr>
              <w:t>administrateur</w:t>
            </w:r>
          </w:p>
        </w:tc>
        <w:tc>
          <w:tcPr>
            <w:tcW w:type="dxa" w:w="6082"/>
          </w:tcPr>
          <w:p>
            <w:pPr>
              <w:spacing w:after="20" w:before="20" w:line="240" w:lineRule="auto"/>
              <w:jc w:val="left"/>
            </w:pPr>
            <w:r/>
            <w:r>
              <w:rPr>
                <w:sz w:val="20"/>
              </w:rPr>
              <w:t>comptes, rôles, verrouillage, double authentification</w:t>
            </w:r>
          </w:p>
        </w:tc>
      </w:tr>
      <w:tr>
        <w:trPr>
          <w:cantSplit w:val="true"/>
        </w:trPr>
        <w:tc>
          <w:tcPr>
            <w:tcW w:type="dxa" w:w="1606"/>
          </w:tcPr>
          <w:p>
            <w:pPr>
              <w:spacing w:after="20" w:before="20" w:line="240" w:lineRule="auto"/>
              <w:jc w:val="left"/>
            </w:pPr>
            <w:r/>
            <w:r>
              <w:rPr>
                <w:sz w:val="20"/>
              </w:rPr>
              <w:t>Institutions et API</w:t>
            </w:r>
          </w:p>
        </w:tc>
        <w:tc>
          <w:tcPr>
            <w:tcW w:type="dxa" w:w="1701"/>
          </w:tcPr>
          <w:p>
            <w:pPr>
              <w:spacing w:after="20" w:before="20" w:line="240" w:lineRule="auto"/>
              <w:jc w:val="left"/>
            </w:pPr>
            <w:r/>
            <w:r>
              <w:rPr>
                <w:sz w:val="20"/>
              </w:rPr>
              <w:t>administrateur</w:t>
            </w:r>
          </w:p>
        </w:tc>
        <w:tc>
          <w:tcPr>
            <w:tcW w:type="dxa" w:w="6082"/>
          </w:tcPr>
          <w:p>
            <w:pPr>
              <w:spacing w:after="20" w:before="20" w:line="240" w:lineRule="auto"/>
              <w:jc w:val="left"/>
            </w:pPr>
            <w:r/>
            <w:r>
              <w:rPr>
                <w:sz w:val="20"/>
              </w:rPr>
              <w:t>partenaires, droits, quotas, clés d'API</w:t>
            </w:r>
          </w:p>
        </w:tc>
      </w:tr>
    </w:tbl>
    <w:p>
      <w:pPr>
        <w:spacing w:after="120"/>
      </w:pPr>
    </w:p>
    <w:p>
      <w:pPr>
        <w:pStyle w:val="Titre3"/>
        <w:keepNext/>
        <w:numPr>
          <w:numId w:val="0"/>
        </w:numPr>
        <w:spacing w:before="280" w:after="120"/>
        <w:ind w:left="0" w:firstLine="0"/>
        <w:jc w:val="left"/>
      </w:pPr>
      <w:r>
        <w:rPr>
          <w:b/>
          <w:color w:val="1F2A44"/>
          <w:sz w:val="28"/>
        </w:rPr>
        <w:t>4. Architecture et services du déploiement</w:t>
      </w:r>
    </w:p>
    <w:p>
      <w:pPr>
        <w:pStyle w:val="Titre4"/>
        <w:keepNext/>
        <w:numPr>
          <w:numId w:val="0"/>
        </w:numPr>
        <w:spacing w:before="200" w:after="120"/>
        <w:ind w:left="0" w:firstLine="0"/>
        <w:jc w:val="left"/>
      </w:pPr>
      <w:r>
        <w:rPr>
          <w:b/>
          <w:i/>
          <w:color w:val="000000"/>
          <w:sz w:val="25"/>
        </w:rPr>
        <w:t>4.1 Vue d'ensemble</w:t>
      </w:r>
    </w:p>
    <w:p>
      <w:pPr>
        <w:spacing w:before="0" w:after="120" w:line="360" w:lineRule="auto"/>
        <w:jc w:val="both"/>
      </w:pPr>
      <w:r>
        <w:rPr>
          <w:sz w:val="24"/>
        </w:rPr>
        <w:t xml:space="preserve">Le prototype est déployé par </w:t>
      </w:r>
      <w:r>
        <w:rPr>
          <w:b/>
          <w:sz w:val="24"/>
        </w:rPr>
        <w:t>Docker Compose</w:t>
      </w:r>
      <w:r>
        <w:rPr>
          <w:sz w:val="24"/>
        </w:rPr>
        <w:t xml:space="preserve"> sur un hôte unique. Chaque composant tourne dans son conteneur, sur un réseau interne commun ; seuls quelques ports sont publiés vers l'hôte (figure III.23).</w:t>
      </w:r>
    </w:p>
    <w:p>
      <w:pPr>
        <w:spacing w:before="0" w:after="0" w:line="20" w:lineRule="exact"/>
        <w:sectPr w:rsidR="00852587">
          <w:pgSz w:w="11910" w:h="16840"/>
          <w:pgMar w:top="1360" w:right="1180" w:bottom="1240" w:left="1340" w:header="0" w:footer="1055" w:gutter="0"/>
          <w:cols w:space="720"/>
        </w:sectPr>
      </w:pPr>
      <w:r>
        <w:rPr>
          <w:sz w:val="2"/>
        </w:rPr>
      </w:r>
    </w:p>
    <w:p>
      <w:pPr>
        <w:keepNext/>
        <w:spacing w:before="0" w:after="40"/>
        <w:jc w:val="center"/>
      </w:pPr>
      <w:r>
        <w:drawing>
          <wp:inline xmlns:a="http://schemas.openxmlformats.org/drawingml/2006/main" xmlns:pic="http://schemas.openxmlformats.org/drawingml/2006/picture">
            <wp:extent cx="9000000" cy="5184633"/>
            <wp:docPr id="64" name="Picture 64"/>
            <wp:cNvGraphicFramePr>
              <a:graphicFrameLocks noChangeAspect="1"/>
            </wp:cNvGraphicFramePr>
            <a:graphic>
              <a:graphicData uri="http://schemas.openxmlformats.org/drawingml/2006/picture">
                <pic:pic>
                  <pic:nvPicPr>
                    <pic:cNvPr id="0" name="diagramme_deploiement.png"/>
                    <pic:cNvPicPr/>
                  </pic:nvPicPr>
                  <pic:blipFill>
                    <a:blip r:embed="rId38"/>
                    <a:stretch>
                      <a:fillRect/>
                    </a:stretch>
                  </pic:blipFill>
                  <pic:spPr>
                    <a:xfrm>
                      <a:off x="0" y="0"/>
                      <a:ext cx="9000000" cy="5184633"/>
                    </a:xfrm>
                    <a:prstGeom prst="rect"/>
                  </pic:spPr>
                </pic:pic>
              </a:graphicData>
            </a:graphic>
          </wp:inline>
        </w:drawing>
      </w:r>
    </w:p>
    <w:p>
      <w:pPr>
        <w:pStyle w:val="Légendefigure"/>
        <w:spacing w:before="40" w:after="240"/>
        <w:jc w:val="center"/>
      </w:pPr>
      <w:r>
        <w:rPr>
          <w:i/>
          <w:sz w:val="20"/>
        </w:rPr>
        <w:t>Figure III.23 — Diagramme de déploiement.</w:t>
      </w:r>
    </w:p>
    <w:p>
      <w:pPr>
        <w:spacing w:before="0" w:after="0" w:line="20" w:lineRule="exact"/>
        <w:sectPr w:rsidR="00852587">
          <w:pgSz w:w="16840" w:h="11910" w:orient="landscape"/>
          <w:pgMar w:top="1000" w:right="1000" w:bottom="900" w:left="1000" w:header="0" w:footer="1055" w:gutter="0"/>
          <w:cols w:space="720"/>
        </w:sectPr>
      </w:pPr>
      <w:r>
        <w:rPr>
          <w:sz w:val="2"/>
        </w:rPr>
      </w:r>
    </w:p>
    <w:p>
      <w:pPr>
        <w:pStyle w:val="Titre4"/>
        <w:keepNext/>
        <w:numPr>
          <w:numId w:val="0"/>
        </w:numPr>
        <w:spacing w:before="200" w:after="120"/>
        <w:ind w:left="0" w:firstLine="0"/>
        <w:jc w:val="left"/>
      </w:pPr>
      <w:r>
        <w:rPr>
          <w:b/>
          <w:i/>
          <w:color w:val="000000"/>
          <w:sz w:val="25"/>
        </w:rPr>
        <w:t>4.2 Services déployés</w:t>
      </w:r>
    </w:p>
    <w:p>
      <w:pPr>
        <w:spacing w:before="0" w:after="120" w:line="360" w:lineRule="auto"/>
        <w:jc w:val="both"/>
      </w:pPr>
      <w:r>
        <w:rPr>
          <w:sz w:val="24"/>
        </w:rPr>
        <w:t>Vingt-trois services composent la plateforme : vingt-deux fonctionnent en continu et un (l'amorçage du magasin de profils) s'exécute une fois au démarrage (tableau III.43).</w:t>
      </w:r>
    </w:p>
    <w:p>
      <w:pPr>
        <w:pStyle w:val="Légendetableau"/>
        <w:keepNext/>
        <w:spacing w:before="200" w:after="80"/>
        <w:jc w:val="center"/>
      </w:pPr>
      <w:r>
        <w:rPr>
          <w:b/>
          <w:sz w:val="20"/>
        </w:rPr>
        <w:t>Tableau III.43 — Services déployés.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3502"/>
        <w:gridCol w:w="2970"/>
        <w:gridCol w:w="2083"/>
        <w:gridCol w:w="833"/>
      </w:tblGrid>
      <w:tr>
        <w:trPr>
          <w:tblHeader w:val="true"/>
        </w:trPr>
        <w:tc>
          <w:tcPr>
            <w:tcW w:type="dxa" w:w="3502"/>
            <w:shd w:val="clear" w:color="auto" w:fill="D9E2F3"/>
          </w:tcPr>
          <w:p>
            <w:pPr>
              <w:spacing w:after="20" w:before="20" w:line="240" w:lineRule="auto"/>
              <w:jc w:val="left"/>
            </w:pPr>
            <w:r/>
            <w:r>
              <w:rPr>
                <w:b/>
                <w:sz w:val="18"/>
              </w:rPr>
              <w:t>Service</w:t>
            </w:r>
          </w:p>
        </w:tc>
        <w:tc>
          <w:tcPr>
            <w:tcW w:type="dxa" w:w="2970"/>
            <w:shd w:val="clear" w:color="auto" w:fill="D9E2F3"/>
          </w:tcPr>
          <w:p>
            <w:pPr>
              <w:spacing w:after="20" w:before="20" w:line="240" w:lineRule="auto"/>
              <w:jc w:val="left"/>
            </w:pPr>
            <w:r/>
            <w:r>
              <w:rPr>
                <w:b/>
                <w:sz w:val="18"/>
              </w:rPr>
              <w:t>Rôle</w:t>
            </w:r>
          </w:p>
        </w:tc>
        <w:tc>
          <w:tcPr>
            <w:tcW w:type="dxa" w:w="2083"/>
            <w:shd w:val="clear" w:color="auto" w:fill="D9E2F3"/>
          </w:tcPr>
          <w:p>
            <w:pPr>
              <w:spacing w:after="20" w:before="20" w:line="240" w:lineRule="auto"/>
              <w:jc w:val="left"/>
            </w:pPr>
            <w:r/>
            <w:r>
              <w:rPr>
                <w:b/>
                <w:sz w:val="18"/>
              </w:rPr>
              <w:t>Image</w:t>
            </w:r>
          </w:p>
        </w:tc>
        <w:tc>
          <w:tcPr>
            <w:tcW w:type="dxa" w:w="833"/>
            <w:shd w:val="clear" w:color="auto" w:fill="D9E2F3"/>
          </w:tcPr>
          <w:p>
            <w:pPr>
              <w:spacing w:after="20" w:before="20" w:line="240" w:lineRule="auto"/>
              <w:jc w:val="left"/>
            </w:pPr>
            <w:r/>
            <w:r>
              <w:rPr>
                <w:b/>
                <w:sz w:val="18"/>
              </w:rPr>
              <w:t>Port publié</w:t>
            </w:r>
          </w:p>
        </w:tc>
      </w:tr>
      <w:tr>
        <w:trPr>
          <w:cantSplit w:val="true"/>
        </w:trPr>
        <w:tc>
          <w:tcPr>
            <w:tcW w:type="dxa" w:w="3502"/>
          </w:tcPr>
          <w:p>
            <w:pPr>
              <w:spacing w:after="20" w:before="20" w:line="240" w:lineRule="auto"/>
              <w:jc w:val="left"/>
            </w:pPr>
            <w:r/>
            <w:r>
              <w:rPr>
                <w:rFonts w:ascii="Courier New" w:hAnsi="Courier New"/>
                <w:b w:val="0"/>
                <w:sz w:val="14"/>
              </w:rPr>
              <w:t>postgres</w:t>
            </w:r>
          </w:p>
        </w:tc>
        <w:tc>
          <w:tcPr>
            <w:tcW w:type="dxa" w:w="2970"/>
          </w:tcPr>
          <w:p>
            <w:pPr>
              <w:spacing w:after="20" w:before="20" w:line="240" w:lineRule="auto"/>
              <w:jc w:val="left"/>
            </w:pPr>
            <w:r/>
            <w:r>
              <w:rPr>
                <w:sz w:val="18"/>
              </w:rPr>
              <w:t>base relationnelle et temporelle</w:t>
            </w:r>
          </w:p>
        </w:tc>
        <w:tc>
          <w:tcPr>
            <w:tcW w:type="dxa" w:w="2083"/>
          </w:tcPr>
          <w:p>
            <w:pPr>
              <w:spacing w:after="20" w:before="20" w:line="240" w:lineRule="auto"/>
              <w:jc w:val="left"/>
            </w:pPr>
            <w:r/>
            <w:r>
              <w:rPr>
                <w:sz w:val="18"/>
              </w:rPr>
              <w:t>TimescaleDB 2.14 (PostgreSQL 16)</w:t>
            </w:r>
          </w:p>
        </w:tc>
        <w:tc>
          <w:tcPr>
            <w:tcW w:type="dxa" w:w="833"/>
          </w:tcPr>
          <w:p>
            <w:pPr>
              <w:spacing w:after="20" w:before="20" w:line="240" w:lineRule="auto"/>
              <w:jc w:val="left"/>
            </w:pPr>
            <w:r/>
            <w:r>
              <w:rPr>
                <w:sz w:val="18"/>
              </w:rPr>
              <w:t>5432</w:t>
            </w:r>
          </w:p>
        </w:tc>
      </w:tr>
      <w:tr>
        <w:trPr>
          <w:cantSplit w:val="true"/>
        </w:trPr>
        <w:tc>
          <w:tcPr>
            <w:tcW w:type="dxa" w:w="3502"/>
          </w:tcPr>
          <w:p>
            <w:pPr>
              <w:spacing w:after="20" w:before="20" w:line="240" w:lineRule="auto"/>
              <w:jc w:val="left"/>
            </w:pPr>
            <w:r/>
            <w:r>
              <w:rPr>
                <w:rFonts w:ascii="Courier New" w:hAnsi="Courier New"/>
                <w:b w:val="0"/>
                <w:sz w:val="14"/>
              </w:rPr>
              <w:t>redis</w:t>
            </w:r>
          </w:p>
        </w:tc>
        <w:tc>
          <w:tcPr>
            <w:tcW w:type="dxa" w:w="2970"/>
          </w:tcPr>
          <w:p>
            <w:pPr>
              <w:spacing w:after="20" w:before="20" w:line="240" w:lineRule="auto"/>
              <w:jc w:val="left"/>
            </w:pPr>
            <w:r/>
            <w:r>
              <w:rPr>
                <w:sz w:val="18"/>
              </w:rPr>
              <w:t>magasin de profils, idempotence, politique de coût</w:t>
            </w:r>
          </w:p>
        </w:tc>
        <w:tc>
          <w:tcPr>
            <w:tcW w:type="dxa" w:w="2083"/>
          </w:tcPr>
          <w:p>
            <w:pPr>
              <w:spacing w:after="20" w:before="20" w:line="240" w:lineRule="auto"/>
              <w:jc w:val="left"/>
            </w:pPr>
            <w:r/>
            <w:r>
              <w:rPr>
                <w:sz w:val="18"/>
              </w:rPr>
              <w:t>Redis 7.2</w:t>
            </w:r>
          </w:p>
        </w:tc>
        <w:tc>
          <w:tcPr>
            <w:tcW w:type="dxa" w:w="833"/>
          </w:tcPr>
          <w:p>
            <w:pPr>
              <w:spacing w:after="20" w:before="20" w:line="240" w:lineRule="auto"/>
              <w:jc w:val="left"/>
            </w:pPr>
            <w:r/>
            <w:r>
              <w:rPr>
                <w:sz w:val="18"/>
              </w:rPr>
              <w:t>6379</w:t>
            </w:r>
          </w:p>
        </w:tc>
      </w:tr>
      <w:tr>
        <w:trPr>
          <w:cantSplit w:val="true"/>
        </w:trPr>
        <w:tc>
          <w:tcPr>
            <w:tcW w:type="dxa" w:w="3502"/>
          </w:tcPr>
          <w:p>
            <w:pPr>
              <w:spacing w:after="20" w:before="20" w:line="240" w:lineRule="auto"/>
              <w:jc w:val="left"/>
            </w:pPr>
            <w:r/>
            <w:r>
              <w:rPr>
                <w:rFonts w:ascii="Courier New" w:hAnsi="Courier New"/>
                <w:b w:val="0"/>
                <w:sz w:val="14"/>
              </w:rPr>
              <w:t>redpanda</w:t>
            </w:r>
          </w:p>
        </w:tc>
        <w:tc>
          <w:tcPr>
            <w:tcW w:type="dxa" w:w="2970"/>
          </w:tcPr>
          <w:p>
            <w:pPr>
              <w:spacing w:after="20" w:before="20" w:line="240" w:lineRule="auto"/>
              <w:jc w:val="left"/>
            </w:pPr>
            <w:r/>
            <w:r>
              <w:rPr>
                <w:sz w:val="18"/>
              </w:rPr>
              <w:t>bus d'événements Kafka</w:t>
            </w:r>
          </w:p>
        </w:tc>
        <w:tc>
          <w:tcPr>
            <w:tcW w:type="dxa" w:w="2083"/>
          </w:tcPr>
          <w:p>
            <w:pPr>
              <w:spacing w:after="20" w:before="20" w:line="240" w:lineRule="auto"/>
              <w:jc w:val="left"/>
            </w:pPr>
            <w:r/>
            <w:r>
              <w:rPr>
                <w:sz w:val="18"/>
              </w:rPr>
              <w:t>Redpanda 24.1</w:t>
            </w:r>
          </w:p>
        </w:tc>
        <w:tc>
          <w:tcPr>
            <w:tcW w:type="dxa" w:w="833"/>
          </w:tcPr>
          <w:p>
            <w:pPr>
              <w:spacing w:after="20" w:before="20" w:line="240" w:lineRule="auto"/>
              <w:jc w:val="left"/>
            </w:pPr>
            <w:r/>
            <w:r>
              <w:rPr>
                <w:sz w:val="18"/>
              </w:rPr>
              <w:t>19092</w:t>
            </w:r>
          </w:p>
        </w:tc>
      </w:tr>
      <w:tr>
        <w:trPr>
          <w:cantSplit w:val="true"/>
        </w:trPr>
        <w:tc>
          <w:tcPr>
            <w:tcW w:type="dxa" w:w="3502"/>
          </w:tcPr>
          <w:p>
            <w:pPr>
              <w:spacing w:after="20" w:before="20" w:line="240" w:lineRule="auto"/>
              <w:jc w:val="left"/>
            </w:pPr>
            <w:r/>
            <w:r>
              <w:rPr>
                <w:rFonts w:ascii="Courier New" w:hAnsi="Courier New"/>
                <w:b w:val="0"/>
                <w:sz w:val="14"/>
              </w:rPr>
              <w:t>redpanda-console</w:t>
            </w:r>
          </w:p>
        </w:tc>
        <w:tc>
          <w:tcPr>
            <w:tcW w:type="dxa" w:w="2970"/>
          </w:tcPr>
          <w:p>
            <w:pPr>
              <w:spacing w:after="20" w:before="20" w:line="240" w:lineRule="auto"/>
              <w:jc w:val="left"/>
            </w:pPr>
            <w:r/>
            <w:r>
              <w:rPr>
                <w:sz w:val="18"/>
              </w:rPr>
              <w:t>console du bus</w:t>
            </w:r>
          </w:p>
        </w:tc>
        <w:tc>
          <w:tcPr>
            <w:tcW w:type="dxa" w:w="2083"/>
          </w:tcPr>
          <w:p>
            <w:pPr>
              <w:spacing w:after="20" w:before="20" w:line="240" w:lineRule="auto"/>
              <w:jc w:val="left"/>
            </w:pPr>
            <w:r/>
            <w:r>
              <w:rPr>
                <w:sz w:val="18"/>
              </w:rPr>
              <w:t>Redpanda Console 2.6</w:t>
            </w:r>
          </w:p>
        </w:tc>
        <w:tc>
          <w:tcPr>
            <w:tcW w:type="dxa" w:w="833"/>
          </w:tcPr>
          <w:p>
            <w:pPr>
              <w:spacing w:after="20" w:before="20" w:line="240" w:lineRule="auto"/>
              <w:jc w:val="left"/>
            </w:pPr>
            <w:r/>
            <w:r>
              <w:rPr>
                <w:sz w:val="18"/>
              </w:rPr>
              <w:t>8088</w:t>
            </w:r>
          </w:p>
        </w:tc>
      </w:tr>
      <w:tr>
        <w:trPr>
          <w:cantSplit w:val="true"/>
        </w:trPr>
        <w:tc>
          <w:tcPr>
            <w:tcW w:type="dxa" w:w="3502"/>
          </w:tcPr>
          <w:p>
            <w:pPr>
              <w:spacing w:after="20" w:before="20" w:line="240" w:lineRule="auto"/>
              <w:jc w:val="left"/>
            </w:pPr>
            <w:r/>
            <w:r>
              <w:rPr>
                <w:rFonts w:ascii="Courier New" w:hAnsi="Courier New"/>
                <w:b w:val="0"/>
                <w:sz w:val="14"/>
              </w:rPr>
              <w:t>feature-store-seeder</w:t>
            </w:r>
          </w:p>
        </w:tc>
        <w:tc>
          <w:tcPr>
            <w:tcW w:type="dxa" w:w="2970"/>
          </w:tcPr>
          <w:p>
            <w:pPr>
              <w:spacing w:after="20" w:before="20" w:line="240" w:lineRule="auto"/>
              <w:jc w:val="left"/>
            </w:pPr>
            <w:r/>
            <w:r>
              <w:rPr>
                <w:sz w:val="18"/>
              </w:rPr>
              <w:t>amorçage des profils (exécution unique)</w:t>
            </w:r>
          </w:p>
        </w:tc>
        <w:tc>
          <w:tcPr>
            <w:tcW w:type="dxa" w:w="2083"/>
          </w:tcPr>
          <w:p>
            <w:pPr>
              <w:spacing w:after="20" w:before="20" w:line="240" w:lineRule="auto"/>
              <w:jc w:val="left"/>
            </w:pPr>
            <w:r/>
            <w:r>
              <w:rPr>
                <w:sz w:val="18"/>
              </w:rPr>
              <w:t>image de notation</w:t>
            </w:r>
          </w:p>
        </w:tc>
        <w:tc>
          <w:tcPr>
            <w:tcW w:type="dxa" w:w="833"/>
          </w:tcPr>
          <w:p>
            <w:pPr>
              <w:spacing w:after="20" w:before="20" w:line="240" w:lineRule="auto"/>
              <w:jc w:val="left"/>
            </w:pPr>
            <w:r/>
            <w:r>
              <w:rPr>
                <w:sz w:val="18"/>
              </w:rPr>
              <w:t>—</w:t>
            </w:r>
          </w:p>
        </w:tc>
      </w:tr>
      <w:tr>
        <w:trPr>
          <w:cantSplit w:val="true"/>
        </w:trPr>
        <w:tc>
          <w:tcPr>
            <w:tcW w:type="dxa" w:w="3502"/>
          </w:tcPr>
          <w:p>
            <w:pPr>
              <w:spacing w:after="20" w:before="20" w:line="240" w:lineRule="auto"/>
              <w:jc w:val="left"/>
            </w:pPr>
            <w:r/>
            <w:r>
              <w:rPr>
                <w:rFonts w:ascii="Courier New" w:hAnsi="Courier New"/>
                <w:b w:val="0"/>
                <w:sz w:val="14"/>
              </w:rPr>
              <w:t>scoring-service</w:t>
            </w:r>
          </w:p>
        </w:tc>
        <w:tc>
          <w:tcPr>
            <w:tcW w:type="dxa" w:w="2970"/>
          </w:tcPr>
          <w:p>
            <w:pPr>
              <w:spacing w:after="20" w:before="20" w:line="240" w:lineRule="auto"/>
              <w:jc w:val="left"/>
            </w:pPr>
            <w:r/>
            <w:r>
              <w:rPr>
                <w:sz w:val="18"/>
              </w:rPr>
              <w:t>décision en temps réel</w:t>
            </w:r>
          </w:p>
        </w:tc>
        <w:tc>
          <w:tcPr>
            <w:tcW w:type="dxa" w:w="2083"/>
          </w:tcPr>
          <w:p>
            <w:pPr>
              <w:spacing w:after="20" w:before="20" w:line="240" w:lineRule="auto"/>
              <w:jc w:val="left"/>
            </w:pPr>
            <w:r/>
            <w:r>
              <w:rPr>
                <w:sz w:val="18"/>
              </w:rPr>
              <w:t>image de notation</w:t>
            </w:r>
          </w:p>
        </w:tc>
        <w:tc>
          <w:tcPr>
            <w:tcW w:type="dxa" w:w="833"/>
          </w:tcPr>
          <w:p>
            <w:pPr>
              <w:spacing w:after="20" w:before="20" w:line="240" w:lineRule="auto"/>
              <w:jc w:val="left"/>
            </w:pPr>
            <w:r/>
            <w:r>
              <w:rPr>
                <w:sz w:val="18"/>
              </w:rPr>
              <w:t>8001</w:t>
            </w:r>
          </w:p>
        </w:tc>
      </w:tr>
      <w:tr>
        <w:trPr>
          <w:cantSplit w:val="true"/>
        </w:trPr>
        <w:tc>
          <w:tcPr>
            <w:tcW w:type="dxa" w:w="3502"/>
          </w:tcPr>
          <w:p>
            <w:pPr>
              <w:spacing w:after="20" w:before="20" w:line="240" w:lineRule="auto"/>
              <w:jc w:val="left"/>
            </w:pPr>
            <w:r/>
            <w:r>
              <w:rPr>
                <w:rFonts w:ascii="Courier New" w:hAnsi="Courier New"/>
                <w:b w:val="0"/>
                <w:sz w:val="14"/>
              </w:rPr>
              <w:t>integration-layer</w:t>
            </w:r>
          </w:p>
        </w:tc>
        <w:tc>
          <w:tcPr>
            <w:tcW w:type="dxa" w:w="2970"/>
          </w:tcPr>
          <w:p>
            <w:pPr>
              <w:spacing w:after="20" w:before="20" w:line="240" w:lineRule="auto"/>
              <w:jc w:val="left"/>
            </w:pPr>
            <w:r/>
            <w:r>
              <w:rPr>
                <w:sz w:val="18"/>
              </w:rPr>
              <w:t>API publique des institutions</w:t>
            </w:r>
          </w:p>
        </w:tc>
        <w:tc>
          <w:tcPr>
            <w:tcW w:type="dxa" w:w="2083"/>
          </w:tcPr>
          <w:p>
            <w:pPr>
              <w:spacing w:after="20" w:before="20" w:line="240" w:lineRule="auto"/>
              <w:jc w:val="left"/>
            </w:pPr>
            <w:r/>
            <w:r>
              <w:rPr>
                <w:sz w:val="18"/>
              </w:rPr>
              <w:t>image d'intégration</w:t>
            </w:r>
          </w:p>
        </w:tc>
        <w:tc>
          <w:tcPr>
            <w:tcW w:type="dxa" w:w="833"/>
          </w:tcPr>
          <w:p>
            <w:pPr>
              <w:spacing w:after="20" w:before="20" w:line="240" w:lineRule="auto"/>
              <w:jc w:val="left"/>
            </w:pPr>
            <w:r/>
            <w:r>
              <w:rPr>
                <w:sz w:val="18"/>
              </w:rPr>
              <w:t>8002</w:t>
            </w:r>
          </w:p>
        </w:tc>
      </w:tr>
      <w:tr>
        <w:trPr>
          <w:cantSplit w:val="true"/>
        </w:trPr>
        <w:tc>
          <w:tcPr>
            <w:tcW w:type="dxa" w:w="3502"/>
          </w:tcPr>
          <w:p>
            <w:pPr>
              <w:spacing w:after="20" w:before="20" w:line="240" w:lineRule="auto"/>
              <w:jc w:val="left"/>
            </w:pPr>
            <w:r/>
            <w:r>
              <w:rPr>
                <w:rFonts w:ascii="Courier New" w:hAnsi="Courier New"/>
                <w:b w:val="0"/>
                <w:sz w:val="14"/>
              </w:rPr>
              <w:t>backoffice-api</w:t>
            </w:r>
          </w:p>
        </w:tc>
        <w:tc>
          <w:tcPr>
            <w:tcW w:type="dxa" w:w="2970"/>
          </w:tcPr>
          <w:p>
            <w:pPr>
              <w:spacing w:after="20" w:before="20" w:line="240" w:lineRule="auto"/>
              <w:jc w:val="left"/>
            </w:pPr>
            <w:r/>
            <w:r>
              <w:rPr>
                <w:sz w:val="18"/>
              </w:rPr>
              <w:t>API interne et migrations</w:t>
            </w:r>
          </w:p>
        </w:tc>
        <w:tc>
          <w:tcPr>
            <w:tcW w:type="dxa" w:w="2083"/>
          </w:tcPr>
          <w:p>
            <w:pPr>
              <w:spacing w:after="20" w:before="20" w:line="240" w:lineRule="auto"/>
              <w:jc w:val="left"/>
            </w:pPr>
            <w:r/>
            <w:r>
              <w:rPr>
                <w:sz w:val="18"/>
              </w:rPr>
              <w:t>image de back-office</w:t>
            </w:r>
          </w:p>
        </w:tc>
        <w:tc>
          <w:tcPr>
            <w:tcW w:type="dxa" w:w="833"/>
          </w:tcPr>
          <w:p>
            <w:pPr>
              <w:spacing w:after="20" w:before="20" w:line="240" w:lineRule="auto"/>
              <w:jc w:val="left"/>
            </w:pPr>
            <w:r/>
            <w:r>
              <w:rPr>
                <w:sz w:val="18"/>
              </w:rPr>
              <w:t>8003</w:t>
            </w:r>
          </w:p>
        </w:tc>
      </w:tr>
      <w:tr>
        <w:trPr>
          <w:cantSplit w:val="true"/>
        </w:trPr>
        <w:tc>
          <w:tcPr>
            <w:tcW w:type="dxa" w:w="3502"/>
          </w:tcPr>
          <w:p>
            <w:pPr>
              <w:spacing w:after="20" w:before="20" w:line="240" w:lineRule="auto"/>
              <w:jc w:val="left"/>
            </w:pPr>
            <w:r/>
            <w:r>
              <w:rPr>
                <w:rFonts w:ascii="Courier New" w:hAnsi="Courier New"/>
                <w:b w:val="0"/>
                <w:sz w:val="14"/>
              </w:rPr>
              <w:t>worker-persister</w:t>
            </w:r>
          </w:p>
        </w:tc>
        <w:tc>
          <w:tcPr>
            <w:tcW w:type="dxa" w:w="2970"/>
          </w:tcPr>
          <w:p>
            <w:pPr>
              <w:spacing w:after="20" w:before="20" w:line="240" w:lineRule="auto"/>
              <w:jc w:val="left"/>
            </w:pPr>
            <w:r/>
            <w:r>
              <w:rPr>
                <w:sz w:val="18"/>
              </w:rPr>
              <w:t>enregistrement des opérations</w:t>
            </w:r>
          </w:p>
        </w:tc>
        <w:tc>
          <w:tcPr>
            <w:tcW w:type="dxa" w:w="2083"/>
          </w:tcPr>
          <w:p>
            <w:pPr>
              <w:spacing w:after="20" w:before="20" w:line="240" w:lineRule="auto"/>
              <w:jc w:val="left"/>
            </w:pPr>
            <w:r/>
            <w:r>
              <w:rPr>
                <w:sz w:val="18"/>
              </w:rPr>
              <w:t>image des workers</w:t>
            </w:r>
          </w:p>
        </w:tc>
        <w:tc>
          <w:tcPr>
            <w:tcW w:type="dxa" w:w="833"/>
          </w:tcPr>
          <w:p>
            <w:pPr>
              <w:spacing w:after="20" w:before="20" w:line="240" w:lineRule="auto"/>
              <w:jc w:val="left"/>
            </w:pPr>
            <w:r/>
            <w:r>
              <w:rPr>
                <w:sz w:val="18"/>
              </w:rPr>
              <w:t>—</w:t>
            </w:r>
          </w:p>
        </w:tc>
      </w:tr>
      <w:tr>
        <w:trPr>
          <w:cantSplit w:val="true"/>
        </w:trPr>
        <w:tc>
          <w:tcPr>
            <w:tcW w:type="dxa" w:w="3502"/>
          </w:tcPr>
          <w:p>
            <w:pPr>
              <w:spacing w:after="20" w:before="20" w:line="240" w:lineRule="auto"/>
              <w:jc w:val="left"/>
            </w:pPr>
            <w:r/>
            <w:r>
              <w:rPr>
                <w:rFonts w:ascii="Courier New" w:hAnsi="Courier New"/>
                <w:b w:val="0"/>
                <w:sz w:val="14"/>
              </w:rPr>
              <w:t>worker-alerter</w:t>
            </w:r>
          </w:p>
        </w:tc>
        <w:tc>
          <w:tcPr>
            <w:tcW w:type="dxa" w:w="2970"/>
          </w:tcPr>
          <w:p>
            <w:pPr>
              <w:spacing w:after="20" w:before="20" w:line="240" w:lineRule="auto"/>
              <w:jc w:val="left"/>
            </w:pPr>
            <w:r/>
            <w:r>
              <w:rPr>
                <w:sz w:val="18"/>
              </w:rPr>
              <w:t>dossiers et notifications</w:t>
            </w:r>
          </w:p>
        </w:tc>
        <w:tc>
          <w:tcPr>
            <w:tcW w:type="dxa" w:w="2083"/>
          </w:tcPr>
          <w:p>
            <w:pPr>
              <w:spacing w:after="20" w:before="20" w:line="240" w:lineRule="auto"/>
              <w:jc w:val="left"/>
            </w:pPr>
            <w:r/>
            <w:r>
              <w:rPr>
                <w:sz w:val="18"/>
              </w:rPr>
              <w:t>image des workers</w:t>
            </w:r>
          </w:p>
        </w:tc>
        <w:tc>
          <w:tcPr>
            <w:tcW w:type="dxa" w:w="833"/>
          </w:tcPr>
          <w:p>
            <w:pPr>
              <w:spacing w:after="20" w:before="20" w:line="240" w:lineRule="auto"/>
              <w:jc w:val="left"/>
            </w:pPr>
            <w:r/>
            <w:r>
              <w:rPr>
                <w:sz w:val="18"/>
              </w:rPr>
              <w:t>—</w:t>
            </w:r>
          </w:p>
        </w:tc>
      </w:tr>
      <w:tr>
        <w:trPr>
          <w:cantSplit w:val="true"/>
        </w:trPr>
        <w:tc>
          <w:tcPr>
            <w:tcW w:type="dxa" w:w="3502"/>
          </w:tcPr>
          <w:p>
            <w:pPr>
              <w:spacing w:after="20" w:before="20" w:line="240" w:lineRule="auto"/>
              <w:jc w:val="left"/>
            </w:pPr>
            <w:r/>
            <w:r>
              <w:rPr>
                <w:rFonts w:ascii="Courier New" w:hAnsi="Courier New"/>
                <w:b w:val="0"/>
                <w:sz w:val="14"/>
              </w:rPr>
              <w:t>worker-auditor</w:t>
            </w:r>
          </w:p>
        </w:tc>
        <w:tc>
          <w:tcPr>
            <w:tcW w:type="dxa" w:w="2970"/>
          </w:tcPr>
          <w:p>
            <w:pPr>
              <w:spacing w:after="20" w:before="20" w:line="240" w:lineRule="auto"/>
              <w:jc w:val="left"/>
            </w:pPr>
            <w:r/>
            <w:r>
              <w:rPr>
                <w:sz w:val="18"/>
              </w:rPr>
              <w:t>journal d'audit</w:t>
            </w:r>
          </w:p>
        </w:tc>
        <w:tc>
          <w:tcPr>
            <w:tcW w:type="dxa" w:w="2083"/>
          </w:tcPr>
          <w:p>
            <w:pPr>
              <w:spacing w:after="20" w:before="20" w:line="240" w:lineRule="auto"/>
              <w:jc w:val="left"/>
            </w:pPr>
            <w:r/>
            <w:r>
              <w:rPr>
                <w:sz w:val="18"/>
              </w:rPr>
              <w:t>image des workers</w:t>
            </w:r>
          </w:p>
        </w:tc>
        <w:tc>
          <w:tcPr>
            <w:tcW w:type="dxa" w:w="833"/>
          </w:tcPr>
          <w:p>
            <w:pPr>
              <w:spacing w:after="20" w:before="20" w:line="240" w:lineRule="auto"/>
              <w:jc w:val="left"/>
            </w:pPr>
            <w:r/>
            <w:r>
              <w:rPr>
                <w:sz w:val="18"/>
              </w:rPr>
              <w:t>—</w:t>
            </w:r>
          </w:p>
        </w:tc>
      </w:tr>
      <w:tr>
        <w:trPr>
          <w:cantSplit w:val="true"/>
        </w:trPr>
        <w:tc>
          <w:tcPr>
            <w:tcW w:type="dxa" w:w="3502"/>
          </w:tcPr>
          <w:p>
            <w:pPr>
              <w:spacing w:after="20" w:before="20" w:line="240" w:lineRule="auto"/>
              <w:jc w:val="left"/>
            </w:pPr>
            <w:r/>
            <w:r>
              <w:rPr>
                <w:rFonts w:ascii="Courier New" w:hAnsi="Courier New"/>
                <w:b w:val="0"/>
                <w:sz w:val="14"/>
              </w:rPr>
              <w:t>frontend</w:t>
            </w:r>
          </w:p>
        </w:tc>
        <w:tc>
          <w:tcPr>
            <w:tcW w:type="dxa" w:w="2970"/>
          </w:tcPr>
          <w:p>
            <w:pPr>
              <w:spacing w:after="20" w:before="20" w:line="240" w:lineRule="auto"/>
              <w:jc w:val="left"/>
            </w:pPr>
            <w:r/>
            <w:r>
              <w:rPr>
                <w:sz w:val="18"/>
              </w:rPr>
              <w:t>tableau de bord</w:t>
            </w:r>
          </w:p>
        </w:tc>
        <w:tc>
          <w:tcPr>
            <w:tcW w:type="dxa" w:w="2083"/>
          </w:tcPr>
          <w:p>
            <w:pPr>
              <w:spacing w:after="20" w:before="20" w:line="240" w:lineRule="auto"/>
              <w:jc w:val="left"/>
            </w:pPr>
            <w:r/>
            <w:r>
              <w:rPr>
                <w:sz w:val="18"/>
              </w:rPr>
              <w:t>image du front</w:t>
            </w:r>
          </w:p>
        </w:tc>
        <w:tc>
          <w:tcPr>
            <w:tcW w:type="dxa" w:w="833"/>
          </w:tcPr>
          <w:p>
            <w:pPr>
              <w:spacing w:after="20" w:before="20" w:line="240" w:lineRule="auto"/>
              <w:jc w:val="left"/>
            </w:pPr>
            <w:r/>
            <w:r>
              <w:rPr>
                <w:sz w:val="18"/>
              </w:rPr>
              <w:t>—</w:t>
            </w:r>
          </w:p>
        </w:tc>
      </w:tr>
      <w:tr>
        <w:trPr>
          <w:cantSplit w:val="true"/>
        </w:trPr>
        <w:tc>
          <w:tcPr>
            <w:tcW w:type="dxa" w:w="3502"/>
          </w:tcPr>
          <w:p>
            <w:pPr>
              <w:spacing w:after="20" w:before="20" w:line="240" w:lineRule="auto"/>
              <w:jc w:val="left"/>
            </w:pPr>
            <w:r/>
            <w:r>
              <w:rPr>
                <w:rFonts w:ascii="Courier New" w:hAnsi="Courier New"/>
                <w:b w:val="0"/>
                <w:sz w:val="14"/>
              </w:rPr>
              <w:t>nginx</w:t>
            </w:r>
          </w:p>
        </w:tc>
        <w:tc>
          <w:tcPr>
            <w:tcW w:type="dxa" w:w="2970"/>
          </w:tcPr>
          <w:p>
            <w:pPr>
              <w:spacing w:after="20" w:before="20" w:line="240" w:lineRule="auto"/>
              <w:jc w:val="left"/>
            </w:pPr>
            <w:r/>
            <w:r>
              <w:rPr>
                <w:sz w:val="18"/>
              </w:rPr>
              <w:t>point d'entrée unique</w:t>
            </w:r>
          </w:p>
        </w:tc>
        <w:tc>
          <w:tcPr>
            <w:tcW w:type="dxa" w:w="2083"/>
          </w:tcPr>
          <w:p>
            <w:pPr>
              <w:spacing w:after="20" w:before="20" w:line="240" w:lineRule="auto"/>
              <w:jc w:val="left"/>
            </w:pPr>
            <w:r/>
            <w:r>
              <w:rPr>
                <w:sz w:val="18"/>
              </w:rPr>
              <w:t>Nginx 1.27</w:t>
            </w:r>
          </w:p>
        </w:tc>
        <w:tc>
          <w:tcPr>
            <w:tcW w:type="dxa" w:w="833"/>
          </w:tcPr>
          <w:p>
            <w:pPr>
              <w:spacing w:after="20" w:before="20" w:line="240" w:lineRule="auto"/>
              <w:jc w:val="left"/>
            </w:pPr>
            <w:r/>
            <w:r>
              <w:rPr>
                <w:sz w:val="18"/>
              </w:rPr>
              <w:t>80</w:t>
            </w:r>
          </w:p>
        </w:tc>
      </w:tr>
      <w:tr>
        <w:trPr>
          <w:cantSplit w:val="true"/>
        </w:trPr>
        <w:tc>
          <w:tcPr>
            <w:tcW w:type="dxa" w:w="3502"/>
          </w:tcPr>
          <w:p>
            <w:pPr>
              <w:spacing w:after="20" w:before="20" w:line="240" w:lineRule="auto"/>
              <w:jc w:val="left"/>
            </w:pPr>
            <w:r/>
            <w:r>
              <w:rPr>
                <w:rFonts w:ascii="Courier New" w:hAnsi="Courier New"/>
                <w:b w:val="0"/>
                <w:sz w:val="14"/>
              </w:rPr>
              <w:t>drift-monitor</w:t>
            </w:r>
          </w:p>
        </w:tc>
        <w:tc>
          <w:tcPr>
            <w:tcW w:type="dxa" w:w="2970"/>
          </w:tcPr>
          <w:p>
            <w:pPr>
              <w:spacing w:after="20" w:before="20" w:line="240" w:lineRule="auto"/>
              <w:jc w:val="left"/>
            </w:pPr>
            <w:r/>
            <w:r>
              <w:rPr>
                <w:sz w:val="18"/>
              </w:rPr>
              <w:t>surveillance de la dérive</w:t>
            </w:r>
          </w:p>
        </w:tc>
        <w:tc>
          <w:tcPr>
            <w:tcW w:type="dxa" w:w="2083"/>
          </w:tcPr>
          <w:p>
            <w:pPr>
              <w:spacing w:after="20" w:before="20" w:line="240" w:lineRule="auto"/>
              <w:jc w:val="left"/>
            </w:pPr>
            <w:r/>
            <w:r>
              <w:rPr>
                <w:sz w:val="18"/>
              </w:rPr>
              <w:t>image d'apprentissage</w:t>
            </w:r>
          </w:p>
        </w:tc>
        <w:tc>
          <w:tcPr>
            <w:tcW w:type="dxa" w:w="833"/>
          </w:tcPr>
          <w:p>
            <w:pPr>
              <w:spacing w:after="20" w:before="20" w:line="240" w:lineRule="auto"/>
              <w:jc w:val="left"/>
            </w:pPr>
            <w:r/>
            <w:r>
              <w:rPr>
                <w:sz w:val="18"/>
              </w:rPr>
              <w:t>—</w:t>
            </w:r>
          </w:p>
        </w:tc>
      </w:tr>
      <w:tr>
        <w:trPr>
          <w:cantSplit w:val="true"/>
        </w:trPr>
        <w:tc>
          <w:tcPr>
            <w:tcW w:type="dxa" w:w="3502"/>
          </w:tcPr>
          <w:p>
            <w:pPr>
              <w:spacing w:after="20" w:before="20" w:line="240" w:lineRule="auto"/>
              <w:jc w:val="left"/>
            </w:pPr>
            <w:r/>
            <w:r>
              <w:rPr>
                <w:rFonts w:ascii="Courier New" w:hAnsi="Courier New"/>
                <w:b w:val="0"/>
                <w:sz w:val="14"/>
              </w:rPr>
              <w:t>retrainer</w:t>
            </w:r>
          </w:p>
        </w:tc>
        <w:tc>
          <w:tcPr>
            <w:tcW w:type="dxa" w:w="2970"/>
          </w:tcPr>
          <w:p>
            <w:pPr>
              <w:spacing w:after="20" w:before="20" w:line="240" w:lineRule="auto"/>
              <w:jc w:val="left"/>
            </w:pPr>
            <w:r/>
            <w:r>
              <w:rPr>
                <w:sz w:val="18"/>
              </w:rPr>
              <w:t>réentraînement automatique</w:t>
            </w:r>
          </w:p>
        </w:tc>
        <w:tc>
          <w:tcPr>
            <w:tcW w:type="dxa" w:w="2083"/>
          </w:tcPr>
          <w:p>
            <w:pPr>
              <w:spacing w:after="20" w:before="20" w:line="240" w:lineRule="auto"/>
              <w:jc w:val="left"/>
            </w:pPr>
            <w:r/>
            <w:r>
              <w:rPr>
                <w:sz w:val="18"/>
              </w:rPr>
              <w:t>image d'apprentissage</w:t>
            </w:r>
          </w:p>
        </w:tc>
        <w:tc>
          <w:tcPr>
            <w:tcW w:type="dxa" w:w="833"/>
          </w:tcPr>
          <w:p>
            <w:pPr>
              <w:spacing w:after="20" w:before="20" w:line="240" w:lineRule="auto"/>
              <w:jc w:val="left"/>
            </w:pPr>
            <w:r/>
            <w:r>
              <w:rPr>
                <w:sz w:val="18"/>
              </w:rPr>
              <w:t>—</w:t>
            </w:r>
          </w:p>
        </w:tc>
      </w:tr>
      <w:tr>
        <w:trPr>
          <w:cantSplit w:val="true"/>
        </w:trPr>
        <w:tc>
          <w:tcPr>
            <w:tcW w:type="dxa" w:w="3502"/>
          </w:tcPr>
          <w:p>
            <w:pPr>
              <w:spacing w:after="20" w:before="20" w:line="240" w:lineRule="auto"/>
              <w:jc w:val="left"/>
            </w:pPr>
            <w:r/>
            <w:r>
              <w:rPr>
                <w:rFonts w:ascii="Courier New" w:hAnsi="Courier New"/>
                <w:b w:val="0"/>
                <w:sz w:val="14"/>
              </w:rPr>
              <w:t>mlflow</w:t>
            </w:r>
          </w:p>
        </w:tc>
        <w:tc>
          <w:tcPr>
            <w:tcW w:type="dxa" w:w="2970"/>
          </w:tcPr>
          <w:p>
            <w:pPr>
              <w:spacing w:after="20" w:before="20" w:line="240" w:lineRule="auto"/>
              <w:jc w:val="left"/>
            </w:pPr>
            <w:r/>
            <w:r>
              <w:rPr>
                <w:sz w:val="18"/>
              </w:rPr>
              <w:t>registre des modèles</w:t>
            </w:r>
          </w:p>
        </w:tc>
        <w:tc>
          <w:tcPr>
            <w:tcW w:type="dxa" w:w="2083"/>
          </w:tcPr>
          <w:p>
            <w:pPr>
              <w:spacing w:after="20" w:before="20" w:line="240" w:lineRule="auto"/>
              <w:jc w:val="left"/>
            </w:pPr>
            <w:r/>
            <w:r>
              <w:rPr>
                <w:sz w:val="18"/>
              </w:rPr>
              <w:t>MLflow 2.16</w:t>
            </w:r>
          </w:p>
        </w:tc>
        <w:tc>
          <w:tcPr>
            <w:tcW w:type="dxa" w:w="833"/>
          </w:tcPr>
          <w:p>
            <w:pPr>
              <w:spacing w:after="20" w:before="20" w:line="240" w:lineRule="auto"/>
              <w:jc w:val="left"/>
            </w:pPr>
            <w:r/>
            <w:r>
              <w:rPr>
                <w:sz w:val="18"/>
              </w:rPr>
              <w:t>5000</w:t>
            </w:r>
          </w:p>
        </w:tc>
      </w:tr>
      <w:tr>
        <w:trPr>
          <w:cantSplit w:val="true"/>
        </w:trPr>
        <w:tc>
          <w:tcPr>
            <w:tcW w:type="dxa" w:w="3502"/>
          </w:tcPr>
          <w:p>
            <w:pPr>
              <w:spacing w:after="20" w:before="20" w:line="240" w:lineRule="auto"/>
              <w:jc w:val="left"/>
            </w:pPr>
            <w:r/>
            <w:r>
              <w:rPr>
                <w:rFonts w:ascii="Courier New" w:hAnsi="Courier New"/>
                <w:b w:val="0"/>
                <w:sz w:val="14"/>
              </w:rPr>
              <w:t>prometheus</w:t>
            </w:r>
          </w:p>
        </w:tc>
        <w:tc>
          <w:tcPr>
            <w:tcW w:type="dxa" w:w="2970"/>
          </w:tcPr>
          <w:p>
            <w:pPr>
              <w:spacing w:after="20" w:before="20" w:line="240" w:lineRule="auto"/>
              <w:jc w:val="left"/>
            </w:pPr>
            <w:r/>
            <w:r>
              <w:rPr>
                <w:sz w:val="18"/>
              </w:rPr>
              <w:t>collecte des métriques</w:t>
            </w:r>
          </w:p>
        </w:tc>
        <w:tc>
          <w:tcPr>
            <w:tcW w:type="dxa" w:w="2083"/>
          </w:tcPr>
          <w:p>
            <w:pPr>
              <w:spacing w:after="20" w:before="20" w:line="240" w:lineRule="auto"/>
              <w:jc w:val="left"/>
            </w:pPr>
            <w:r/>
            <w:r>
              <w:rPr>
                <w:sz w:val="18"/>
              </w:rPr>
              <w:t>Prometheus 2.54</w:t>
            </w:r>
          </w:p>
        </w:tc>
        <w:tc>
          <w:tcPr>
            <w:tcW w:type="dxa" w:w="833"/>
          </w:tcPr>
          <w:p>
            <w:pPr>
              <w:spacing w:after="20" w:before="20" w:line="240" w:lineRule="auto"/>
              <w:jc w:val="left"/>
            </w:pPr>
            <w:r/>
            <w:r>
              <w:rPr>
                <w:sz w:val="18"/>
              </w:rPr>
              <w:t>9090</w:t>
            </w:r>
          </w:p>
        </w:tc>
      </w:tr>
      <w:tr>
        <w:trPr>
          <w:cantSplit w:val="true"/>
        </w:trPr>
        <w:tc>
          <w:tcPr>
            <w:tcW w:type="dxa" w:w="3502"/>
          </w:tcPr>
          <w:p>
            <w:pPr>
              <w:spacing w:after="20" w:before="20" w:line="240" w:lineRule="auto"/>
              <w:jc w:val="left"/>
            </w:pPr>
            <w:r/>
            <w:r>
              <w:rPr>
                <w:rFonts w:ascii="Courier New" w:hAnsi="Courier New"/>
                <w:b w:val="0"/>
                <w:sz w:val="14"/>
              </w:rPr>
              <w:t>grafana</w:t>
            </w:r>
          </w:p>
        </w:tc>
        <w:tc>
          <w:tcPr>
            <w:tcW w:type="dxa" w:w="2970"/>
          </w:tcPr>
          <w:p>
            <w:pPr>
              <w:spacing w:after="20" w:before="20" w:line="240" w:lineRule="auto"/>
              <w:jc w:val="left"/>
            </w:pPr>
            <w:r/>
            <w:r>
              <w:rPr>
                <w:sz w:val="18"/>
              </w:rPr>
              <w:t>tableaux de bord de supervision</w:t>
            </w:r>
          </w:p>
        </w:tc>
        <w:tc>
          <w:tcPr>
            <w:tcW w:type="dxa" w:w="2083"/>
          </w:tcPr>
          <w:p>
            <w:pPr>
              <w:spacing w:after="20" w:before="20" w:line="240" w:lineRule="auto"/>
              <w:jc w:val="left"/>
            </w:pPr>
            <w:r/>
            <w:r>
              <w:rPr>
                <w:sz w:val="18"/>
              </w:rPr>
              <w:t>Grafana 11.2</w:t>
            </w:r>
          </w:p>
        </w:tc>
        <w:tc>
          <w:tcPr>
            <w:tcW w:type="dxa" w:w="833"/>
          </w:tcPr>
          <w:p>
            <w:pPr>
              <w:spacing w:after="20" w:before="20" w:line="240" w:lineRule="auto"/>
              <w:jc w:val="left"/>
            </w:pPr>
            <w:r/>
            <w:r>
              <w:rPr>
                <w:sz w:val="18"/>
              </w:rPr>
              <w:t>3001</w:t>
            </w:r>
          </w:p>
        </w:tc>
      </w:tr>
      <w:tr>
        <w:trPr>
          <w:cantSplit w:val="true"/>
        </w:trPr>
        <w:tc>
          <w:tcPr>
            <w:tcW w:type="dxa" w:w="3502"/>
          </w:tcPr>
          <w:p>
            <w:pPr>
              <w:spacing w:after="20" w:before="20" w:line="240" w:lineRule="auto"/>
              <w:jc w:val="left"/>
            </w:pPr>
            <w:r/>
            <w:r>
              <w:rPr>
                <w:rFonts w:ascii="Courier New" w:hAnsi="Courier New"/>
                <w:b w:val="0"/>
                <w:sz w:val="14"/>
              </w:rPr>
              <w:t>loki</w:t>
            </w:r>
            <w:r>
              <w:rPr>
                <w:sz w:val="18"/>
              </w:rPr>
              <w:t xml:space="preserve">, </w:t>
            </w:r>
            <w:r>
              <w:rPr>
                <w:rFonts w:ascii="Courier New" w:hAnsi="Courier New"/>
                <w:b w:val="0"/>
                <w:sz w:val="14"/>
              </w:rPr>
              <w:t>promtail</w:t>
            </w:r>
          </w:p>
        </w:tc>
        <w:tc>
          <w:tcPr>
            <w:tcW w:type="dxa" w:w="2970"/>
          </w:tcPr>
          <w:p>
            <w:pPr>
              <w:spacing w:after="20" w:before="20" w:line="240" w:lineRule="auto"/>
              <w:jc w:val="left"/>
            </w:pPr>
            <w:r/>
            <w:r>
              <w:rPr>
                <w:sz w:val="18"/>
              </w:rPr>
              <w:t>centralisation des journaux</w:t>
            </w:r>
          </w:p>
        </w:tc>
        <w:tc>
          <w:tcPr>
            <w:tcW w:type="dxa" w:w="2083"/>
          </w:tcPr>
          <w:p>
            <w:pPr>
              <w:spacing w:after="20" w:before="20" w:line="240" w:lineRule="auto"/>
              <w:jc w:val="left"/>
            </w:pPr>
            <w:r/>
            <w:r>
              <w:rPr>
                <w:sz w:val="18"/>
              </w:rPr>
              <w:t>Loki et Promtail 3.1</w:t>
            </w:r>
          </w:p>
        </w:tc>
        <w:tc>
          <w:tcPr>
            <w:tcW w:type="dxa" w:w="833"/>
          </w:tcPr>
          <w:p>
            <w:pPr>
              <w:spacing w:after="20" w:before="20" w:line="240" w:lineRule="auto"/>
              <w:jc w:val="left"/>
            </w:pPr>
            <w:r/>
            <w:r>
              <w:rPr>
                <w:sz w:val="18"/>
              </w:rPr>
              <w:t>—</w:t>
            </w:r>
          </w:p>
        </w:tc>
      </w:tr>
      <w:tr>
        <w:trPr>
          <w:cantSplit w:val="true"/>
        </w:trPr>
        <w:tc>
          <w:tcPr>
            <w:tcW w:type="dxa" w:w="3502"/>
          </w:tcPr>
          <w:p>
            <w:pPr>
              <w:spacing w:after="20" w:before="20" w:line="240" w:lineRule="auto"/>
              <w:jc w:val="left"/>
            </w:pPr>
            <w:r/>
            <w:r>
              <w:rPr>
                <w:rFonts w:ascii="Courier New" w:hAnsi="Courier New"/>
                <w:b w:val="0"/>
                <w:sz w:val="14"/>
              </w:rPr>
              <w:t>redis-exporter</w:t>
            </w:r>
            <w:r>
              <w:rPr>
                <w:sz w:val="18"/>
              </w:rPr>
              <w:t xml:space="preserve">, </w:t>
            </w:r>
            <w:r>
              <w:rPr>
                <w:rFonts w:ascii="Courier New" w:hAnsi="Courier New"/>
                <w:b w:val="0"/>
                <w:sz w:val="14"/>
              </w:rPr>
              <w:t>postgres-exporter</w:t>
            </w:r>
          </w:p>
        </w:tc>
        <w:tc>
          <w:tcPr>
            <w:tcW w:type="dxa" w:w="2970"/>
          </w:tcPr>
          <w:p>
            <w:pPr>
              <w:spacing w:after="20" w:before="20" w:line="240" w:lineRule="auto"/>
              <w:jc w:val="left"/>
            </w:pPr>
            <w:r/>
            <w:r>
              <w:rPr>
                <w:sz w:val="18"/>
              </w:rPr>
              <w:t>métriques des bases</w:t>
            </w:r>
          </w:p>
        </w:tc>
        <w:tc>
          <w:tcPr>
            <w:tcW w:type="dxa" w:w="2083"/>
          </w:tcPr>
          <w:p>
            <w:pPr>
              <w:spacing w:after="20" w:before="20" w:line="240" w:lineRule="auto"/>
              <w:jc w:val="left"/>
            </w:pPr>
            <w:r/>
            <w:r>
              <w:rPr>
                <w:sz w:val="18"/>
              </w:rPr>
              <w:t>exportateurs Prometheus</w:t>
            </w:r>
          </w:p>
        </w:tc>
        <w:tc>
          <w:tcPr>
            <w:tcW w:type="dxa" w:w="833"/>
          </w:tcPr>
          <w:p>
            <w:pPr>
              <w:spacing w:after="20" w:before="20" w:line="240" w:lineRule="auto"/>
              <w:jc w:val="left"/>
            </w:pPr>
            <w:r/>
            <w:r>
              <w:rPr>
                <w:sz w:val="18"/>
              </w:rPr>
              <w:t>—</w:t>
            </w:r>
          </w:p>
        </w:tc>
      </w:tr>
      <w:tr>
        <w:trPr>
          <w:cantSplit w:val="true"/>
        </w:trPr>
        <w:tc>
          <w:tcPr>
            <w:tcW w:type="dxa" w:w="3502"/>
          </w:tcPr>
          <w:p>
            <w:pPr>
              <w:spacing w:after="20" w:before="20" w:line="240" w:lineRule="auto"/>
              <w:jc w:val="left"/>
            </w:pPr>
            <w:r/>
            <w:r>
              <w:rPr>
                <w:rFonts w:ascii="Courier New" w:hAnsi="Courier New"/>
                <w:b w:val="0"/>
                <w:sz w:val="14"/>
              </w:rPr>
              <w:t>mailpit</w:t>
            </w:r>
          </w:p>
        </w:tc>
        <w:tc>
          <w:tcPr>
            <w:tcW w:type="dxa" w:w="2970"/>
          </w:tcPr>
          <w:p>
            <w:pPr>
              <w:spacing w:after="20" w:before="20" w:line="240" w:lineRule="auto"/>
              <w:jc w:val="left"/>
            </w:pPr>
            <w:r/>
            <w:r>
              <w:rPr>
                <w:sz w:val="18"/>
              </w:rPr>
              <w:t>boîte e-mail locale (alertes)</w:t>
            </w:r>
          </w:p>
        </w:tc>
        <w:tc>
          <w:tcPr>
            <w:tcW w:type="dxa" w:w="2083"/>
          </w:tcPr>
          <w:p>
            <w:pPr>
              <w:spacing w:after="20" w:before="20" w:line="240" w:lineRule="auto"/>
              <w:jc w:val="left"/>
            </w:pPr>
            <w:r/>
            <w:r>
              <w:rPr>
                <w:sz w:val="18"/>
              </w:rPr>
              <w:t>Mailpit 1.20</w:t>
            </w:r>
          </w:p>
        </w:tc>
        <w:tc>
          <w:tcPr>
            <w:tcW w:type="dxa" w:w="833"/>
          </w:tcPr>
          <w:p>
            <w:pPr>
              <w:spacing w:after="20" w:before="20" w:line="240" w:lineRule="auto"/>
              <w:jc w:val="left"/>
            </w:pPr>
            <w:r/>
            <w:r>
              <w:rPr>
                <w:sz w:val="18"/>
              </w:rPr>
              <w:t>8025</w:t>
            </w:r>
          </w:p>
        </w:tc>
      </w:tr>
    </w:tbl>
    <w:p>
      <w:pPr>
        <w:spacing w:after="120"/>
      </w:pPr>
    </w:p>
    <w:p>
      <w:pPr>
        <w:spacing w:before="0" w:after="120" w:line="360" w:lineRule="auto"/>
        <w:jc w:val="both"/>
      </w:pPr>
      <w:r>
        <w:rPr>
          <w:sz w:val="24"/>
        </w:rPr>
        <w:t xml:space="preserve">Les services applicatifs reposent sur six images (notation, intégration, back-office, workers, apprentissage et front), construites à partir des mêmes dossiers </w:t>
      </w:r>
      <w:r>
        <w:rPr>
          <w:rFonts w:ascii="Courier New" w:hAnsi="Courier New"/>
          <w:b w:val="0"/>
          <w:sz w:val="20"/>
        </w:rPr>
        <w:t>shared/</w:t>
      </w:r>
      <w:r>
        <w:rPr>
          <w:sz w:val="24"/>
        </w:rPr>
        <w:t xml:space="preserve"> et </w:t>
      </w:r>
      <w:r>
        <w:rPr>
          <w:rFonts w:ascii="Courier New" w:hAnsi="Courier New"/>
          <w:b w:val="0"/>
          <w:sz w:val="20"/>
        </w:rPr>
        <w:t>ml/</w:t>
      </w:r>
      <w:r>
        <w:rPr>
          <w:sz w:val="24"/>
        </w:rPr>
        <w:t xml:space="preserve"> pour garantir la cohérence du code.</w:t>
      </w:r>
    </w:p>
    <w:p>
      <w:pPr>
        <w:pStyle w:val="Titre4"/>
        <w:keepNext/>
        <w:numPr>
          <w:numId w:val="0"/>
        </w:numPr>
        <w:spacing w:before="200" w:after="120"/>
        <w:ind w:left="0" w:firstLine="0"/>
        <w:jc w:val="left"/>
      </w:pPr>
      <w:r>
        <w:rPr>
          <w:b/>
          <w:i/>
          <w:color w:val="000000"/>
          <w:sz w:val="25"/>
        </w:rPr>
        <w:t>4.3 Réseau et exposition</w:t>
      </w:r>
    </w:p>
    <w:p>
      <w:pPr>
        <w:spacing w:before="0" w:after="120" w:line="360" w:lineRule="auto"/>
        <w:jc w:val="both"/>
      </w:pPr>
      <w:r>
        <w:rPr>
          <w:b/>
          <w:sz w:val="24"/>
        </w:rPr>
        <w:t>Nginx</w:t>
      </w:r>
      <w:r>
        <w:rPr>
          <w:sz w:val="24"/>
        </w:rPr>
        <w:t xml:space="preserve"> est l'unique point d'entrée : </w:t>
      </w:r>
      <w:r>
        <w:rPr>
          <w:rFonts w:ascii="Courier New" w:hAnsi="Courier New"/>
          <w:b w:val="0"/>
          <w:sz w:val="20"/>
        </w:rPr>
        <w:t>/</w:t>
      </w:r>
      <w:r>
        <w:rPr>
          <w:sz w:val="24"/>
        </w:rPr>
        <w:t xml:space="preserve"> mène au tableau de bord, </w:t>
      </w:r>
      <w:r>
        <w:rPr>
          <w:rFonts w:ascii="Courier New" w:hAnsi="Courier New"/>
          <w:b w:val="0"/>
          <w:sz w:val="20"/>
        </w:rPr>
        <w:t>/ingest/</w:t>
      </w:r>
      <w:r>
        <w:rPr>
          <w:sz w:val="24"/>
        </w:rPr>
        <w:t xml:space="preserve"> et </w:t>
      </w:r>
      <w:r>
        <w:rPr>
          <w:rFonts w:ascii="Courier New" w:hAnsi="Courier New"/>
          <w:b w:val="0"/>
          <w:sz w:val="20"/>
        </w:rPr>
        <w:t>/v1/</w:t>
      </w:r>
      <w:r>
        <w:rPr>
          <w:sz w:val="24"/>
        </w:rPr>
        <w:t xml:space="preserve"> à l'API d'intégration, avec une limitation de 200 requêtes par seconde et par adresse (rafale de 400), une taille de requête bornée à 64 Ko, des en-têtes de sécurité (</w:t>
      </w:r>
      <w:r>
        <w:rPr>
          <w:rFonts w:ascii="Courier New" w:hAnsi="Courier New"/>
          <w:b w:val="0"/>
          <w:sz w:val="20"/>
        </w:rPr>
        <w:t>X-Content-Type-Options</w:t>
      </w:r>
      <w:r>
        <w:rPr>
          <w:sz w:val="24"/>
        </w:rPr>
        <w:t xml:space="preserve">, </w:t>
      </w:r>
      <w:r>
        <w:rPr>
          <w:rFonts w:ascii="Courier New" w:hAnsi="Courier New"/>
          <w:b w:val="0"/>
          <w:sz w:val="20"/>
        </w:rPr>
        <w:t>X-Frame-Options</w:t>
      </w:r>
      <w:r>
        <w:rPr>
          <w:sz w:val="24"/>
        </w:rPr>
        <w:t xml:space="preserve">, </w:t>
      </w:r>
      <w:r>
        <w:rPr>
          <w:rFonts w:ascii="Courier New" w:hAnsi="Courier New"/>
          <w:b w:val="0"/>
          <w:sz w:val="20"/>
        </w:rPr>
        <w:t>Referrer-Policy</w:t>
      </w:r>
      <w:r>
        <w:rPr>
          <w:sz w:val="24"/>
        </w:rPr>
        <w:t>) et un délai de lecture borné. Une surcharge « production » (</w:t>
      </w:r>
      <w:r>
        <w:rPr>
          <w:rFonts w:ascii="Courier New" w:hAnsi="Courier New"/>
          <w:b w:val="0"/>
          <w:sz w:val="20"/>
        </w:rPr>
        <w:t>docker-compose.prod.yml</w:t>
      </w:r>
      <w:r>
        <w:rPr>
          <w:sz w:val="24"/>
        </w:rPr>
        <w:t>) ferme tous les ports internes pour ne laisser exposés que Nginx (80) et Grafana (3001), impose des limites de ressources (par exemple 3 processeurs et 2 Gio au service de notation, 2 processeurs et 2 Gio à PostgreSQL), le redémarrage systématique des services et un comportement de repli strict de l'intégration (</w:t>
      </w:r>
      <w:r>
        <w:rPr>
          <w:rFonts w:ascii="Courier New" w:hAnsi="Courier New"/>
          <w:b w:val="0"/>
          <w:sz w:val="20"/>
        </w:rPr>
        <w:t>FAIL_OPEN=false</w:t>
      </w:r>
      <w:r>
        <w:rPr>
          <w:sz w:val="24"/>
        </w:rPr>
        <w:t>) ; la console du bus et la boîte e-mail de démonstration passent dans un profil « outils » facultatif.</w:t>
      </w:r>
    </w:p>
    <w:p>
      <w:pPr>
        <w:pStyle w:val="Titre4"/>
        <w:keepNext/>
        <w:numPr>
          <w:numId w:val="0"/>
        </w:numPr>
        <w:spacing w:before="200" w:after="120"/>
        <w:ind w:left="0" w:firstLine="0"/>
        <w:jc w:val="left"/>
      </w:pPr>
      <w:r>
        <w:rPr>
          <w:b/>
          <w:i/>
          <w:color w:val="000000"/>
          <w:sz w:val="25"/>
        </w:rPr>
        <w:t>4.4 Configuration, données persistantes et dépendances</w:t>
      </w:r>
    </w:p>
    <w:p>
      <w:pPr>
        <w:spacing w:before="0" w:after="120" w:line="360" w:lineRule="auto"/>
        <w:jc w:val="both"/>
      </w:pPr>
      <w:r>
        <w:rPr>
          <w:sz w:val="24"/>
        </w:rPr>
        <w:t>La configuration passe par un fichier d'environnement (</w:t>
      </w:r>
      <w:r>
        <w:rPr>
          <w:rFonts w:ascii="Courier New" w:hAnsi="Courier New"/>
          <w:b w:val="0"/>
          <w:sz w:val="20"/>
        </w:rPr>
        <w:t>.env</w:t>
      </w:r>
      <w:r>
        <w:rPr>
          <w:sz w:val="24"/>
        </w:rPr>
        <w:t>), dont un exemple documenté est versionné : secrets de signature des jetons, comptes de démonstration, clés des services, quotas, seuils de sécurité, durée de verrouillage. Les données de PostgreSQL, du bus, de Grafana, de Loki et de MLflow vivent dans des volumes persistants ; les artefacts des modèles sont montés en lecture seule dans les services qui les lisent et en écriture dans le seul service de réentraînement. Les dépendances sont déclarées avec leurs conditions de santé : le back-office attend PostgreSQL, Redis et le bus ; les workers, le frontend, Nginx et le réentraînement attendent la santé du back-office, qui applique les migrations à chaque démarrage de façon idempotente ; la notation attend l'amorçage du magasin de profils. Les services applicatifs et les bases de données disposent d'un contrôle de santé.</w:t>
      </w:r>
    </w:p>
    <w:p>
      <w:pPr>
        <w:pStyle w:val="Titre4"/>
        <w:keepNext/>
        <w:numPr>
          <w:numId w:val="0"/>
        </w:numPr>
        <w:spacing w:before="200" w:after="120"/>
        <w:ind w:left="0" w:firstLine="0"/>
        <w:jc w:val="left"/>
      </w:pPr>
      <w:r>
        <w:rPr>
          <w:b/>
          <w:i/>
          <w:color w:val="000000"/>
          <w:sz w:val="25"/>
        </w:rPr>
        <w:t>4.5 Supervision</w:t>
      </w:r>
    </w:p>
    <w:p>
      <w:pPr>
        <w:spacing w:before="0" w:after="120" w:line="360" w:lineRule="auto"/>
        <w:jc w:val="both"/>
      </w:pPr>
      <w:r>
        <w:rPr>
          <w:b/>
          <w:sz w:val="24"/>
        </w:rPr>
        <w:t>Prometheus</w:t>
      </w:r>
      <w:r>
        <w:rPr>
          <w:sz w:val="24"/>
        </w:rPr>
        <w:t xml:space="preserve"> collecte les métriques de tous les services : latence de décision, décisions par action, erreurs, relances, dérive, violations physiques, cohérence du magasin de profils, publications Kafka, quotas dépassés. </w:t>
      </w:r>
      <w:r>
        <w:rPr>
          <w:b/>
          <w:sz w:val="24"/>
        </w:rPr>
        <w:t>Grafana</w:t>
      </w:r>
      <w:r>
        <w:rPr>
          <w:sz w:val="24"/>
        </w:rPr>
        <w:t xml:space="preserve"> les présente dans deux tableaux de bord provisionnés automatiquement (santé du système et dérive du modèle). </w:t>
      </w:r>
      <w:r>
        <w:rPr>
          <w:b/>
          <w:sz w:val="24"/>
        </w:rPr>
        <w:t>Loki</w:t>
      </w:r>
      <w:r>
        <w:rPr>
          <w:sz w:val="24"/>
        </w:rPr>
        <w:t xml:space="preserve">, alimenté par </w:t>
      </w:r>
      <w:r>
        <w:rPr>
          <w:b/>
          <w:sz w:val="24"/>
        </w:rPr>
        <w:t>Promtail</w:t>
      </w:r>
      <w:r>
        <w:rPr>
          <w:sz w:val="24"/>
        </w:rPr>
        <w:t>, centralise les journaux au format JSON. Treize règles d'alerte couvrent les pannes et les dérives : service indisponible, latence élevée, erreurs de notation, mode dégradé, pic du taux d'alerte, échecs de publication, worker en échec, dérive du modèle, nouveaux comportements, violations physiques élevées, nouveau modèle refusé, relances fréquentes du scoring, magasin de profils incohérent.</w:t>
      </w:r>
    </w:p>
    <w:p>
      <w:pPr>
        <w:pStyle w:val="Titre4"/>
        <w:keepNext/>
        <w:numPr>
          <w:numId w:val="0"/>
        </w:numPr>
        <w:spacing w:before="200" w:after="120"/>
        <w:ind w:left="0" w:firstLine="0"/>
        <w:jc w:val="left"/>
      </w:pPr>
      <w:r>
        <w:rPr>
          <w:b/>
          <w:i/>
          <w:color w:val="000000"/>
          <w:sz w:val="25"/>
        </w:rPr>
        <w:t>4.6 Mise à l'échelle et Kubernetes</w:t>
      </w:r>
    </w:p>
    <w:p>
      <w:pPr>
        <w:spacing w:before="0" w:after="120" w:line="360" w:lineRule="auto"/>
        <w:jc w:val="both"/>
      </w:pPr>
      <w:r>
        <w:rPr>
          <w:sz w:val="24"/>
        </w:rPr>
        <w:t xml:space="preserve">Le service de notation ne conserve aucun état local : le profil est dans Redis, les décisions dans le bus. On peut donc ajouter des copies du service pour réduire la latence ou absorber un plus grand débit. Les manifestes </w:t>
      </w:r>
      <w:r>
        <w:rPr>
          <w:b/>
          <w:sz w:val="24"/>
        </w:rPr>
        <w:t>Kubernetes</w:t>
      </w:r>
      <w:r>
        <w:rPr>
          <w:sz w:val="24"/>
        </w:rPr>
        <w:t xml:space="preserve"> (</w:t>
      </w:r>
      <w:r>
        <w:rPr>
          <w:rFonts w:ascii="Courier New" w:hAnsi="Courier New"/>
          <w:b w:val="0"/>
          <w:sz w:val="20"/>
        </w:rPr>
        <w:t>infra/kubernetes/</w:t>
      </w:r>
      <w:r>
        <w:rPr>
          <w:sz w:val="24"/>
        </w:rPr>
        <w:t xml:space="preserve">, organisés avec Kustomize) reprennent les mêmes images : une base commune (espace de noms, configuration, réseau, applications, bases de données) et deux déclinaisons, </w:t>
      </w:r>
      <w:r>
        <w:rPr>
          <w:b/>
          <w:sz w:val="24"/>
        </w:rPr>
        <w:t>Kinshasa</w:t>
      </w:r>
      <w:r>
        <w:rPr>
          <w:sz w:val="24"/>
        </w:rPr>
        <w:t xml:space="preserve"> et </w:t>
      </w:r>
      <w:r>
        <w:rPr>
          <w:b/>
          <w:sz w:val="24"/>
        </w:rPr>
        <w:t>Katanga</w:t>
      </w:r>
      <w:r>
        <w:rPr>
          <w:sz w:val="24"/>
        </w:rPr>
        <w:t xml:space="preserve">, afin de rapprocher le service des opérateurs et d'assurer la continuité en cas de panne d'un site. Deux limites sont à noter. Le quota de débit par institution est compté </w:t>
      </w:r>
      <w:r>
        <w:rPr>
          <w:b/>
          <w:sz w:val="24"/>
        </w:rPr>
        <w:t>par processus</w:t>
      </w:r>
      <w:r>
        <w:rPr>
          <w:sz w:val="24"/>
        </w:rPr>
        <w:t>, de sorte qu'avec plusieurs copies le débit global toléré peut atteindre le quota multiplié par leur nombre ; et le prototype tourne sur un hôte unique, sans réplication des bases de données.</w:t>
      </w:r>
    </w:p>
    <w:p>
      <w:pPr>
        <w:pStyle w:val="Titre4"/>
        <w:keepNext/>
        <w:numPr>
          <w:numId w:val="0"/>
        </w:numPr>
        <w:spacing w:before="200" w:after="120"/>
        <w:ind w:left="0" w:firstLine="0"/>
        <w:jc w:val="left"/>
      </w:pPr>
      <w:r>
        <w:rPr>
          <w:b/>
          <w:i/>
          <w:color w:val="000000"/>
          <w:sz w:val="25"/>
        </w:rPr>
        <w:t>4.7 Vérification du déploiement</w:t>
      </w:r>
    </w:p>
    <w:p>
      <w:pPr>
        <w:spacing w:before="0" w:after="120" w:line="360" w:lineRule="auto"/>
        <w:jc w:val="both"/>
      </w:pPr>
      <w:r>
        <w:rPr>
          <w:sz w:val="24"/>
        </w:rPr>
        <w:t>Le déploiement est vérifié à chaque reconstruction complète par la suite de 158 tests automatisés (tableau III.44), puis par un contrôle de santé de chaque service, de chaque route de l'API du back-office et de chaque écran, et par un rejeu de transactions à travers toute la chaîne : API d'intégration, notation, bus, workers, base, tableau de bord.</w:t>
      </w:r>
    </w:p>
    <w:p>
      <w:pPr>
        <w:pStyle w:val="Légendetableau"/>
        <w:keepNext/>
        <w:spacing w:before="200" w:after="80"/>
        <w:jc w:val="center"/>
      </w:pPr>
      <w:r>
        <w:rPr>
          <w:b/>
          <w:sz w:val="20"/>
        </w:rPr>
        <w:t>Tableau III.44 — Tests automatisés.</w:t>
      </w:r>
    </w:p>
    <w:tbl>
      <w:tblPr>
        <w:tblW w:type="dxa" w:w="939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firstColumn="1" w:firstRow="1" w:lastColumn="0" w:lastRow="0" w:noHBand="0" w:noVBand="1" w:val="04A0"/>
      </w:tblPr>
      <w:tblGrid>
        <w:gridCol w:w="2092"/>
        <w:gridCol w:w="6659"/>
        <w:gridCol w:w="638"/>
      </w:tblGrid>
      <w:tr>
        <w:trPr>
          <w:tblHeader w:val="true"/>
        </w:trPr>
        <w:tc>
          <w:tcPr>
            <w:tcW w:type="dxa" w:w="2092"/>
            <w:shd w:val="clear" w:color="auto" w:fill="D9E2F3"/>
          </w:tcPr>
          <w:p>
            <w:pPr>
              <w:spacing w:after="20" w:before="20" w:line="240" w:lineRule="auto"/>
              <w:jc w:val="left"/>
            </w:pPr>
            <w:r/>
            <w:r>
              <w:rPr>
                <w:b/>
                <w:sz w:val="20"/>
              </w:rPr>
              <w:t>Suite</w:t>
            </w:r>
          </w:p>
        </w:tc>
        <w:tc>
          <w:tcPr>
            <w:tcW w:type="dxa" w:w="6659"/>
            <w:shd w:val="clear" w:color="auto" w:fill="D9E2F3"/>
          </w:tcPr>
          <w:p>
            <w:pPr>
              <w:spacing w:after="20" w:before="20" w:line="240" w:lineRule="auto"/>
              <w:jc w:val="left"/>
            </w:pPr>
            <w:r/>
            <w:r>
              <w:rPr>
                <w:b/>
                <w:sz w:val="20"/>
              </w:rPr>
              <w:t>Contenu</w:t>
            </w:r>
          </w:p>
        </w:tc>
        <w:tc>
          <w:tcPr>
            <w:tcW w:type="dxa" w:w="638"/>
            <w:shd w:val="clear" w:color="auto" w:fill="D9E2F3"/>
          </w:tcPr>
          <w:p>
            <w:pPr>
              <w:spacing w:after="20" w:before="20" w:line="240" w:lineRule="auto"/>
              <w:jc w:val="left"/>
            </w:pPr>
            <w:r/>
            <w:r>
              <w:rPr>
                <w:b/>
                <w:sz w:val="20"/>
              </w:rPr>
              <w:t>Tests</w:t>
            </w:r>
          </w:p>
        </w:tc>
      </w:tr>
      <w:tr>
        <w:trPr>
          <w:cantSplit w:val="true"/>
        </w:trPr>
        <w:tc>
          <w:tcPr>
            <w:tcW w:type="dxa" w:w="2092"/>
          </w:tcPr>
          <w:p>
            <w:pPr>
              <w:spacing w:after="20" w:before="20" w:line="240" w:lineRule="auto"/>
              <w:jc w:val="left"/>
            </w:pPr>
            <w:r/>
            <w:r>
              <w:rPr>
                <w:sz w:val="20"/>
              </w:rPr>
              <w:t>Apprentissage (</w:t>
            </w:r>
            <w:r>
              <w:rPr>
                <w:rFonts w:ascii="Courier New" w:hAnsi="Courier New"/>
                <w:b w:val="0"/>
                <w:sz w:val="16"/>
              </w:rPr>
              <w:t>ml/tests</w:t>
            </w:r>
            <w:r>
              <w:rPr>
                <w:sz w:val="20"/>
              </w:rPr>
              <w:t>)</w:t>
            </w:r>
          </w:p>
        </w:tc>
        <w:tc>
          <w:tcPr>
            <w:tcW w:type="dxa" w:w="6659"/>
          </w:tcPr>
          <w:p>
            <w:pPr>
              <w:spacing w:after="20" w:before="20" w:line="240" w:lineRule="auto"/>
              <w:jc w:val="left"/>
            </w:pPr>
            <w:r/>
            <w:r>
              <w:rPr>
                <w:sz w:val="20"/>
              </w:rPr>
              <w:t>générateur, variables, modèles, lois physiques, cas similaires, texte, graphe, politique de coût, apprentissage continu, garde-fou de détection</w:t>
            </w:r>
          </w:p>
        </w:tc>
        <w:tc>
          <w:tcPr>
            <w:tcW w:type="dxa" w:w="638"/>
          </w:tcPr>
          <w:p>
            <w:pPr>
              <w:spacing w:after="20" w:before="20" w:line="240" w:lineRule="auto"/>
              <w:jc w:val="left"/>
            </w:pPr>
            <w:r/>
            <w:r>
              <w:rPr>
                <w:sz w:val="20"/>
              </w:rPr>
              <w:t>96</w:t>
            </w:r>
          </w:p>
        </w:tc>
      </w:tr>
      <w:tr>
        <w:trPr>
          <w:cantSplit w:val="true"/>
        </w:trPr>
        <w:tc>
          <w:tcPr>
            <w:tcW w:type="dxa" w:w="2092"/>
          </w:tcPr>
          <w:p>
            <w:pPr>
              <w:spacing w:after="20" w:before="20" w:line="240" w:lineRule="auto"/>
              <w:jc w:val="left"/>
            </w:pPr>
            <w:r/>
            <w:r>
              <w:rPr>
                <w:sz w:val="20"/>
              </w:rPr>
              <w:t>Back-office</w:t>
            </w:r>
          </w:p>
        </w:tc>
        <w:tc>
          <w:tcPr>
            <w:tcW w:type="dxa" w:w="6659"/>
          </w:tcPr>
          <w:p>
            <w:pPr>
              <w:spacing w:after="20" w:before="20" w:line="240" w:lineRule="auto"/>
              <w:jc w:val="left"/>
            </w:pPr>
            <w:r/>
            <w:r>
              <w:rPr>
                <w:sz w:val="20"/>
              </w:rPr>
              <w:t>authentification, rôles, dossiers, rapports, réseau, revue, équité, politique, sécurité (double authentification, verrouillage, quatre yeux)</w:t>
            </w:r>
          </w:p>
        </w:tc>
        <w:tc>
          <w:tcPr>
            <w:tcW w:type="dxa" w:w="638"/>
          </w:tcPr>
          <w:p>
            <w:pPr>
              <w:spacing w:after="20" w:before="20" w:line="240" w:lineRule="auto"/>
              <w:jc w:val="left"/>
            </w:pPr>
            <w:r/>
            <w:r>
              <w:rPr>
                <w:sz w:val="20"/>
              </w:rPr>
              <w:t>25</w:t>
            </w:r>
          </w:p>
        </w:tc>
      </w:tr>
      <w:tr>
        <w:trPr>
          <w:cantSplit w:val="true"/>
        </w:trPr>
        <w:tc>
          <w:tcPr>
            <w:tcW w:type="dxa" w:w="2092"/>
          </w:tcPr>
          <w:p>
            <w:pPr>
              <w:spacing w:after="20" w:before="20" w:line="240" w:lineRule="auto"/>
              <w:jc w:val="left"/>
            </w:pPr>
            <w:r/>
            <w:r>
              <w:rPr>
                <w:sz w:val="20"/>
              </w:rPr>
              <w:t>API d'intégration</w:t>
            </w:r>
          </w:p>
        </w:tc>
        <w:tc>
          <w:tcPr>
            <w:tcW w:type="dxa" w:w="6659"/>
          </w:tcPr>
          <w:p>
            <w:pPr>
              <w:spacing w:after="20" w:before="20" w:line="240" w:lineRule="auto"/>
              <w:jc w:val="left"/>
            </w:pPr>
            <w:r/>
            <w:r>
              <w:rPr>
                <w:sz w:val="20"/>
              </w:rPr>
              <w:t>adaptateurs, API partenaires, quotas, résilience</w:t>
            </w:r>
          </w:p>
        </w:tc>
        <w:tc>
          <w:tcPr>
            <w:tcW w:type="dxa" w:w="638"/>
          </w:tcPr>
          <w:p>
            <w:pPr>
              <w:spacing w:after="20" w:before="20" w:line="240" w:lineRule="auto"/>
              <w:jc w:val="left"/>
            </w:pPr>
            <w:r/>
            <w:r>
              <w:rPr>
                <w:sz w:val="20"/>
              </w:rPr>
              <w:t>21</w:t>
            </w:r>
          </w:p>
        </w:tc>
      </w:tr>
      <w:tr>
        <w:trPr>
          <w:cantSplit w:val="true"/>
        </w:trPr>
        <w:tc>
          <w:tcPr>
            <w:tcW w:type="dxa" w:w="2092"/>
          </w:tcPr>
          <w:p>
            <w:pPr>
              <w:spacing w:after="20" w:before="20" w:line="240" w:lineRule="auto"/>
              <w:jc w:val="left"/>
            </w:pPr>
            <w:r/>
            <w:r>
              <w:rPr>
                <w:sz w:val="20"/>
              </w:rPr>
              <w:t>Service de notation</w:t>
            </w:r>
          </w:p>
        </w:tc>
        <w:tc>
          <w:tcPr>
            <w:tcW w:type="dxa" w:w="6659"/>
          </w:tcPr>
          <w:p>
            <w:pPr>
              <w:spacing w:after="20" w:before="20" w:line="240" w:lineRule="auto"/>
              <w:jc w:val="left"/>
            </w:pPr>
            <w:r/>
            <w:r>
              <w:rPr>
                <w:sz w:val="20"/>
              </w:rPr>
              <w:t xml:space="preserve">API </w:t>
            </w:r>
            <w:r>
              <w:rPr>
                <w:rFonts w:ascii="Courier New" w:hAnsi="Courier New"/>
                <w:b w:val="0"/>
                <w:sz w:val="16"/>
              </w:rPr>
              <w:t>/v1/score</w:t>
            </w:r>
            <w:r>
              <w:rPr>
                <w:sz w:val="20"/>
              </w:rPr>
              <w:t xml:space="preserve"> avec le vrai modèle et un Redis simulé</w:t>
            </w:r>
          </w:p>
        </w:tc>
        <w:tc>
          <w:tcPr>
            <w:tcW w:type="dxa" w:w="638"/>
          </w:tcPr>
          <w:p>
            <w:pPr>
              <w:spacing w:after="20" w:before="20" w:line="240" w:lineRule="auto"/>
              <w:jc w:val="left"/>
            </w:pPr>
            <w:r/>
            <w:r>
              <w:rPr>
                <w:sz w:val="20"/>
              </w:rPr>
              <w:t>12</w:t>
            </w:r>
          </w:p>
        </w:tc>
      </w:tr>
      <w:tr>
        <w:trPr>
          <w:cantSplit w:val="true"/>
        </w:trPr>
        <w:tc>
          <w:tcPr>
            <w:tcW w:type="dxa" w:w="2092"/>
          </w:tcPr>
          <w:p>
            <w:pPr>
              <w:spacing w:after="20" w:before="20" w:line="240" w:lineRule="auto"/>
              <w:jc w:val="left"/>
            </w:pPr>
            <w:r/>
            <w:r>
              <w:rPr>
                <w:sz w:val="20"/>
              </w:rPr>
              <w:t>Workers</w:t>
            </w:r>
          </w:p>
        </w:tc>
        <w:tc>
          <w:tcPr>
            <w:tcW w:type="dxa" w:w="6659"/>
          </w:tcPr>
          <w:p>
            <w:pPr>
              <w:spacing w:after="20" w:before="20" w:line="240" w:lineRule="auto"/>
              <w:jc w:val="left"/>
            </w:pPr>
            <w:r/>
            <w:r>
              <w:rPr>
                <w:sz w:val="20"/>
              </w:rPr>
              <w:t>persistance, journal d'audit chaîné</w:t>
            </w:r>
          </w:p>
        </w:tc>
        <w:tc>
          <w:tcPr>
            <w:tcW w:type="dxa" w:w="638"/>
          </w:tcPr>
          <w:p>
            <w:pPr>
              <w:spacing w:after="20" w:before="20" w:line="240" w:lineRule="auto"/>
              <w:jc w:val="left"/>
            </w:pPr>
            <w:r/>
            <w:r>
              <w:rPr>
                <w:sz w:val="20"/>
              </w:rPr>
              <w:t>4</w:t>
            </w:r>
          </w:p>
        </w:tc>
      </w:tr>
    </w:tbl>
    <w:p>
      <w:pPr>
        <w:spacing w:after="120"/>
      </w:pPr>
    </w:p>
    <w:p w14:paraId="61C04186" w14:textId="77777777" w:rsidR="00852587" w:rsidRDefault="004C4A96">
      <w:pPr>
        <w:spacing w:before="71" w:line="360" w:lineRule="auto"/>
        <w:ind w:right="258"/>
        <w:jc w:val="both"/>
      </w:pPr>
      <w:r>
        <w:rPr>
          <w:b/>
          <w:sz w:val="24"/>
          <w:szCs w:val="24"/>
        </w:rPr>
        <w:t xml:space="preserve">Conclusion </w:t>
      </w:r>
    </w:p>
    <w:p>
      <w:pPr>
        <w:spacing w:before="0" w:after="120" w:line="360" w:lineRule="auto"/>
        <w:jc w:val="both"/>
      </w:pPr>
      <w:r>
        <w:rPr>
          <w:sz w:val="24"/>
        </w:rPr>
        <w:t>Ce chapitre a présenté les résultats, puis l'implémentation du système. L'analyse exploratoire a décrit un jeu de 631 968 transactions, sain, très déséquilibré (1,33 % de fraudes) et dont les fraudes évoluent dans le temps. L'hybride, qui combine XGBoost, un LSTM avec attention et un autoencodeur, est le meilleur des huit modèles comparés (PR-AUC 0,9955) ; sa supériorité sur XGBoost et sur le LSTM est statistiquement établie, et elle se traduit par 42 % de fausses alertes et 45 % de fraudes manquées en moins. Les cinq hypothèses de recherche sont confirmées sur ces données simulées, avec des réserves précises sur la transposabilité à la carte (effet plafond) et sur l'évolution des fraudes (circularité).</w:t>
      </w:r>
    </w:p>
    <w:p>
      <w:pPr>
        <w:spacing w:before="0" w:after="120" w:line="360" w:lineRule="auto"/>
        <w:jc w:val="both"/>
      </w:pPr>
      <w:r>
        <w:rPr>
          <w:sz w:val="24"/>
        </w:rPr>
        <w:t>Les résultats montrent aussi que le modèle appris ne suffit pas : les lois physiques détectent 100 % d'une attaque inédite que le modèle manque presque entièrement, l'analyse de réseau rattrape 54 fraudes, la décision selon le coût divise la perte par plus de deux, et des revues ciblées ramènent les fraudes manquées de 73 à 38. L'équité est mesurée et révèle que les clients modestes, les agriculteurs et les étudiants subissent davantage de fausses alertes. La comparaison avec la littérature confirme les tendances connues (boosting devant modèle linéaire, gain de la séquence selon le type d'opération, intérêt d'associer supervisé et non supervisé) sans que les valeurs absolues soient comparables.</w:t>
      </w:r>
    </w:p>
    <w:p>
      <w:pPr>
        <w:spacing w:before="0" w:after="120" w:line="360" w:lineRule="auto"/>
        <w:jc w:val="both"/>
        <w:sectPr w:rsidR="00852587">
          <w:pgSz w:w="11910" w:h="16840"/>
          <w:pgMar w:top="1360" w:right="1180" w:bottom="1240" w:left="1340" w:header="0" w:footer="1055" w:gutter="0"/>
          <w:cols w:space="720"/>
        </w:sectPr>
      </w:pPr>
      <w:r>
        <w:rPr>
          <w:sz w:val="24"/>
        </w:rPr>
        <w:t>L'implémentation traduit ces choix en une plateforme de vingt-trois services : une architecture en microservices orientée événements, une décision en 59 ms en médiane, une API ouverte aux institutions, un apprentissage continu maîtrisé, une sécurité renforcée et une supervision complète, vérifiées par 158 tests automatisés. Les limites principales, données simulées, nombre fini de mules et d'appareils réutilisés, 500 clients et coûts fixés par hypothèse, appellent une validation sur données réelles, qui est la première des perspectives.</w:t>
      </w:r>
    </w:p>
    <w:p w14:paraId="279E9257" w14:textId="77777777" w:rsidR="00852587" w:rsidRDefault="00852587">
      <w:pPr>
        <w:pStyle w:val="Titre1"/>
        <w:spacing w:before="89" w:line="360" w:lineRule="auto"/>
        <w:ind w:left="2880" w:right="2063" w:firstLine="720"/>
        <w:jc w:val="left"/>
      </w:pPr>
      <w:bookmarkStart w:id="108" w:name="_heading=h.lxxhaflcl6d9" w:colFirst="0" w:colLast="0"/>
      <w:bookmarkEnd w:id="108"/>
    </w:p>
    <w:p w14:paraId="0960D339" w14:textId="77777777" w:rsidR="00852587" w:rsidRDefault="00852587">
      <w:pPr>
        <w:pStyle w:val="Titre1"/>
        <w:spacing w:before="89" w:line="360" w:lineRule="auto"/>
        <w:ind w:left="2880" w:right="2063" w:firstLine="720"/>
        <w:jc w:val="left"/>
      </w:pPr>
      <w:bookmarkStart w:id="109" w:name="_heading=h.gdiua8uyg6i0" w:colFirst="0" w:colLast="0"/>
      <w:bookmarkEnd w:id="109"/>
    </w:p>
    <w:p w14:paraId="6293ED59" w14:textId="77777777" w:rsidR="00852587" w:rsidRDefault="00852587"/>
    <w:p w14:paraId="60055FA6" w14:textId="77777777" w:rsidR="00852587" w:rsidRDefault="00852587"/>
    <w:p w14:paraId="493347DC" w14:textId="77777777" w:rsidR="00852587" w:rsidRDefault="00852587"/>
    <w:p w14:paraId="4F58939E" w14:textId="77777777" w:rsidR="00852587" w:rsidRDefault="00852587"/>
    <w:p w14:paraId="1424064B" w14:textId="77777777" w:rsidR="00852587" w:rsidRDefault="00852587"/>
    <w:p w14:paraId="45122252" w14:textId="77777777" w:rsidR="00852587" w:rsidRDefault="00852587"/>
    <w:p w14:paraId="63BB6AAB" w14:textId="77777777" w:rsidR="00852587" w:rsidRDefault="00852587"/>
    <w:p w14:paraId="27F81BE2" w14:textId="77777777" w:rsidR="00852587" w:rsidRDefault="00852587"/>
    <w:p w14:paraId="745266F1" w14:textId="77777777" w:rsidR="00852587" w:rsidRDefault="00852587"/>
    <w:p w14:paraId="18443473" w14:textId="77777777" w:rsidR="00852587" w:rsidRDefault="00852587"/>
    <w:p w14:paraId="0B9CCDDD" w14:textId="77777777" w:rsidR="00852587" w:rsidRDefault="00852587"/>
    <w:p w14:paraId="19923F99" w14:textId="77777777" w:rsidR="00852587" w:rsidRDefault="004C4A96">
      <w:pPr>
        <w:pStyle w:val="Titre1"/>
        <w:spacing w:before="89" w:line="360" w:lineRule="auto"/>
        <w:ind w:left="0" w:right="2063"/>
      </w:pPr>
      <w:bookmarkStart w:id="110" w:name="_heading=h.izmhy9ouvut" w:colFirst="0" w:colLast="0"/>
      <w:bookmarkEnd w:id="110"/>
      <w:r>
        <w:t>CONCLUSION GENERALE</w:t>
      </w:r>
    </w:p>
    <w:p w14:paraId="1A9E9FC9" w14:textId="77777777" w:rsidR="00852587" w:rsidRDefault="004C4A96">
      <w:r>
        <w:t>Bilans de l'étude</w:t>
      </w:r>
    </w:p>
    <w:p w14:paraId="52649545" w14:textId="77777777" w:rsidR="00852587" w:rsidRDefault="004C4A96">
      <w:pPr>
        <w:sectPr w:rsidR="00852587">
          <w:pgSz w:w="11910" w:h="16840"/>
          <w:pgMar w:top="1440" w:right="1180" w:bottom="1240" w:left="1340" w:header="0" w:footer="1055" w:gutter="0"/>
          <w:cols w:space="720"/>
        </w:sectPr>
      </w:pPr>
      <w:r>
        <w:t>Perspectives</w:t>
      </w:r>
    </w:p>
    <w:p w14:paraId="77BF5B32" w14:textId="77777777" w:rsidR="00852587" w:rsidRDefault="00852587">
      <w:pPr>
        <w:spacing w:line="360" w:lineRule="auto"/>
        <w:rPr>
          <w:b/>
          <w:sz w:val="26"/>
          <w:szCs w:val="26"/>
        </w:rPr>
      </w:pPr>
    </w:p>
    <w:p w14:paraId="031A72EC" w14:textId="77777777" w:rsidR="00852587" w:rsidRDefault="004C4A96">
      <w:pPr>
        <w:pStyle w:val="Titre1"/>
        <w:spacing w:line="360" w:lineRule="auto"/>
        <w:ind w:left="0" w:right="2064"/>
        <w:rPr>
          <w:color w:val="2E5395"/>
        </w:rPr>
      </w:pPr>
      <w:bookmarkStart w:id="111" w:name="_heading=h.43ky6rz" w:colFirst="0" w:colLast="0"/>
      <w:bookmarkEnd w:id="111"/>
      <w:r>
        <w:rPr>
          <w:color w:val="2E5395"/>
        </w:rPr>
        <w:t xml:space="preserve">BIBLIOGRAPHIE </w:t>
      </w:r>
      <w:r>
        <w:br w:type="page"/>
      </w:r>
      <w:r>
        <w:rPr>
          <w:rFonts w:ascii="Roboto" w:eastAsia="Roboto" w:hAnsi="Roboto" w:cs="Roboto"/>
          <w:b w:val="0"/>
          <w:color w:val="374151"/>
          <w:sz w:val="24"/>
          <w:szCs w:val="24"/>
        </w:rPr>
        <w:lastRenderedPageBreak/>
        <w:t>Liste complète des références citées dans le mémoire.</w:t>
      </w:r>
    </w:p>
    <w:p>
      <w:pPr>
        <w:spacing w:after="120" w:line="276" w:lineRule="auto"/>
        <w:ind w:left="567" w:hanging="567"/>
        <w:jc w:val="left"/>
      </w:pPr>
      <w:r>
        <w:rPr>
          <w:sz w:val="22"/>
        </w:rPr>
        <w:t xml:space="preserve">Akoglu, L., Tong, H., &amp; Koutra, D. (2015). Graph based anomaly detection and description: a survey. </w:t>
      </w:r>
      <w:r>
        <w:rPr>
          <w:i/>
          <w:sz w:val="22"/>
        </w:rPr>
        <w:t>Data Mining and Knowledge Discovery</w:t>
      </w:r>
      <w:r>
        <w:rPr>
          <w:sz w:val="22"/>
        </w:rPr>
        <w:t>, 29(3), 626-688. https://doi.org/10.1007/s10618-014-0365-y</w:t>
      </w:r>
    </w:p>
    <w:p>
      <w:pPr>
        <w:spacing w:after="120" w:line="276" w:lineRule="auto"/>
        <w:ind w:left="567" w:hanging="567"/>
        <w:jc w:val="left"/>
      </w:pPr>
      <w:r>
        <w:rPr>
          <w:sz w:val="22"/>
        </w:rPr>
        <w:t xml:space="preserve">ARPTC. </w:t>
      </w:r>
      <w:r>
        <w:rPr>
          <w:i/>
          <w:sz w:val="22"/>
        </w:rPr>
        <w:t>Observatoire du marché de la téléphonie mobile</w:t>
      </w:r>
      <w:r>
        <w:rPr>
          <w:sz w:val="22"/>
        </w:rPr>
        <w:t>, rapports T1-2024 et T4-2025. Autorité de régulation de la poste et des télécommunications du Congo. https://arptc.gouv.cd</w:t>
      </w:r>
    </w:p>
    <w:p>
      <w:pPr>
        <w:spacing w:after="120" w:line="276" w:lineRule="auto"/>
        <w:ind w:left="567" w:hanging="567"/>
        <w:jc w:val="left"/>
      </w:pPr>
      <w:r>
        <w:rPr>
          <w:sz w:val="22"/>
        </w:rPr>
        <w:t xml:space="preserve">Azamuke, D., Katarahweire, M., &amp; Bainomugisha, E. (2022). Scenario-based synthetic dataset generation for mobile money transactions. </w:t>
      </w:r>
      <w:r>
        <w:rPr>
          <w:i/>
          <w:sz w:val="22"/>
        </w:rPr>
        <w:t>Proceedings of the Federated Africa and Middle East Conference on Software Engineering</w:t>
      </w:r>
      <w:r>
        <w:rPr>
          <w:sz w:val="22"/>
        </w:rPr>
        <w:t>, ACM, 64-72. https://doi.org/10.1145/3531056.3542774</w:t>
      </w:r>
    </w:p>
    <w:p>
      <w:pPr>
        <w:spacing w:after="120" w:line="276" w:lineRule="auto"/>
        <w:ind w:left="567" w:hanging="567"/>
        <w:jc w:val="left"/>
      </w:pPr>
      <w:r>
        <w:rPr>
          <w:sz w:val="22"/>
        </w:rPr>
        <w:t xml:space="preserve">Azamuke, D., Katarahweire, M., &amp; Bainomugisha, E. (2025). Financial fraud detection using rich mobile money transaction datasets. </w:t>
      </w:r>
      <w:r>
        <w:rPr>
          <w:i/>
          <w:sz w:val="22"/>
        </w:rPr>
        <w:t>AFRICOMM</w:t>
      </w:r>
      <w:r>
        <w:rPr>
          <w:sz w:val="22"/>
        </w:rPr>
        <w:t>, Springer. https://doi.org/10.1007/978-3-031-81573-7_16</w:t>
      </w:r>
    </w:p>
    <w:p>
      <w:pPr>
        <w:spacing w:after="120" w:line="276" w:lineRule="auto"/>
        <w:ind w:left="567" w:hanging="567"/>
        <w:jc w:val="left"/>
      </w:pPr>
      <w:r>
        <w:rPr>
          <w:sz w:val="22"/>
        </w:rPr>
        <w:t xml:space="preserve">Bahdanau, D., Cho, K., &amp; Bengio, Y. (2015). Neural machine translation by jointly learning to align and translate. </w:t>
      </w:r>
      <w:r>
        <w:rPr>
          <w:i/>
          <w:sz w:val="22"/>
        </w:rPr>
        <w:t>International Conference on Learning Representations (ICLR)</w:t>
      </w:r>
      <w:r>
        <w:rPr>
          <w:sz w:val="22"/>
        </w:rPr>
        <w:t>.</w:t>
      </w:r>
    </w:p>
    <w:p>
      <w:pPr>
        <w:spacing w:after="120" w:line="276" w:lineRule="auto"/>
        <w:ind w:left="567" w:hanging="567"/>
        <w:jc w:val="left"/>
      </w:pPr>
      <w:r>
        <w:rPr>
          <w:sz w:val="22"/>
        </w:rPr>
        <w:t xml:space="preserve">Bahnsen, A. C., Aouada, D., Stojanovic, A., &amp; Ottersten, B. (2016). Feature engineering strategies for credit card fraud detection. </w:t>
      </w:r>
      <w:r>
        <w:rPr>
          <w:i/>
          <w:sz w:val="22"/>
        </w:rPr>
        <w:t>Expert Systems with Applications</w:t>
      </w:r>
      <w:r>
        <w:rPr>
          <w:sz w:val="22"/>
        </w:rPr>
        <w:t>, 51, 134-142.</w:t>
      </w:r>
    </w:p>
    <w:p>
      <w:pPr>
        <w:spacing w:after="120" w:line="276" w:lineRule="auto"/>
        <w:ind w:left="567" w:hanging="567"/>
        <w:jc w:val="left"/>
      </w:pPr>
      <w:r>
        <w:rPr>
          <w:sz w:val="22"/>
        </w:rPr>
        <w:t xml:space="preserve">Banque Centrale du Congo. </w:t>
      </w:r>
      <w:r>
        <w:rPr>
          <w:i/>
          <w:sz w:val="22"/>
        </w:rPr>
        <w:t>Cours de change officiels</w:t>
      </w:r>
      <w:r>
        <w:rPr>
          <w:sz w:val="22"/>
        </w:rPr>
        <w:t xml:space="preserve"> ; Instruction n° 24 relative à l'émission de monnaie électronique (2011). https://www.bcc.cd</w:t>
      </w:r>
    </w:p>
    <w:p>
      <w:pPr>
        <w:spacing w:after="120" w:line="276" w:lineRule="auto"/>
        <w:ind w:left="567" w:hanging="567"/>
        <w:jc w:val="left"/>
      </w:pPr>
      <w:r>
        <w:rPr>
          <w:sz w:val="22"/>
        </w:rPr>
        <w:t xml:space="preserve">Banque mondiale. </w:t>
      </w:r>
      <w:r>
        <w:rPr>
          <w:i/>
          <w:sz w:val="22"/>
        </w:rPr>
        <w:t>Official exchange rate (LCU per US$, period average)</w:t>
      </w:r>
      <w:r>
        <w:rPr>
          <w:sz w:val="22"/>
        </w:rPr>
        <w:t>, indicateur PA.NUS.FCRF, RDC. https://data.worldbank.org/indicator/PA.NUS.FCRF?locations=CD</w:t>
      </w:r>
    </w:p>
    <w:p>
      <w:pPr>
        <w:spacing w:after="120" w:line="276" w:lineRule="auto"/>
        <w:ind w:left="567" w:hanging="567"/>
        <w:jc w:val="left"/>
      </w:pPr>
      <w:r>
        <w:rPr>
          <w:sz w:val="22"/>
        </w:rPr>
        <w:t xml:space="preserve">Breiman, L. (2001). Random forests. </w:t>
      </w:r>
      <w:r>
        <w:rPr>
          <w:i/>
          <w:sz w:val="22"/>
        </w:rPr>
        <w:t>Machine Learning</w:t>
      </w:r>
      <w:r>
        <w:rPr>
          <w:sz w:val="22"/>
        </w:rPr>
        <w:t>, 45(1), 5-32.</w:t>
      </w:r>
    </w:p>
    <w:p>
      <w:pPr>
        <w:spacing w:after="120" w:line="276" w:lineRule="auto"/>
        <w:ind w:left="567" w:hanging="567"/>
        <w:jc w:val="left"/>
      </w:pPr>
      <w:r>
        <w:rPr>
          <w:sz w:val="22"/>
        </w:rPr>
        <w:t xml:space="preserve">Brier, G. W. (1950). Verification of forecasts expressed in terms of probability. </w:t>
      </w:r>
      <w:r>
        <w:rPr>
          <w:i/>
          <w:sz w:val="22"/>
        </w:rPr>
        <w:t>Monthly Weather Review</w:t>
      </w:r>
      <w:r>
        <w:rPr>
          <w:sz w:val="22"/>
        </w:rPr>
        <w:t>, 78(1), 1-3.</w:t>
      </w:r>
    </w:p>
    <w:p>
      <w:pPr>
        <w:spacing w:after="120" w:line="276" w:lineRule="auto"/>
        <w:ind w:left="567" w:hanging="567"/>
        <w:jc w:val="left"/>
      </w:pPr>
      <w:r>
        <w:rPr>
          <w:sz w:val="22"/>
        </w:rPr>
        <w:t xml:space="preserve">Carcillo, F., Le Borgne, Y.-A., Caelen, O., Kessaci, Y., Oblé, F., &amp; Bontempi, G. (2019). Combining unsupervised and supervised learning in credit card fraud detection. </w:t>
      </w:r>
      <w:r>
        <w:rPr>
          <w:i/>
          <w:sz w:val="22"/>
        </w:rPr>
        <w:t>Information Sciences</w:t>
      </w:r>
      <w:r>
        <w:rPr>
          <w:sz w:val="22"/>
        </w:rPr>
        <w:t xml:space="preserve"> (publication en ligne).</w:t>
      </w:r>
    </w:p>
    <w:p>
      <w:pPr>
        <w:spacing w:after="120" w:line="276" w:lineRule="auto"/>
        <w:ind w:left="567" w:hanging="567"/>
        <w:jc w:val="left"/>
      </w:pPr>
      <w:r>
        <w:rPr>
          <w:sz w:val="22"/>
        </w:rPr>
        <w:t xml:space="preserve">Chapman, P., Clinton, J., Kerber, R., Khabaza, T., Reinartz, T., Shearer, C., &amp; Wirth, R. (2000). </w:t>
      </w:r>
      <w:r>
        <w:rPr>
          <w:i/>
          <w:sz w:val="22"/>
        </w:rPr>
        <w:t>CRISP-DM 1.0: Step-by-step data mining guide</w:t>
      </w:r>
      <w:r>
        <w:rPr>
          <w:sz w:val="22"/>
        </w:rPr>
        <w:t>. SPSS.</w:t>
      </w:r>
    </w:p>
    <w:p>
      <w:pPr>
        <w:spacing w:after="120" w:line="276" w:lineRule="auto"/>
        <w:ind w:left="567" w:hanging="567"/>
        <w:jc w:val="left"/>
      </w:pPr>
      <w:r>
        <w:rPr>
          <w:sz w:val="22"/>
        </w:rPr>
        <w:t xml:space="preserve">Chen, T., &amp; Guestrin, C. (2016). XGBoost: a scalable tree boosting system. </w:t>
      </w:r>
      <w:r>
        <w:rPr>
          <w:i/>
          <w:sz w:val="22"/>
        </w:rPr>
        <w:t>Proceedings of the 22nd ACM SIGKDD International Conference on Knowledge Discovery and Data Mining</w:t>
      </w:r>
      <w:r>
        <w:rPr>
          <w:sz w:val="22"/>
        </w:rPr>
        <w:t>, 785-794.</w:t>
      </w:r>
    </w:p>
    <w:p>
      <w:pPr>
        <w:spacing w:after="120" w:line="276" w:lineRule="auto"/>
        <w:ind w:left="567" w:hanging="567"/>
        <w:jc w:val="left"/>
      </w:pPr>
      <w:r>
        <w:rPr>
          <w:sz w:val="22"/>
        </w:rPr>
        <w:t xml:space="preserve">Chicco, D., &amp; Jurman, G. (2020). The advantages of the Matthews correlation coefficient (MCC) over F1 score and accuracy in binary classification evaluation. </w:t>
      </w:r>
      <w:r>
        <w:rPr>
          <w:i/>
          <w:sz w:val="22"/>
        </w:rPr>
        <w:t>BMC Genomics</w:t>
      </w:r>
      <w:r>
        <w:rPr>
          <w:sz w:val="22"/>
        </w:rPr>
        <w:t>, 21, 6. https://doi.org/10.1186/s12864-019-6413-7</w:t>
      </w:r>
    </w:p>
    <w:p>
      <w:pPr>
        <w:spacing w:after="120" w:line="276" w:lineRule="auto"/>
        <w:ind w:left="567" w:hanging="567"/>
        <w:jc w:val="left"/>
      </w:pPr>
      <w:r>
        <w:rPr>
          <w:sz w:val="22"/>
        </w:rPr>
        <w:t xml:space="preserve">Dal Pozzolo, A., Caelen, O., Johnson, R. A., &amp; Bontempi, G. (2015). Calibrating probability with undersampling for unbalanced classification. </w:t>
      </w:r>
      <w:r>
        <w:rPr>
          <w:i/>
          <w:sz w:val="22"/>
        </w:rPr>
        <w:t>IEEE Symposium Series on Computational Intelligence (SSCI)</w:t>
      </w:r>
      <w:r>
        <w:rPr>
          <w:sz w:val="22"/>
        </w:rPr>
        <w:t>.</w:t>
      </w:r>
    </w:p>
    <w:p>
      <w:pPr>
        <w:spacing w:after="120" w:line="276" w:lineRule="auto"/>
        <w:ind w:left="567" w:hanging="567"/>
        <w:jc w:val="left"/>
      </w:pPr>
      <w:r>
        <w:rPr>
          <w:sz w:val="22"/>
        </w:rPr>
        <w:t xml:space="preserve">Dal Pozzolo, A., Caelen, O., Le Borgne, Y.-A., Waterschoot, S., &amp; Bontempi, G. (2014). Learned lessons in credit card fraud detection from a practitioner perspective. </w:t>
      </w:r>
      <w:r>
        <w:rPr>
          <w:i/>
          <w:sz w:val="22"/>
        </w:rPr>
        <w:t>Expert Systems with Applications</w:t>
      </w:r>
      <w:r>
        <w:rPr>
          <w:sz w:val="22"/>
        </w:rPr>
        <w:t>, 41(10), 4915-4928.</w:t>
      </w:r>
    </w:p>
    <w:p>
      <w:pPr>
        <w:spacing w:after="120" w:line="276" w:lineRule="auto"/>
        <w:ind w:left="567" w:hanging="567"/>
        <w:jc w:val="left"/>
      </w:pPr>
      <w:r>
        <w:rPr>
          <w:sz w:val="22"/>
        </w:rPr>
        <w:t xml:space="preserve">Davis, J., &amp; Goadrich, M. (2006). The relationship between precision-recall and ROC curves. </w:t>
      </w:r>
      <w:r>
        <w:rPr>
          <w:i/>
          <w:sz w:val="22"/>
        </w:rPr>
        <w:t>Proceedings of the 23rd International Conference on Machine Learning (ICML)</w:t>
      </w:r>
      <w:r>
        <w:rPr>
          <w:sz w:val="22"/>
        </w:rPr>
        <w:t>, 233-240.</w:t>
      </w:r>
    </w:p>
    <w:p>
      <w:pPr>
        <w:spacing w:after="120" w:line="276" w:lineRule="auto"/>
        <w:ind w:left="567" w:hanging="567"/>
        <w:jc w:val="left"/>
      </w:pPr>
      <w:r>
        <w:rPr>
          <w:sz w:val="22"/>
        </w:rPr>
        <w:t xml:space="preserve">Dietterich, T. G. (1998). Approximate statistical tests for comparing supervised classification learning algorithms. </w:t>
      </w:r>
      <w:r>
        <w:rPr>
          <w:i/>
          <w:sz w:val="22"/>
        </w:rPr>
        <w:t>Neural Computation</w:t>
      </w:r>
      <w:r>
        <w:rPr>
          <w:sz w:val="22"/>
        </w:rPr>
        <w:t>, 10(7), 1895-1923.</w:t>
      </w:r>
    </w:p>
    <w:p>
      <w:pPr>
        <w:spacing w:after="120" w:line="276" w:lineRule="auto"/>
        <w:ind w:left="567" w:hanging="567"/>
        <w:jc w:val="left"/>
      </w:pPr>
      <w:r>
        <w:rPr>
          <w:sz w:val="22"/>
        </w:rPr>
        <w:t xml:space="preserve">Efron, B. (1979). Bootstrap methods: another look at the jackknife. </w:t>
      </w:r>
      <w:r>
        <w:rPr>
          <w:i/>
          <w:sz w:val="22"/>
        </w:rPr>
        <w:t>The Annals of Statistics</w:t>
      </w:r>
      <w:r>
        <w:rPr>
          <w:sz w:val="22"/>
        </w:rPr>
        <w:t>, 7(1), 1-26.</w:t>
      </w:r>
    </w:p>
    <w:p>
      <w:pPr>
        <w:spacing w:after="120" w:line="276" w:lineRule="auto"/>
        <w:ind w:left="567" w:hanging="567"/>
        <w:jc w:val="left"/>
      </w:pPr>
      <w:r>
        <w:rPr>
          <w:sz w:val="22"/>
        </w:rPr>
        <w:t xml:space="preserve">Elkan, C. (2001). The foundations of cost-sensitive learning. </w:t>
      </w:r>
      <w:r>
        <w:rPr>
          <w:i/>
          <w:sz w:val="22"/>
        </w:rPr>
        <w:t>Proceedings of the 17th International Joint Conference on Artificial Intelligence (IJCAI)</w:t>
      </w:r>
      <w:r>
        <w:rPr>
          <w:sz w:val="22"/>
        </w:rPr>
        <w:t>, 973-978.</w:t>
      </w:r>
    </w:p>
    <w:p>
      <w:pPr>
        <w:spacing w:after="120" w:line="276" w:lineRule="auto"/>
        <w:ind w:left="567" w:hanging="567"/>
        <w:jc w:val="left"/>
      </w:pPr>
      <w:r>
        <w:rPr>
          <w:sz w:val="22"/>
        </w:rPr>
        <w:t xml:space="preserve">Gama, J., Žliobaitė, I., Bifet, A., Pechenizkiy, M., &amp; Bouchachia, A. (2014). A survey on concept drift adaptation. </w:t>
      </w:r>
      <w:r>
        <w:rPr>
          <w:i/>
          <w:sz w:val="22"/>
        </w:rPr>
        <w:t>ACM Computing Surveys</w:t>
      </w:r>
      <w:r>
        <w:rPr>
          <w:sz w:val="22"/>
        </w:rPr>
        <w:t>, 46(4), article 44. https://doi.org/10.1145/2523813</w:t>
      </w:r>
    </w:p>
    <w:p>
      <w:pPr>
        <w:spacing w:after="120" w:line="276" w:lineRule="auto"/>
        <w:ind w:left="567" w:hanging="567"/>
        <w:jc w:val="left"/>
      </w:pPr>
      <w:r>
        <w:rPr>
          <w:sz w:val="22"/>
        </w:rPr>
        <w:t xml:space="preserve">Grinsztajn, L., Oyallon, E., &amp; Varoquaux, G. (2022). Why do tree-based models still outperform deep learning on typical tabular data? </w:t>
      </w:r>
      <w:r>
        <w:rPr>
          <w:i/>
          <w:sz w:val="22"/>
        </w:rPr>
        <w:t>Advances in Neural Information Processing Systems 35 (NeurIPS 2022), Datasets and Benchmarks Track</w:t>
      </w:r>
      <w:r>
        <w:rPr>
          <w:sz w:val="22"/>
        </w:rPr>
        <w:t>.</w:t>
      </w:r>
    </w:p>
    <w:p>
      <w:pPr>
        <w:spacing w:after="120" w:line="276" w:lineRule="auto"/>
        <w:ind w:left="567" w:hanging="567"/>
        <w:jc w:val="left"/>
      </w:pPr>
      <w:r>
        <w:rPr>
          <w:sz w:val="22"/>
        </w:rPr>
        <w:t xml:space="preserve">Hardt, M., Price, E., &amp; Srebro, N. (2016). Equality of opportunity in supervised learning. </w:t>
      </w:r>
      <w:r>
        <w:rPr>
          <w:i/>
          <w:sz w:val="22"/>
        </w:rPr>
        <w:t>Advances in Neural Information Processing Systems 29 (NeurIPS 2016)</w:t>
      </w:r>
      <w:r>
        <w:rPr>
          <w:sz w:val="22"/>
        </w:rPr>
        <w:t>.</w:t>
      </w:r>
    </w:p>
    <w:p>
      <w:pPr>
        <w:spacing w:after="120" w:line="276" w:lineRule="auto"/>
        <w:ind w:left="567" w:hanging="567"/>
        <w:jc w:val="left"/>
      </w:pPr>
      <w:r>
        <w:rPr>
          <w:sz w:val="22"/>
        </w:rPr>
        <w:t xml:space="preserve">Hevner, A. R., March, S. T., Park, J., &amp; Ram, S. (2004). Design science in information systems research. </w:t>
      </w:r>
      <w:r>
        <w:rPr>
          <w:i/>
          <w:sz w:val="22"/>
        </w:rPr>
        <w:t>MIS Quarterly</w:t>
      </w:r>
      <w:r>
        <w:rPr>
          <w:sz w:val="22"/>
        </w:rPr>
        <w:t>, 28(1), 75-105.</w:t>
      </w:r>
    </w:p>
    <w:p>
      <w:pPr>
        <w:spacing w:after="120" w:line="276" w:lineRule="auto"/>
        <w:ind w:left="567" w:hanging="567"/>
        <w:jc w:val="left"/>
      </w:pPr>
      <w:r>
        <w:rPr>
          <w:sz w:val="22"/>
        </w:rPr>
        <w:t xml:space="preserve">Hinton, G. E., &amp; Salakhutdinov, R. R. (2006). Reducing the dimensionality of data with neural networks. </w:t>
      </w:r>
      <w:r>
        <w:rPr>
          <w:i/>
          <w:sz w:val="22"/>
        </w:rPr>
        <w:t>Science</w:t>
      </w:r>
      <w:r>
        <w:rPr>
          <w:sz w:val="22"/>
        </w:rPr>
        <w:t>, 313(5786), 504-507.</w:t>
      </w:r>
    </w:p>
    <w:p>
      <w:pPr>
        <w:spacing w:after="120" w:line="276" w:lineRule="auto"/>
        <w:ind w:left="567" w:hanging="567"/>
        <w:jc w:val="left"/>
      </w:pPr>
      <w:r>
        <w:rPr>
          <w:sz w:val="22"/>
        </w:rPr>
        <w:t xml:space="preserve">Hochreiter, S., &amp; Schmidhuber, J. (1997). Long short-term memory. </w:t>
      </w:r>
      <w:r>
        <w:rPr>
          <w:i/>
          <w:sz w:val="22"/>
        </w:rPr>
        <w:t>Neural Computation</w:t>
      </w:r>
      <w:r>
        <w:rPr>
          <w:sz w:val="22"/>
        </w:rPr>
        <w:t>, 9(8), 1735-1780.</w:t>
      </w:r>
    </w:p>
    <w:p>
      <w:pPr>
        <w:spacing w:after="120" w:line="276" w:lineRule="auto"/>
        <w:ind w:left="567" w:hanging="567"/>
        <w:jc w:val="left"/>
      </w:pPr>
      <w:r>
        <w:rPr>
          <w:sz w:val="22"/>
        </w:rPr>
        <w:t xml:space="preserve">Jurgovsky, J., et al. (2018). Sequence classification for credit-card fraud detection. </w:t>
      </w:r>
      <w:r>
        <w:rPr>
          <w:i/>
          <w:sz w:val="22"/>
        </w:rPr>
        <w:t>Expert Systems with Applications</w:t>
      </w:r>
      <w:r>
        <w:rPr>
          <w:sz w:val="22"/>
        </w:rPr>
        <w:t>. https://doi.org/10.1016/j.eswa.2018.01.037</w:t>
      </w:r>
    </w:p>
    <w:p>
      <w:pPr>
        <w:spacing w:after="120" w:line="276" w:lineRule="auto"/>
        <w:ind w:left="567" w:hanging="567"/>
        <w:jc w:val="left"/>
      </w:pPr>
      <w:r>
        <w:rPr>
          <w:sz w:val="22"/>
        </w:rPr>
        <w:t xml:space="preserve">Liu, F. T., Ting, K. M., &amp; Zhou, Z.-H. (2008). Isolation forest. </w:t>
      </w:r>
      <w:r>
        <w:rPr>
          <w:i/>
          <w:sz w:val="22"/>
        </w:rPr>
        <w:t>Proceedings of the 8th IEEE International Conference on Data Mining (ICDM)</w:t>
      </w:r>
      <w:r>
        <w:rPr>
          <w:sz w:val="22"/>
        </w:rPr>
        <w:t>, 413-422.</w:t>
      </w:r>
    </w:p>
    <w:p>
      <w:pPr>
        <w:spacing w:after="120" w:line="276" w:lineRule="auto"/>
        <w:ind w:left="567" w:hanging="567"/>
        <w:jc w:val="left"/>
      </w:pPr>
      <w:r>
        <w:rPr>
          <w:sz w:val="22"/>
        </w:rPr>
        <w:t xml:space="preserve">Lopez-Rojas, E. A., Elmir, A., &amp; Axelsson, S. (2016). PaySim: a financial mobile money simulator for fraud detection. </w:t>
      </w:r>
      <w:r>
        <w:rPr>
          <w:i/>
          <w:sz w:val="22"/>
        </w:rPr>
        <w:t>28th European Modeling and Simulation Symposium (EMSS)</w:t>
      </w:r>
      <w:r>
        <w:rPr>
          <w:sz w:val="22"/>
        </w:rPr>
        <w:t>, Larnaca, Chypre.</w:t>
      </w:r>
    </w:p>
    <w:p>
      <w:pPr>
        <w:spacing w:after="120" w:line="276" w:lineRule="auto"/>
        <w:ind w:left="567" w:hanging="567"/>
        <w:jc w:val="left"/>
      </w:pPr>
      <w:r>
        <w:rPr>
          <w:sz w:val="22"/>
        </w:rPr>
        <w:t xml:space="preserve">Lundberg, S. M., Erion, G., Chen, H., et al. (2020). From local explanations to global understanding with explainable AI for trees. </w:t>
      </w:r>
      <w:r>
        <w:rPr>
          <w:i/>
          <w:sz w:val="22"/>
        </w:rPr>
        <w:t>Nature Machine Intelligence</w:t>
      </w:r>
      <w:r>
        <w:rPr>
          <w:sz w:val="22"/>
        </w:rPr>
        <w:t>, 2(1), 56-67. https://doi.org/10.1038/s42256-019-0138-9</w:t>
      </w:r>
    </w:p>
    <w:p>
      <w:pPr>
        <w:spacing w:after="120" w:line="276" w:lineRule="auto"/>
        <w:ind w:left="567" w:hanging="567"/>
        <w:jc w:val="left"/>
      </w:pPr>
      <w:r>
        <w:rPr>
          <w:sz w:val="22"/>
        </w:rPr>
        <w:t xml:space="preserve">Lundberg, S. M., &amp; Lee, S.-I. (2017). A unified approach to interpreting model predictions. </w:t>
      </w:r>
      <w:r>
        <w:rPr>
          <w:i/>
          <w:sz w:val="22"/>
        </w:rPr>
        <w:t>Advances in Neural Information Processing Systems 30 (NeurIPS 2017)</w:t>
      </w:r>
      <w:r>
        <w:rPr>
          <w:sz w:val="22"/>
        </w:rPr>
        <w:t>.</w:t>
      </w:r>
    </w:p>
    <w:p>
      <w:pPr>
        <w:spacing w:after="120" w:line="276" w:lineRule="auto"/>
        <w:ind w:left="567" w:hanging="567"/>
        <w:jc w:val="left"/>
      </w:pPr>
      <w:r>
        <w:rPr>
          <w:sz w:val="22"/>
        </w:rPr>
        <w:t xml:space="preserve">McNemar, Q. (1947). Note on the sampling error of the difference between correlated proportions or percentages. </w:t>
      </w:r>
      <w:r>
        <w:rPr>
          <w:i/>
          <w:sz w:val="22"/>
        </w:rPr>
        <w:t>Psychometrika</w:t>
      </w:r>
      <w:r>
        <w:rPr>
          <w:sz w:val="22"/>
        </w:rPr>
        <w:t>, 12(2), 153-157.</w:t>
      </w:r>
    </w:p>
    <w:p>
      <w:pPr>
        <w:spacing w:after="120" w:line="276" w:lineRule="auto"/>
        <w:ind w:left="567" w:hanging="567"/>
        <w:jc w:val="left"/>
      </w:pPr>
      <w:r>
        <w:rPr>
          <w:sz w:val="22"/>
        </w:rPr>
        <w:t xml:space="preserve">Roques, P., &amp; Vallée, F. (2011). </w:t>
      </w:r>
      <w:r>
        <w:rPr>
          <w:i/>
          <w:sz w:val="22"/>
        </w:rPr>
        <w:t>UML 2 en action : de l'analyse des besoins à la conception</w:t>
      </w:r>
      <w:r>
        <w:rPr>
          <w:sz w:val="22"/>
        </w:rPr>
        <w:t>. Eyrolles.</w:t>
      </w:r>
    </w:p>
    <w:p>
      <w:pPr>
        <w:spacing w:after="120" w:line="276" w:lineRule="auto"/>
        <w:ind w:left="567" w:hanging="567"/>
        <w:jc w:val="left"/>
      </w:pPr>
      <w:r>
        <w:rPr>
          <w:sz w:val="22"/>
        </w:rPr>
        <w:t xml:space="preserve">Saito, T., &amp; Rehmsmeier, M. (2015). The precision-recall plot is more informative than the ROC plot when evaluating binary classifiers on imbalanced datasets. </w:t>
      </w:r>
      <w:r>
        <w:rPr>
          <w:i/>
          <w:sz w:val="22"/>
        </w:rPr>
        <w:t>PLoS ONE</w:t>
      </w:r>
      <w:r>
        <w:rPr>
          <w:sz w:val="22"/>
        </w:rPr>
        <w:t>, 10(3), e0118432.</w:t>
      </w:r>
    </w:p>
    <w:p>
      <w:pPr>
        <w:spacing w:after="120" w:line="276" w:lineRule="auto"/>
        <w:ind w:left="567" w:hanging="567"/>
        <w:jc w:val="left"/>
      </w:pPr>
      <w:r>
        <w:rPr>
          <w:sz w:val="22"/>
        </w:rPr>
        <w:t xml:space="preserve">Wilson, E. B. (1927). Probable inference, the law of succession, and statistical inference. </w:t>
      </w:r>
      <w:r>
        <w:rPr>
          <w:i/>
          <w:sz w:val="22"/>
        </w:rPr>
        <w:t>Journal of the American Statistical Association</w:t>
      </w:r>
      <w:r>
        <w:rPr>
          <w:sz w:val="22"/>
        </w:rPr>
        <w:t>, 22(158), 209-212.</w:t>
      </w:r>
    </w:p>
    <w:p>
      <w:pPr>
        <w:spacing w:after="120" w:line="276" w:lineRule="auto"/>
        <w:ind w:left="567" w:hanging="567"/>
        <w:jc w:val="left"/>
      </w:pPr>
      <w:r>
        <w:rPr>
          <w:sz w:val="22"/>
        </w:rPr>
        <w:t xml:space="preserve">Wolpert, D. H. (1992). Stacked generalization. </w:t>
      </w:r>
      <w:r>
        <w:rPr>
          <w:i/>
          <w:sz w:val="22"/>
        </w:rPr>
        <w:t>Neural Networks</w:t>
      </w:r>
      <w:r>
        <w:rPr>
          <w:sz w:val="22"/>
        </w:rPr>
        <w:t>, 5(2), 241-259.</w:t>
      </w:r>
    </w:p>
    <w:p w14:paraId="28B76EA0" w14:textId="77777777" w:rsidR="00852587" w:rsidRDefault="00852587"/>
    <w:p w14:paraId="201BAE05" w14:textId="77777777" w:rsidR="00852587" w:rsidRDefault="00852587"/>
    <w:p w14:paraId="60EFC1A4" w14:textId="77777777" w:rsidR="00852587" w:rsidRDefault="00852587"/>
    <w:p w14:paraId="68E4A9E3" w14:textId="77777777" w:rsidR="00852587" w:rsidRDefault="00852587"/>
    <w:p w14:paraId="2756463A" w14:textId="77777777" w:rsidR="00852587" w:rsidRDefault="00852587">
      <w:pPr>
        <w:rPr>
          <w:rFonts w:ascii="Roboto" w:eastAsia="Roboto" w:hAnsi="Roboto" w:cs="Roboto"/>
          <w:color w:val="374151"/>
          <w:sz w:val="24"/>
          <w:szCs w:val="24"/>
        </w:rPr>
      </w:pPr>
    </w:p>
    <w:p w14:paraId="33D0F3F7" w14:textId="77777777" w:rsidR="00852587" w:rsidRDefault="00852587">
      <w:pPr>
        <w:rPr>
          <w:rFonts w:ascii="Roboto" w:eastAsia="Roboto" w:hAnsi="Roboto" w:cs="Roboto"/>
          <w:color w:val="374151"/>
          <w:sz w:val="24"/>
          <w:szCs w:val="24"/>
        </w:rPr>
      </w:pPr>
    </w:p>
    <w:p w14:paraId="722C1CD9" w14:textId="77777777" w:rsidR="00852587" w:rsidRDefault="00852587"/>
    <w:p w14:paraId="215BB409" w14:textId="77777777" w:rsidR="00852587" w:rsidRDefault="00852587"/>
    <w:p w14:paraId="561672D8" w14:textId="77777777" w:rsidR="00852587" w:rsidRDefault="00852587"/>
    <w:p w14:paraId="36409D70" w14:textId="77777777" w:rsidR="00852587" w:rsidRDefault="00852587"/>
    <w:p w14:paraId="67E4AAC6" w14:textId="77777777" w:rsidR="00852587" w:rsidRDefault="00852587"/>
    <w:p w14:paraId="4A786D02" w14:textId="77777777" w:rsidR="00852587" w:rsidRDefault="00852587"/>
    <w:p w14:paraId="08FAC1F8" w14:textId="77777777" w:rsidR="00852587" w:rsidRDefault="00852587"/>
    <w:p w14:paraId="16EFEB36" w14:textId="77777777" w:rsidR="00852587" w:rsidRDefault="00852587"/>
    <w:p w14:paraId="0D1F3F3A" w14:textId="77777777" w:rsidR="00852587" w:rsidRDefault="00852587"/>
    <w:p w14:paraId="02C947ED" w14:textId="77777777" w:rsidR="00852587" w:rsidRDefault="00852587"/>
    <w:p w14:paraId="7ED8F6E2" w14:textId="77777777" w:rsidR="00852587" w:rsidRDefault="00852587"/>
    <w:p w14:paraId="64842740" w14:textId="77777777" w:rsidR="00852587" w:rsidRDefault="00852587"/>
    <w:p w14:paraId="3CE2A96D" w14:textId="77777777" w:rsidR="00852587" w:rsidRDefault="00852587"/>
    <w:p w14:paraId="5E8A9901" w14:textId="77777777" w:rsidR="00852587" w:rsidRDefault="00852587"/>
    <w:p w14:paraId="061CB679" w14:textId="77777777" w:rsidR="00852587" w:rsidRDefault="00852587"/>
    <w:p w14:paraId="16910425" w14:textId="77777777" w:rsidR="00852587" w:rsidRDefault="00852587"/>
    <w:p w14:paraId="5458BE28" w14:textId="77777777" w:rsidR="00852587" w:rsidRDefault="00852587"/>
    <w:p w14:paraId="6B83DFA4" w14:textId="77777777" w:rsidR="00852587" w:rsidRDefault="00852587"/>
    <w:p w14:paraId="3D2791FC" w14:textId="77777777" w:rsidR="00852587" w:rsidRDefault="00852587"/>
    <w:p w14:paraId="321850AE" w14:textId="77777777" w:rsidR="00852587" w:rsidRDefault="00852587"/>
    <w:p w14:paraId="69DBFEC5" w14:textId="77777777" w:rsidR="00852587" w:rsidRDefault="00852587"/>
    <w:p w14:paraId="37C9CA6C" w14:textId="77777777" w:rsidR="00852587" w:rsidRDefault="00852587"/>
    <w:p w14:paraId="53675891" w14:textId="77777777" w:rsidR="00852587" w:rsidRDefault="00852587"/>
    <w:p w14:paraId="3EBD8985" w14:textId="77777777" w:rsidR="00852587" w:rsidRDefault="00852587"/>
    <w:p w14:paraId="08517ACD" w14:textId="77777777" w:rsidR="00852587" w:rsidRDefault="00852587"/>
    <w:p w14:paraId="38E0C8E4" w14:textId="77777777" w:rsidR="00852587" w:rsidRDefault="00852587"/>
    <w:p w14:paraId="22879212" w14:textId="77777777" w:rsidR="00852587" w:rsidRDefault="00852587"/>
    <w:p w14:paraId="45FB7BB4" w14:textId="77777777" w:rsidR="00852587" w:rsidRDefault="00852587"/>
    <w:p w14:paraId="5BC586F3" w14:textId="77777777" w:rsidR="00852587" w:rsidRDefault="00852587"/>
    <w:p w14:paraId="43D6FAF5" w14:textId="77777777" w:rsidR="00852587" w:rsidRDefault="00852587"/>
    <w:p w14:paraId="29666B50" w14:textId="77777777" w:rsidR="00852587" w:rsidRDefault="00852587"/>
    <w:p w14:paraId="592F9B87" w14:textId="77777777" w:rsidR="00852587" w:rsidRDefault="00852587"/>
    <w:p w14:paraId="126E5E1E" w14:textId="77777777" w:rsidR="00852587" w:rsidRDefault="00852587"/>
    <w:p w14:paraId="2F1D50BC" w14:textId="77777777" w:rsidR="00852587" w:rsidRDefault="00852587"/>
    <w:p w14:paraId="12AEF9BE" w14:textId="77777777" w:rsidR="00852587" w:rsidRDefault="00852587"/>
    <w:p w14:paraId="5DAF9F66" w14:textId="77777777" w:rsidR="00852587" w:rsidRDefault="00852587"/>
    <w:p w14:paraId="358300CB" w14:textId="77777777" w:rsidR="00852587" w:rsidRDefault="00852587"/>
    <w:p w14:paraId="7DC2456F" w14:textId="77777777" w:rsidR="00852587" w:rsidRDefault="00852587"/>
    <w:p w14:paraId="20EE9D6D" w14:textId="77777777" w:rsidR="00852587" w:rsidRDefault="00852587"/>
    <w:p w14:paraId="7D1A19DD" w14:textId="77777777" w:rsidR="00852587" w:rsidRDefault="00852587"/>
    <w:p w14:paraId="6D5F271F" w14:textId="77777777" w:rsidR="00852587" w:rsidRDefault="00852587"/>
    <w:p w14:paraId="766CC991" w14:textId="77777777" w:rsidR="00852587" w:rsidRDefault="00852587"/>
    <w:p w14:paraId="467DC2E0" w14:textId="77777777" w:rsidR="00852587" w:rsidRDefault="00852587"/>
    <w:p w14:paraId="61A9E74F" w14:textId="77777777" w:rsidR="00852587" w:rsidRDefault="00852587"/>
    <w:p w14:paraId="4E1BBD08" w14:textId="77777777" w:rsidR="00852587" w:rsidRDefault="00852587"/>
    <w:p w14:paraId="192FB500" w14:textId="77777777" w:rsidR="00852587" w:rsidRDefault="00852587"/>
    <w:p w14:paraId="563F735A" w14:textId="77777777" w:rsidR="00852587" w:rsidRDefault="00852587"/>
    <w:p w14:paraId="5B391FEE" w14:textId="77777777" w:rsidR="00852587" w:rsidRDefault="004C4A96">
      <w:pPr>
        <w:pStyle w:val="Titre1"/>
        <w:spacing w:line="360" w:lineRule="auto"/>
        <w:ind w:left="0" w:right="2064"/>
      </w:pPr>
      <w:bookmarkStart w:id="112" w:name="_heading=h.snnzt9t5nipa" w:colFirst="0" w:colLast="0"/>
      <w:bookmarkEnd w:id="112"/>
      <w:r>
        <w:rPr>
          <w:color w:val="2E5395"/>
        </w:rPr>
        <w:lastRenderedPageBreak/>
        <w:t>WEBOGRAPHIE</w:t>
      </w:r>
    </w:p>
    <w:p w14:paraId="398ADE4E" w14:textId="77777777" w:rsidR="00852587" w:rsidRDefault="00852587">
      <w:pPr>
        <w:tabs>
          <w:tab w:val="left" w:pos="820"/>
          <w:tab w:val="left" w:pos="821"/>
        </w:tabs>
        <w:spacing w:before="236" w:line="360" w:lineRule="auto"/>
        <w:ind w:left="821"/>
        <w:rPr>
          <w:rFonts w:ascii="Carlito" w:eastAsia="Carlito" w:hAnsi="Carlito" w:cs="Carlito"/>
          <w:sz w:val="24"/>
          <w:szCs w:val="24"/>
        </w:rPr>
      </w:pPr>
    </w:p>
    <w:p w14:paraId="1F7F1EF2" w14:textId="77777777" w:rsidR="00852587" w:rsidRDefault="00852587">
      <w:pPr>
        <w:pStyle w:val="Titre2"/>
        <w:pBdr>
          <w:top w:val="none" w:sz="0" w:space="0" w:color="D9D9E3"/>
          <w:left w:val="none" w:sz="0" w:space="0" w:color="D9D9E3"/>
          <w:bottom w:val="none" w:sz="0" w:space="0" w:color="D9D9E3"/>
          <w:right w:val="none" w:sz="0" w:space="0" w:color="D9D9E3"/>
          <w:between w:val="none" w:sz="0" w:space="0" w:color="D9D9E3"/>
        </w:pBdr>
        <w:spacing w:before="360" w:after="80" w:line="319" w:lineRule="auto"/>
        <w:rPr>
          <w:rFonts w:ascii="Roboto" w:eastAsia="Roboto" w:hAnsi="Roboto" w:cs="Roboto"/>
          <w:sz w:val="34"/>
          <w:szCs w:val="34"/>
        </w:rPr>
      </w:pPr>
      <w:bookmarkStart w:id="113" w:name="_heading=h.jl974qgnt9h7" w:colFirst="0" w:colLast="0"/>
      <w:bookmarkEnd w:id="113"/>
    </w:p>
    <w:p w14:paraId="6AD2DDC3" w14:textId="77777777" w:rsidR="00852587" w:rsidRDefault="00852587">
      <w:pPr>
        <w:pStyle w:val="Titre2"/>
        <w:pBdr>
          <w:top w:val="none" w:sz="0" w:space="0" w:color="D9D9E3"/>
          <w:left w:val="none" w:sz="0" w:space="0" w:color="D9D9E3"/>
          <w:bottom w:val="none" w:sz="0" w:space="0" w:color="D9D9E3"/>
          <w:right w:val="none" w:sz="0" w:space="0" w:color="D9D9E3"/>
          <w:between w:val="none" w:sz="0" w:space="0" w:color="D9D9E3"/>
        </w:pBdr>
        <w:spacing w:before="360" w:after="80" w:line="319" w:lineRule="auto"/>
        <w:rPr>
          <w:rFonts w:ascii="Roboto" w:eastAsia="Roboto" w:hAnsi="Roboto" w:cs="Roboto"/>
          <w:sz w:val="34"/>
          <w:szCs w:val="34"/>
        </w:rPr>
      </w:pPr>
      <w:bookmarkStart w:id="114" w:name="_heading=h.i4sz4pu72en2" w:colFirst="0" w:colLast="0"/>
      <w:bookmarkEnd w:id="114"/>
    </w:p>
    <w:p w14:paraId="3692765B" w14:textId="77777777" w:rsidR="00852587" w:rsidRDefault="00852587">
      <w:pPr>
        <w:pStyle w:val="Titre2"/>
        <w:pBdr>
          <w:top w:val="none" w:sz="0" w:space="0" w:color="D9D9E3"/>
          <w:left w:val="none" w:sz="0" w:space="0" w:color="D9D9E3"/>
          <w:bottom w:val="none" w:sz="0" w:space="0" w:color="D9D9E3"/>
          <w:right w:val="none" w:sz="0" w:space="0" w:color="D9D9E3"/>
          <w:between w:val="none" w:sz="0" w:space="0" w:color="D9D9E3"/>
        </w:pBdr>
        <w:spacing w:before="360" w:after="80" w:line="319" w:lineRule="auto"/>
        <w:rPr>
          <w:rFonts w:ascii="Roboto" w:eastAsia="Roboto" w:hAnsi="Roboto" w:cs="Roboto"/>
          <w:sz w:val="34"/>
          <w:szCs w:val="34"/>
        </w:rPr>
      </w:pPr>
      <w:bookmarkStart w:id="115" w:name="_heading=h.9jqkdov36kvi" w:colFirst="0" w:colLast="0"/>
      <w:bookmarkEnd w:id="115"/>
    </w:p>
    <w:p w14:paraId="2BD345EB" w14:textId="77777777" w:rsidR="00852587" w:rsidRDefault="00852587">
      <w:pPr>
        <w:pStyle w:val="Titre2"/>
        <w:pBdr>
          <w:top w:val="none" w:sz="0" w:space="0" w:color="D9D9E3"/>
          <w:left w:val="none" w:sz="0" w:space="0" w:color="D9D9E3"/>
          <w:bottom w:val="none" w:sz="0" w:space="0" w:color="D9D9E3"/>
          <w:right w:val="none" w:sz="0" w:space="0" w:color="D9D9E3"/>
          <w:between w:val="none" w:sz="0" w:space="0" w:color="D9D9E3"/>
        </w:pBdr>
        <w:spacing w:before="360" w:after="80" w:line="319" w:lineRule="auto"/>
        <w:rPr>
          <w:rFonts w:ascii="Roboto" w:eastAsia="Roboto" w:hAnsi="Roboto" w:cs="Roboto"/>
          <w:sz w:val="34"/>
          <w:szCs w:val="34"/>
        </w:rPr>
      </w:pPr>
      <w:bookmarkStart w:id="116" w:name="_heading=h.lpvizq47rdhe" w:colFirst="0" w:colLast="0"/>
      <w:bookmarkEnd w:id="116"/>
    </w:p>
    <w:p w14:paraId="632E1F70" w14:textId="77777777" w:rsidR="00852587" w:rsidRDefault="00852587">
      <w:pPr>
        <w:pStyle w:val="Titre2"/>
        <w:pBdr>
          <w:top w:val="none" w:sz="0" w:space="0" w:color="D9D9E3"/>
          <w:left w:val="none" w:sz="0" w:space="0" w:color="D9D9E3"/>
          <w:bottom w:val="none" w:sz="0" w:space="0" w:color="D9D9E3"/>
          <w:right w:val="none" w:sz="0" w:space="0" w:color="D9D9E3"/>
          <w:between w:val="none" w:sz="0" w:space="0" w:color="D9D9E3"/>
        </w:pBdr>
        <w:spacing w:before="360" w:after="80" w:line="319" w:lineRule="auto"/>
        <w:rPr>
          <w:rFonts w:ascii="Roboto" w:eastAsia="Roboto" w:hAnsi="Roboto" w:cs="Roboto"/>
          <w:sz w:val="34"/>
          <w:szCs w:val="34"/>
        </w:rPr>
      </w:pPr>
      <w:bookmarkStart w:id="117" w:name="_heading=h.gmlfoo921oav" w:colFirst="0" w:colLast="0"/>
      <w:bookmarkEnd w:id="117"/>
    </w:p>
    <w:p w14:paraId="7B78E812" w14:textId="77777777" w:rsidR="00852587" w:rsidRDefault="00852587">
      <w:pPr>
        <w:pStyle w:val="Titre2"/>
        <w:pBdr>
          <w:top w:val="none" w:sz="0" w:space="0" w:color="D9D9E3"/>
          <w:left w:val="none" w:sz="0" w:space="0" w:color="D9D9E3"/>
          <w:bottom w:val="none" w:sz="0" w:space="0" w:color="D9D9E3"/>
          <w:right w:val="none" w:sz="0" w:space="0" w:color="D9D9E3"/>
          <w:between w:val="none" w:sz="0" w:space="0" w:color="D9D9E3"/>
        </w:pBdr>
        <w:spacing w:before="360" w:after="80" w:line="319" w:lineRule="auto"/>
        <w:rPr>
          <w:rFonts w:ascii="Roboto" w:eastAsia="Roboto" w:hAnsi="Roboto" w:cs="Roboto"/>
          <w:sz w:val="34"/>
          <w:szCs w:val="34"/>
        </w:rPr>
      </w:pPr>
      <w:bookmarkStart w:id="118" w:name="_heading=h.bw5g1wq6bbt8" w:colFirst="0" w:colLast="0"/>
      <w:bookmarkEnd w:id="118"/>
    </w:p>
    <w:p w14:paraId="686BF951" w14:textId="77777777" w:rsidR="00852587" w:rsidRDefault="00852587">
      <w:pPr>
        <w:pStyle w:val="Titre2"/>
        <w:pBdr>
          <w:top w:val="none" w:sz="0" w:space="0" w:color="D9D9E3"/>
          <w:left w:val="none" w:sz="0" w:space="0" w:color="D9D9E3"/>
          <w:bottom w:val="none" w:sz="0" w:space="0" w:color="D9D9E3"/>
          <w:right w:val="none" w:sz="0" w:space="0" w:color="D9D9E3"/>
          <w:between w:val="none" w:sz="0" w:space="0" w:color="D9D9E3"/>
        </w:pBdr>
        <w:spacing w:before="360" w:after="80" w:line="319" w:lineRule="auto"/>
        <w:rPr>
          <w:rFonts w:ascii="Roboto" w:eastAsia="Roboto" w:hAnsi="Roboto" w:cs="Roboto"/>
          <w:sz w:val="34"/>
          <w:szCs w:val="34"/>
        </w:rPr>
      </w:pPr>
      <w:bookmarkStart w:id="119" w:name="_heading=h.l7kugi3ceev6" w:colFirst="0" w:colLast="0"/>
      <w:bookmarkEnd w:id="119"/>
    </w:p>
    <w:p w14:paraId="11487F28" w14:textId="77777777" w:rsidR="00852587" w:rsidRDefault="00852587">
      <w:pPr>
        <w:pStyle w:val="Titre2"/>
        <w:pBdr>
          <w:top w:val="none" w:sz="0" w:space="0" w:color="D9D9E3"/>
          <w:left w:val="none" w:sz="0" w:space="0" w:color="D9D9E3"/>
          <w:bottom w:val="none" w:sz="0" w:space="0" w:color="D9D9E3"/>
          <w:right w:val="none" w:sz="0" w:space="0" w:color="D9D9E3"/>
          <w:between w:val="none" w:sz="0" w:space="0" w:color="D9D9E3"/>
        </w:pBdr>
        <w:spacing w:before="360" w:after="80" w:line="319" w:lineRule="auto"/>
        <w:rPr>
          <w:rFonts w:ascii="Roboto" w:eastAsia="Roboto" w:hAnsi="Roboto" w:cs="Roboto"/>
          <w:sz w:val="34"/>
          <w:szCs w:val="34"/>
        </w:rPr>
      </w:pPr>
      <w:bookmarkStart w:id="120" w:name="_heading=h.1o736k6cwlyo" w:colFirst="0" w:colLast="0"/>
      <w:bookmarkEnd w:id="120"/>
    </w:p>
    <w:p w14:paraId="2542D622" w14:textId="77777777" w:rsidR="00852587" w:rsidRDefault="00852587">
      <w:pPr>
        <w:pStyle w:val="Titre2"/>
        <w:pBdr>
          <w:top w:val="none" w:sz="0" w:space="0" w:color="D9D9E3"/>
          <w:left w:val="none" w:sz="0" w:space="0" w:color="D9D9E3"/>
          <w:bottom w:val="none" w:sz="0" w:space="0" w:color="D9D9E3"/>
          <w:right w:val="none" w:sz="0" w:space="0" w:color="D9D9E3"/>
          <w:between w:val="none" w:sz="0" w:space="0" w:color="D9D9E3"/>
        </w:pBdr>
        <w:spacing w:before="360" w:after="80" w:line="319" w:lineRule="auto"/>
        <w:rPr>
          <w:rFonts w:ascii="Roboto" w:eastAsia="Roboto" w:hAnsi="Roboto" w:cs="Roboto"/>
          <w:sz w:val="34"/>
          <w:szCs w:val="34"/>
        </w:rPr>
      </w:pPr>
      <w:bookmarkStart w:id="121" w:name="_heading=h.1cz9ieee2f5g" w:colFirst="0" w:colLast="0"/>
      <w:bookmarkEnd w:id="121"/>
    </w:p>
    <w:p w14:paraId="101D9D76" w14:textId="77777777" w:rsidR="00852587" w:rsidRDefault="00852587">
      <w:pPr>
        <w:pStyle w:val="Titre2"/>
        <w:pBdr>
          <w:top w:val="none" w:sz="0" w:space="0" w:color="D9D9E3"/>
          <w:left w:val="none" w:sz="0" w:space="0" w:color="D9D9E3"/>
          <w:bottom w:val="none" w:sz="0" w:space="0" w:color="D9D9E3"/>
          <w:right w:val="none" w:sz="0" w:space="0" w:color="D9D9E3"/>
          <w:between w:val="none" w:sz="0" w:space="0" w:color="D9D9E3"/>
        </w:pBdr>
        <w:spacing w:before="360" w:after="80" w:line="319" w:lineRule="auto"/>
        <w:rPr>
          <w:rFonts w:ascii="Roboto" w:eastAsia="Roboto" w:hAnsi="Roboto" w:cs="Roboto"/>
          <w:sz w:val="34"/>
          <w:szCs w:val="34"/>
        </w:rPr>
      </w:pPr>
      <w:bookmarkStart w:id="122" w:name="_heading=h.k3q6cmsxjc00" w:colFirst="0" w:colLast="0"/>
      <w:bookmarkEnd w:id="122"/>
    </w:p>
    <w:p w14:paraId="5B2E79CE" w14:textId="77777777" w:rsidR="00852587" w:rsidRDefault="00852587">
      <w:pPr>
        <w:pStyle w:val="Titre2"/>
        <w:pBdr>
          <w:top w:val="none" w:sz="0" w:space="0" w:color="D9D9E3"/>
          <w:left w:val="none" w:sz="0" w:space="0" w:color="D9D9E3"/>
          <w:bottom w:val="none" w:sz="0" w:space="0" w:color="D9D9E3"/>
          <w:right w:val="none" w:sz="0" w:space="0" w:color="D9D9E3"/>
          <w:between w:val="none" w:sz="0" w:space="0" w:color="D9D9E3"/>
        </w:pBdr>
        <w:spacing w:before="360" w:after="80" w:line="319" w:lineRule="auto"/>
        <w:rPr>
          <w:rFonts w:ascii="Roboto" w:eastAsia="Roboto" w:hAnsi="Roboto" w:cs="Roboto"/>
          <w:sz w:val="34"/>
          <w:szCs w:val="34"/>
        </w:rPr>
      </w:pPr>
      <w:bookmarkStart w:id="123" w:name="_heading=h.272lphgo4qkm" w:colFirst="0" w:colLast="0"/>
      <w:bookmarkEnd w:id="123"/>
    </w:p>
    <w:p w14:paraId="2103A7AF" w14:textId="77777777" w:rsidR="00852587" w:rsidRDefault="00852587">
      <w:pPr>
        <w:pStyle w:val="Titre2"/>
        <w:pBdr>
          <w:top w:val="none" w:sz="0" w:space="0" w:color="D9D9E3"/>
          <w:left w:val="none" w:sz="0" w:space="0" w:color="D9D9E3"/>
          <w:bottom w:val="none" w:sz="0" w:space="0" w:color="D9D9E3"/>
          <w:right w:val="none" w:sz="0" w:space="0" w:color="D9D9E3"/>
          <w:between w:val="none" w:sz="0" w:space="0" w:color="D9D9E3"/>
        </w:pBdr>
        <w:spacing w:before="360" w:after="80" w:line="319" w:lineRule="auto"/>
        <w:rPr>
          <w:rFonts w:ascii="Roboto" w:eastAsia="Roboto" w:hAnsi="Roboto" w:cs="Roboto"/>
          <w:sz w:val="34"/>
          <w:szCs w:val="34"/>
        </w:rPr>
      </w:pPr>
      <w:bookmarkStart w:id="124" w:name="_heading=h.gluuo5drjwwf" w:colFirst="0" w:colLast="0"/>
      <w:bookmarkEnd w:id="124"/>
    </w:p>
    <w:p w14:paraId="2444A1DE" w14:textId="77777777" w:rsidR="00852587" w:rsidRDefault="00852587">
      <w:pPr>
        <w:pStyle w:val="Titre2"/>
        <w:pBdr>
          <w:top w:val="none" w:sz="0" w:space="0" w:color="D9D9E3"/>
          <w:left w:val="none" w:sz="0" w:space="0" w:color="D9D9E3"/>
          <w:bottom w:val="none" w:sz="0" w:space="0" w:color="D9D9E3"/>
          <w:right w:val="none" w:sz="0" w:space="0" w:color="D9D9E3"/>
          <w:between w:val="none" w:sz="0" w:space="0" w:color="D9D9E3"/>
        </w:pBdr>
        <w:spacing w:before="360" w:after="80" w:line="319" w:lineRule="auto"/>
        <w:rPr>
          <w:rFonts w:ascii="Roboto" w:eastAsia="Roboto" w:hAnsi="Roboto" w:cs="Roboto"/>
          <w:sz w:val="34"/>
          <w:szCs w:val="34"/>
        </w:rPr>
      </w:pPr>
      <w:bookmarkStart w:id="125" w:name="_heading=h.gj5wpwdo4fsy" w:colFirst="0" w:colLast="0"/>
      <w:bookmarkEnd w:id="125"/>
    </w:p>
    <w:p w14:paraId="78028B73" w14:textId="77777777" w:rsidR="00852587" w:rsidRDefault="00852587">
      <w:pPr>
        <w:pStyle w:val="Titre2"/>
        <w:pBdr>
          <w:top w:val="none" w:sz="0" w:space="0" w:color="D9D9E3"/>
          <w:left w:val="none" w:sz="0" w:space="0" w:color="D9D9E3"/>
          <w:bottom w:val="none" w:sz="0" w:space="0" w:color="D9D9E3"/>
          <w:right w:val="none" w:sz="0" w:space="0" w:color="D9D9E3"/>
          <w:between w:val="none" w:sz="0" w:space="0" w:color="D9D9E3"/>
        </w:pBdr>
        <w:spacing w:before="360" w:after="80" w:line="319" w:lineRule="auto"/>
        <w:rPr>
          <w:rFonts w:ascii="Roboto" w:eastAsia="Roboto" w:hAnsi="Roboto" w:cs="Roboto"/>
          <w:sz w:val="34"/>
          <w:szCs w:val="34"/>
        </w:rPr>
      </w:pPr>
      <w:bookmarkStart w:id="126" w:name="_heading=h.ca0fahj1al97" w:colFirst="0" w:colLast="0"/>
      <w:bookmarkEnd w:id="126"/>
    </w:p>
    <w:p w14:paraId="14ACB7C3" w14:textId="77777777" w:rsidR="00852587" w:rsidRDefault="004C4A96">
      <w:pPr>
        <w:pStyle w:val="Titre2"/>
        <w:pBdr>
          <w:top w:val="none" w:sz="0" w:space="0" w:color="D9D9E3"/>
          <w:left w:val="none" w:sz="0" w:space="0" w:color="D9D9E3"/>
          <w:bottom w:val="none" w:sz="0" w:space="0" w:color="D9D9E3"/>
          <w:right w:val="none" w:sz="0" w:space="0" w:color="D9D9E3"/>
          <w:between w:val="none" w:sz="0" w:space="0" w:color="D9D9E3"/>
        </w:pBdr>
        <w:spacing w:before="360" w:after="80" w:line="319" w:lineRule="auto"/>
        <w:rPr>
          <w:rFonts w:ascii="Roboto" w:eastAsia="Roboto" w:hAnsi="Roboto" w:cs="Roboto"/>
          <w:sz w:val="34"/>
          <w:szCs w:val="34"/>
        </w:rPr>
      </w:pPr>
      <w:bookmarkStart w:id="127" w:name="_heading=h.5zwp4v7yr579" w:colFirst="0" w:colLast="0"/>
      <w:bookmarkEnd w:id="127"/>
      <w:r>
        <w:rPr>
          <w:rFonts w:ascii="Roboto" w:eastAsia="Roboto" w:hAnsi="Roboto" w:cs="Roboto"/>
          <w:sz w:val="34"/>
          <w:szCs w:val="34"/>
        </w:rPr>
        <w:lastRenderedPageBreak/>
        <w:t>Annexes</w:t>
      </w:r>
    </w:p>
    <w:p w14:paraId="4112666B" w14:textId="77777777" w:rsidR="00852587" w:rsidRDefault="004C4A96">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color w:val="374151"/>
          <w:sz w:val="24"/>
          <w:szCs w:val="24"/>
        </w:rPr>
      </w:pPr>
      <w:r>
        <w:rPr>
          <w:rFonts w:ascii="Roboto" w:eastAsia="Roboto" w:hAnsi="Roboto" w:cs="Roboto"/>
          <w:color w:val="374151"/>
          <w:sz w:val="24"/>
          <w:szCs w:val="24"/>
        </w:rPr>
        <w:t>Tout matériel supplémentaire, tel que des graphiques détaillés, des extraits de code, des captures d'écran, etc.</w:t>
      </w:r>
    </w:p>
    <w:p w14:paraId="79EFE1A5" w14:textId="77777777" w:rsidR="00852587" w:rsidRDefault="00852587">
      <w:pPr>
        <w:rPr>
          <w:rFonts w:ascii="Roboto" w:eastAsia="Roboto" w:hAnsi="Roboto" w:cs="Roboto"/>
          <w:color w:val="374151"/>
          <w:sz w:val="24"/>
          <w:szCs w:val="24"/>
        </w:rPr>
      </w:pPr>
    </w:p>
    <w:p w14:paraId="02B081CA" w14:textId="77777777" w:rsidR="00852587" w:rsidRDefault="00852587">
      <w:pPr>
        <w:rPr>
          <w:rFonts w:ascii="Roboto" w:eastAsia="Roboto" w:hAnsi="Roboto" w:cs="Roboto"/>
          <w:color w:val="374151"/>
          <w:sz w:val="24"/>
          <w:szCs w:val="24"/>
        </w:rPr>
      </w:pPr>
    </w:p>
    <w:p w14:paraId="486FC5D3" w14:textId="77777777" w:rsidR="00852587" w:rsidRDefault="00852587">
      <w:pPr>
        <w:rPr>
          <w:rFonts w:ascii="Roboto" w:eastAsia="Roboto" w:hAnsi="Roboto" w:cs="Roboto"/>
          <w:color w:val="374151"/>
          <w:sz w:val="24"/>
          <w:szCs w:val="24"/>
        </w:rPr>
      </w:pPr>
    </w:p>
    <w:p w14:paraId="03050647" w14:textId="77777777" w:rsidR="00852587" w:rsidRDefault="00852587">
      <w:pPr>
        <w:rPr>
          <w:rFonts w:ascii="Roboto" w:eastAsia="Roboto" w:hAnsi="Roboto" w:cs="Roboto"/>
          <w:color w:val="374151"/>
          <w:sz w:val="24"/>
          <w:szCs w:val="24"/>
        </w:rPr>
      </w:pPr>
    </w:p>
    <w:p w14:paraId="72CE7502" w14:textId="77777777" w:rsidR="00852587" w:rsidRDefault="00852587">
      <w:pPr>
        <w:rPr>
          <w:rFonts w:ascii="Roboto" w:eastAsia="Roboto" w:hAnsi="Roboto" w:cs="Roboto"/>
          <w:color w:val="374151"/>
          <w:sz w:val="24"/>
          <w:szCs w:val="24"/>
        </w:rPr>
      </w:pPr>
    </w:p>
    <w:p w14:paraId="756BB5CD" w14:textId="77777777" w:rsidR="00852587" w:rsidRDefault="00852587">
      <w:pPr>
        <w:rPr>
          <w:rFonts w:ascii="Roboto" w:eastAsia="Roboto" w:hAnsi="Roboto" w:cs="Roboto"/>
          <w:color w:val="374151"/>
          <w:sz w:val="24"/>
          <w:szCs w:val="24"/>
        </w:rPr>
      </w:pPr>
    </w:p>
    <w:p w14:paraId="402A75C7" w14:textId="77777777" w:rsidR="00852587" w:rsidRDefault="00852587">
      <w:pPr>
        <w:rPr>
          <w:rFonts w:ascii="Roboto" w:eastAsia="Roboto" w:hAnsi="Roboto" w:cs="Roboto"/>
          <w:color w:val="374151"/>
          <w:sz w:val="24"/>
          <w:szCs w:val="24"/>
        </w:rPr>
      </w:pPr>
    </w:p>
    <w:p w14:paraId="37F53A52" w14:textId="77777777" w:rsidR="00852587" w:rsidRDefault="00852587">
      <w:pPr>
        <w:rPr>
          <w:rFonts w:ascii="Roboto" w:eastAsia="Roboto" w:hAnsi="Roboto" w:cs="Roboto"/>
          <w:color w:val="374151"/>
          <w:sz w:val="24"/>
          <w:szCs w:val="24"/>
        </w:rPr>
      </w:pPr>
    </w:p>
    <w:p w14:paraId="55CB2C43" w14:textId="77777777" w:rsidR="00852587" w:rsidRDefault="00852587">
      <w:pPr>
        <w:rPr>
          <w:rFonts w:ascii="Roboto" w:eastAsia="Roboto" w:hAnsi="Roboto" w:cs="Roboto"/>
          <w:color w:val="374151"/>
          <w:sz w:val="24"/>
          <w:szCs w:val="24"/>
        </w:rPr>
      </w:pPr>
    </w:p>
    <w:p w14:paraId="6E6DE353" w14:textId="77777777" w:rsidR="00852587" w:rsidRDefault="00852587">
      <w:pPr>
        <w:rPr>
          <w:rFonts w:ascii="Roboto" w:eastAsia="Roboto" w:hAnsi="Roboto" w:cs="Roboto"/>
          <w:color w:val="374151"/>
          <w:sz w:val="24"/>
          <w:szCs w:val="24"/>
        </w:rPr>
      </w:pPr>
    </w:p>
    <w:p w14:paraId="08B6D0F4" w14:textId="77777777" w:rsidR="00852587" w:rsidRDefault="00852587">
      <w:pPr>
        <w:rPr>
          <w:rFonts w:ascii="Roboto" w:eastAsia="Roboto" w:hAnsi="Roboto" w:cs="Roboto"/>
          <w:color w:val="374151"/>
          <w:sz w:val="24"/>
          <w:szCs w:val="24"/>
        </w:rPr>
      </w:pPr>
    </w:p>
    <w:p w14:paraId="687AE666" w14:textId="77777777" w:rsidR="00852587" w:rsidRDefault="00852587">
      <w:pPr>
        <w:rPr>
          <w:rFonts w:ascii="Roboto" w:eastAsia="Roboto" w:hAnsi="Roboto" w:cs="Roboto"/>
          <w:color w:val="374151"/>
          <w:sz w:val="24"/>
          <w:szCs w:val="24"/>
        </w:rPr>
      </w:pPr>
    </w:p>
    <w:p w14:paraId="4DE5B504" w14:textId="77777777" w:rsidR="00852587" w:rsidRDefault="00852587">
      <w:pPr>
        <w:rPr>
          <w:rFonts w:ascii="Roboto" w:eastAsia="Roboto" w:hAnsi="Roboto" w:cs="Roboto"/>
          <w:color w:val="374151"/>
          <w:sz w:val="24"/>
          <w:szCs w:val="24"/>
        </w:rPr>
      </w:pPr>
    </w:p>
    <w:p w14:paraId="005E2BC1" w14:textId="77777777" w:rsidR="00852587" w:rsidRDefault="00852587">
      <w:pPr>
        <w:rPr>
          <w:rFonts w:ascii="Roboto" w:eastAsia="Roboto" w:hAnsi="Roboto" w:cs="Roboto"/>
          <w:color w:val="374151"/>
          <w:sz w:val="24"/>
          <w:szCs w:val="24"/>
        </w:rPr>
      </w:pPr>
    </w:p>
    <w:p w14:paraId="37C141A9" w14:textId="77777777" w:rsidR="00852587" w:rsidRDefault="00852587">
      <w:pPr>
        <w:rPr>
          <w:rFonts w:ascii="Roboto" w:eastAsia="Roboto" w:hAnsi="Roboto" w:cs="Roboto"/>
          <w:color w:val="374151"/>
          <w:sz w:val="24"/>
          <w:szCs w:val="24"/>
        </w:rPr>
      </w:pPr>
    </w:p>
    <w:p w14:paraId="0C00D33B" w14:textId="77777777" w:rsidR="00852587" w:rsidRDefault="00852587">
      <w:pPr>
        <w:rPr>
          <w:rFonts w:ascii="Roboto" w:eastAsia="Roboto" w:hAnsi="Roboto" w:cs="Roboto"/>
          <w:color w:val="374151"/>
          <w:sz w:val="24"/>
          <w:szCs w:val="24"/>
        </w:rPr>
      </w:pPr>
    </w:p>
    <w:p w14:paraId="16B43057" w14:textId="77777777" w:rsidR="00852587" w:rsidRDefault="00852587">
      <w:pPr>
        <w:rPr>
          <w:rFonts w:ascii="Roboto" w:eastAsia="Roboto" w:hAnsi="Roboto" w:cs="Roboto"/>
          <w:color w:val="374151"/>
          <w:sz w:val="24"/>
          <w:szCs w:val="24"/>
        </w:rPr>
      </w:pPr>
    </w:p>
    <w:p w14:paraId="19AF2C09" w14:textId="77777777" w:rsidR="00852587" w:rsidRDefault="00852587">
      <w:pPr>
        <w:rPr>
          <w:rFonts w:ascii="Roboto" w:eastAsia="Roboto" w:hAnsi="Roboto" w:cs="Roboto"/>
          <w:color w:val="374151"/>
          <w:sz w:val="24"/>
          <w:szCs w:val="24"/>
        </w:rPr>
      </w:pPr>
    </w:p>
    <w:p w14:paraId="7039121C" w14:textId="77777777" w:rsidR="00852587" w:rsidRDefault="00852587">
      <w:pPr>
        <w:rPr>
          <w:rFonts w:ascii="Roboto" w:eastAsia="Roboto" w:hAnsi="Roboto" w:cs="Roboto"/>
          <w:color w:val="374151"/>
          <w:sz w:val="24"/>
          <w:szCs w:val="24"/>
        </w:rPr>
      </w:pPr>
    </w:p>
    <w:p w14:paraId="5878A8E4" w14:textId="77777777" w:rsidR="00852587" w:rsidRDefault="00852587">
      <w:pPr>
        <w:rPr>
          <w:rFonts w:ascii="Roboto" w:eastAsia="Roboto" w:hAnsi="Roboto" w:cs="Roboto"/>
          <w:color w:val="374151"/>
          <w:sz w:val="24"/>
          <w:szCs w:val="24"/>
        </w:rPr>
      </w:pPr>
    </w:p>
    <w:p w14:paraId="27F42240" w14:textId="77777777" w:rsidR="00852587" w:rsidRDefault="00852587">
      <w:pPr>
        <w:rPr>
          <w:rFonts w:ascii="Roboto" w:eastAsia="Roboto" w:hAnsi="Roboto" w:cs="Roboto"/>
          <w:color w:val="374151"/>
          <w:sz w:val="24"/>
          <w:szCs w:val="24"/>
        </w:rPr>
      </w:pPr>
    </w:p>
    <w:p w14:paraId="5BD2A88C" w14:textId="77777777" w:rsidR="00852587" w:rsidRDefault="00852587">
      <w:pPr>
        <w:rPr>
          <w:rFonts w:ascii="Roboto" w:eastAsia="Roboto" w:hAnsi="Roboto" w:cs="Roboto"/>
          <w:color w:val="374151"/>
          <w:sz w:val="24"/>
          <w:szCs w:val="24"/>
        </w:rPr>
      </w:pPr>
    </w:p>
    <w:p w14:paraId="3B98DEA6" w14:textId="77777777" w:rsidR="00852587" w:rsidRDefault="00852587">
      <w:pPr>
        <w:rPr>
          <w:rFonts w:ascii="Roboto" w:eastAsia="Roboto" w:hAnsi="Roboto" w:cs="Roboto"/>
          <w:color w:val="374151"/>
          <w:sz w:val="24"/>
          <w:szCs w:val="24"/>
        </w:rPr>
      </w:pPr>
    </w:p>
    <w:p w14:paraId="72A24D55" w14:textId="77777777" w:rsidR="00852587" w:rsidRDefault="00852587">
      <w:pPr>
        <w:rPr>
          <w:rFonts w:ascii="Roboto" w:eastAsia="Roboto" w:hAnsi="Roboto" w:cs="Roboto"/>
          <w:color w:val="374151"/>
          <w:sz w:val="24"/>
          <w:szCs w:val="24"/>
        </w:rPr>
      </w:pPr>
    </w:p>
    <w:p w14:paraId="577DBD93" w14:textId="77777777" w:rsidR="00852587" w:rsidRDefault="00852587">
      <w:pPr>
        <w:rPr>
          <w:rFonts w:ascii="Roboto" w:eastAsia="Roboto" w:hAnsi="Roboto" w:cs="Roboto"/>
          <w:color w:val="374151"/>
          <w:sz w:val="24"/>
          <w:szCs w:val="24"/>
        </w:rPr>
      </w:pPr>
    </w:p>
    <w:p w14:paraId="0DDE8872" w14:textId="77777777" w:rsidR="00852587" w:rsidRDefault="00852587">
      <w:pPr>
        <w:rPr>
          <w:rFonts w:ascii="Roboto" w:eastAsia="Roboto" w:hAnsi="Roboto" w:cs="Roboto"/>
          <w:color w:val="374151"/>
          <w:sz w:val="24"/>
          <w:szCs w:val="24"/>
        </w:rPr>
      </w:pPr>
    </w:p>
    <w:p w14:paraId="2D25414D" w14:textId="77777777" w:rsidR="00852587" w:rsidRDefault="00852587">
      <w:pPr>
        <w:rPr>
          <w:rFonts w:ascii="Roboto" w:eastAsia="Roboto" w:hAnsi="Roboto" w:cs="Roboto"/>
          <w:color w:val="374151"/>
          <w:sz w:val="24"/>
          <w:szCs w:val="24"/>
        </w:rPr>
      </w:pPr>
    </w:p>
    <w:p w14:paraId="0946F02E" w14:textId="77777777" w:rsidR="00852587" w:rsidRDefault="00852587">
      <w:pPr>
        <w:rPr>
          <w:rFonts w:ascii="Roboto" w:eastAsia="Roboto" w:hAnsi="Roboto" w:cs="Roboto"/>
          <w:color w:val="374151"/>
          <w:sz w:val="24"/>
          <w:szCs w:val="24"/>
        </w:rPr>
      </w:pPr>
    </w:p>
    <w:p w14:paraId="0178D9F3" w14:textId="77777777" w:rsidR="00852587" w:rsidRDefault="00852587">
      <w:pPr>
        <w:rPr>
          <w:rFonts w:ascii="Roboto" w:eastAsia="Roboto" w:hAnsi="Roboto" w:cs="Roboto"/>
          <w:color w:val="374151"/>
          <w:sz w:val="24"/>
          <w:szCs w:val="24"/>
        </w:rPr>
      </w:pPr>
    </w:p>
    <w:p w14:paraId="144DEC76" w14:textId="77777777" w:rsidR="00852587" w:rsidRDefault="00852587">
      <w:pPr>
        <w:rPr>
          <w:rFonts w:ascii="Roboto" w:eastAsia="Roboto" w:hAnsi="Roboto" w:cs="Roboto"/>
          <w:color w:val="374151"/>
          <w:sz w:val="24"/>
          <w:szCs w:val="24"/>
        </w:rPr>
      </w:pPr>
    </w:p>
    <w:p w14:paraId="0C7532A7" w14:textId="77777777" w:rsidR="00852587" w:rsidRDefault="00852587">
      <w:pPr>
        <w:rPr>
          <w:rFonts w:ascii="Roboto" w:eastAsia="Roboto" w:hAnsi="Roboto" w:cs="Roboto"/>
          <w:color w:val="374151"/>
          <w:sz w:val="24"/>
          <w:szCs w:val="24"/>
        </w:rPr>
      </w:pPr>
    </w:p>
    <w:p w14:paraId="0724F019" w14:textId="77777777" w:rsidR="00852587" w:rsidRDefault="00852587">
      <w:pPr>
        <w:rPr>
          <w:rFonts w:ascii="Roboto" w:eastAsia="Roboto" w:hAnsi="Roboto" w:cs="Roboto"/>
          <w:color w:val="374151"/>
          <w:sz w:val="24"/>
          <w:szCs w:val="24"/>
        </w:rPr>
      </w:pPr>
    </w:p>
    <w:p w14:paraId="2F1BAC7D" w14:textId="77777777" w:rsidR="00852587" w:rsidRDefault="00852587">
      <w:pPr>
        <w:rPr>
          <w:rFonts w:ascii="Roboto" w:eastAsia="Roboto" w:hAnsi="Roboto" w:cs="Roboto"/>
          <w:color w:val="374151"/>
          <w:sz w:val="24"/>
          <w:szCs w:val="24"/>
        </w:rPr>
      </w:pPr>
    </w:p>
    <w:p w14:paraId="53B4F87C" w14:textId="77777777" w:rsidR="00852587" w:rsidRDefault="00852587">
      <w:pPr>
        <w:rPr>
          <w:rFonts w:ascii="Roboto" w:eastAsia="Roboto" w:hAnsi="Roboto" w:cs="Roboto"/>
          <w:color w:val="374151"/>
          <w:sz w:val="24"/>
          <w:szCs w:val="24"/>
        </w:rPr>
      </w:pPr>
    </w:p>
    <w:p w14:paraId="60AD90AA" w14:textId="77777777" w:rsidR="00852587" w:rsidRDefault="00852587">
      <w:pPr>
        <w:rPr>
          <w:rFonts w:ascii="Roboto" w:eastAsia="Roboto" w:hAnsi="Roboto" w:cs="Roboto"/>
          <w:color w:val="374151"/>
          <w:sz w:val="24"/>
          <w:szCs w:val="24"/>
        </w:rPr>
      </w:pPr>
    </w:p>
    <w:p w14:paraId="7D93A338" w14:textId="77777777" w:rsidR="00852587" w:rsidRDefault="00852587">
      <w:pPr>
        <w:rPr>
          <w:rFonts w:ascii="Roboto" w:eastAsia="Roboto" w:hAnsi="Roboto" w:cs="Roboto"/>
          <w:color w:val="374151"/>
          <w:sz w:val="24"/>
          <w:szCs w:val="24"/>
        </w:rPr>
      </w:pPr>
    </w:p>
    <w:p w14:paraId="23E996E7" w14:textId="77777777" w:rsidR="00852587" w:rsidRDefault="00852587">
      <w:pPr>
        <w:rPr>
          <w:rFonts w:ascii="Roboto" w:eastAsia="Roboto" w:hAnsi="Roboto" w:cs="Roboto"/>
          <w:color w:val="374151"/>
          <w:sz w:val="24"/>
          <w:szCs w:val="24"/>
        </w:rPr>
      </w:pPr>
    </w:p>
    <w:p w14:paraId="534EE3A0" w14:textId="77777777" w:rsidR="00852587" w:rsidRDefault="00852587">
      <w:pPr>
        <w:rPr>
          <w:rFonts w:ascii="Roboto" w:eastAsia="Roboto" w:hAnsi="Roboto" w:cs="Roboto"/>
          <w:color w:val="374151"/>
          <w:sz w:val="24"/>
          <w:szCs w:val="24"/>
        </w:rPr>
      </w:pPr>
    </w:p>
    <w:p w14:paraId="147F4473" w14:textId="77777777" w:rsidR="00852587" w:rsidRDefault="00852587">
      <w:pPr>
        <w:rPr>
          <w:rFonts w:ascii="Roboto" w:eastAsia="Roboto" w:hAnsi="Roboto" w:cs="Roboto"/>
          <w:color w:val="374151"/>
          <w:sz w:val="24"/>
          <w:szCs w:val="24"/>
        </w:rPr>
      </w:pPr>
    </w:p>
    <w:p w14:paraId="7171A2A7" w14:textId="77777777" w:rsidR="00852587" w:rsidRDefault="00852587">
      <w:pPr>
        <w:rPr>
          <w:rFonts w:ascii="Roboto" w:eastAsia="Roboto" w:hAnsi="Roboto" w:cs="Roboto"/>
          <w:color w:val="374151"/>
          <w:sz w:val="24"/>
          <w:szCs w:val="24"/>
        </w:rPr>
      </w:pPr>
    </w:p>
    <w:p w14:paraId="2F79C752" w14:textId="77777777" w:rsidR="00852587" w:rsidRDefault="00852587">
      <w:pPr>
        <w:rPr>
          <w:rFonts w:ascii="Roboto" w:eastAsia="Roboto" w:hAnsi="Roboto" w:cs="Roboto"/>
          <w:color w:val="374151"/>
          <w:sz w:val="24"/>
          <w:szCs w:val="24"/>
        </w:rPr>
      </w:pPr>
    </w:p>
    <w:p w14:paraId="6DE068EE" w14:textId="77777777" w:rsidR="00852587" w:rsidRDefault="00852587">
      <w:pPr>
        <w:rPr>
          <w:rFonts w:ascii="Roboto" w:eastAsia="Roboto" w:hAnsi="Roboto" w:cs="Roboto"/>
          <w:color w:val="374151"/>
          <w:sz w:val="24"/>
          <w:szCs w:val="24"/>
        </w:rPr>
      </w:pPr>
    </w:p>
    <w:p w14:paraId="552671FD" w14:textId="77777777" w:rsidR="00852587" w:rsidRDefault="00852587">
      <w:pPr>
        <w:rPr>
          <w:rFonts w:ascii="Roboto" w:eastAsia="Roboto" w:hAnsi="Roboto" w:cs="Roboto"/>
          <w:color w:val="374151"/>
          <w:sz w:val="24"/>
          <w:szCs w:val="24"/>
        </w:rPr>
      </w:pPr>
    </w:p>
    <w:p w14:paraId="3EEFD6BE" w14:textId="77777777" w:rsidR="00852587" w:rsidRDefault="004C4A96">
      <w:pPr>
        <w:pStyle w:val="Titre1"/>
        <w:ind w:left="0"/>
        <w:sectPr w:rsidR="00852587">
          <w:pgSz w:w="11910" w:h="16840"/>
          <w:pgMar w:top="1360" w:right="1180" w:bottom="1240" w:left="1340" w:header="0" w:footer="1055" w:gutter="0"/>
          <w:cols w:space="720"/>
        </w:sectPr>
      </w:pPr>
      <w:bookmarkStart w:id="128" w:name="_heading=h.2250f4o" w:colFirst="0" w:colLast="0"/>
      <w:bookmarkEnd w:id="128"/>
      <w:r>
        <w:rPr>
          <w:color w:val="0070C0"/>
        </w:rPr>
        <w:lastRenderedPageBreak/>
        <w:t>TABLE DES MATIÈRES</w:t>
      </w:r>
    </w:p>
    <w:p w14:paraId="120E1D14" w14:textId="77777777" w:rsidR="00852587" w:rsidRDefault="00852587">
      <w:pPr>
        <w:pBdr>
          <w:top w:val="nil"/>
          <w:left w:val="nil"/>
          <w:bottom w:val="nil"/>
          <w:right w:val="nil"/>
          <w:between w:val="nil"/>
        </w:pBdr>
        <w:spacing w:line="360" w:lineRule="auto"/>
        <w:ind w:right="266"/>
        <w:jc w:val="both"/>
      </w:pPr>
    </w:p>
    <w:sectPr w:rsidR="00852587">
      <w:pgSz w:w="11910" w:h="16840"/>
      <w:pgMar w:top="1440" w:right="1180" w:bottom="1240" w:left="1340" w:header="0" w:footer="10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9876C" w14:textId="77777777" w:rsidR="00EA266E" w:rsidRDefault="00EA266E">
      <w:r>
        <w:separator/>
      </w:r>
    </w:p>
  </w:endnote>
  <w:endnote w:type="continuationSeparator" w:id="0">
    <w:p w14:paraId="53F415F2" w14:textId="77777777" w:rsidR="00EA266E" w:rsidRDefault="00EA26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rlito">
    <w:altName w:val="Calibri"/>
    <w:charset w:val="00"/>
    <w:family w:val="auto"/>
    <w:pitch w:val="default"/>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A4D81" w14:textId="77777777" w:rsidR="00852587" w:rsidRDefault="004C4A96">
    <w:pPr>
      <w:pBdr>
        <w:top w:val="nil"/>
        <w:left w:val="nil"/>
        <w:bottom w:val="nil"/>
        <w:right w:val="nil"/>
        <w:between w:val="nil"/>
      </w:pBdr>
      <w:spacing w:line="14" w:lineRule="auto"/>
      <w:rPr>
        <w:color w:val="000000"/>
        <w:sz w:val="20"/>
        <w:szCs w:val="20"/>
      </w:rPr>
    </w:pPr>
    <w:r>
      <w:rPr>
        <w:noProof/>
        <w:lang w:val="en-US"/>
      </w:rPr>
      <mc:AlternateContent>
        <mc:Choice Requires="wps">
          <w:drawing>
            <wp:anchor distT="0" distB="0" distL="0" distR="0" simplePos="0" relativeHeight="251658240" behindDoc="1" locked="0" layoutInCell="1" hidden="0" allowOverlap="1" wp14:anchorId="5E120ABE" wp14:editId="7532F921">
              <wp:simplePos x="0" y="0"/>
              <wp:positionH relativeFrom="column">
                <wp:posOffset>5689600</wp:posOffset>
              </wp:positionH>
              <wp:positionV relativeFrom="paragraph">
                <wp:posOffset>9842500</wp:posOffset>
              </wp:positionV>
              <wp:extent cx="248920" cy="224790"/>
              <wp:effectExtent l="0" t="0" r="0" b="0"/>
              <wp:wrapNone/>
              <wp:docPr id="36" name="Forme libre 36"/>
              <wp:cNvGraphicFramePr/>
              <a:graphic xmlns:a="http://schemas.openxmlformats.org/drawingml/2006/main">
                <a:graphicData uri="http://schemas.microsoft.com/office/word/2010/wordprocessingShape">
                  <wps:wsp>
                    <wps:cNvSpPr/>
                    <wps:spPr>
                      <a:xfrm>
                        <a:off x="5235828" y="3681893"/>
                        <a:ext cx="220345" cy="196215"/>
                      </a:xfrm>
                      <a:custGeom>
                        <a:avLst/>
                        <a:gdLst/>
                        <a:ahLst/>
                        <a:cxnLst/>
                        <a:rect l="l" t="t" r="r" b="b"/>
                        <a:pathLst>
                          <a:path w="220345" h="196215" extrusionOk="0">
                            <a:moveTo>
                              <a:pt x="0" y="0"/>
                            </a:moveTo>
                            <a:lnTo>
                              <a:pt x="0" y="196215"/>
                            </a:lnTo>
                            <a:lnTo>
                              <a:pt x="220345" y="196215"/>
                            </a:lnTo>
                            <a:lnTo>
                              <a:pt x="220345" y="0"/>
                            </a:lnTo>
                            <a:close/>
                          </a:path>
                        </a:pathLst>
                      </a:custGeom>
                      <a:noFill/>
                      <a:ln>
                        <a:noFill/>
                      </a:ln>
                    </wps:spPr>
                    <wps:txbx>
                      <w:txbxContent>
                        <w:p w14:paraId="59A06758" w14:textId="77777777" w:rsidR="00852587" w:rsidRDefault="00852587">
                          <w:pPr>
                            <w:spacing w:before="20"/>
                            <w:textDirection w:val="btLr"/>
                          </w:pPr>
                        </w:p>
                      </w:txbxContent>
                    </wps:txbx>
                    <wps:bodyPr spcFirstLastPara="1" wrap="square" lIns="114300" tIns="0" rIns="114300" bIns="0" anchor="t" anchorCtr="0">
                      <a:noAutofit/>
                    </wps:bodyPr>
                  </wps:wsp>
                </a:graphicData>
              </a:graphic>
            </wp:anchor>
          </w:drawing>
        </mc:Choice>
        <mc:Fallback>
          <w:pict>
            <v:shape w14:anchorId="5E120ABE" id="Forme libre 36" o:spid="_x0000_s1026" style="position:absolute;margin-left:448pt;margin-top:775pt;width:19.6pt;height:17.7pt;z-index:-251658240;visibility:visible;mso-wrap-style:square;mso-wrap-distance-left:0;mso-wrap-distance-top:0;mso-wrap-distance-right:0;mso-wrap-distance-bottom:0;mso-position-horizontal:absolute;mso-position-horizontal-relative:text;mso-position-vertical:absolute;mso-position-vertical-relative:text;v-text-anchor:top" coordsize="220345,1962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" adj="-11796480,,5400" path="m,l,196215r220345,l220345,,,xe" filled="f" stroked="f">
              <v:stroke joinstyle="miter"/>
              <v:formulas/>
              <v:path arrowok="t" o:extrusionok="f" o:connecttype="custom" textboxrect="0,0,220345,196215"/>
              <v:textbox inset="9pt,0,9pt,0">
                <w:txbxContent>
                  <w:p w14:paraId="59A06758" w14:textId="77777777" w:rsidR="00852587" w:rsidRDefault="00852587">
                    <w:pPr>
                      <w:spacing w:before="20"/>
                      <w:textDirection w:val="btLr"/>
                    </w:pP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AE881" w14:textId="77777777" w:rsidR="00852587" w:rsidRDefault="004C4A96">
    <w:pPr>
      <w:pBdr>
        <w:top w:val="nil"/>
        <w:left w:val="nil"/>
        <w:bottom w:val="nil"/>
        <w:right w:val="nil"/>
        <w:between w:val="nil"/>
      </w:pBdr>
      <w:spacing w:line="14" w:lineRule="auto"/>
      <w:rPr>
        <w:color w:val="000000"/>
        <w:sz w:val="20"/>
        <w:szCs w:val="20"/>
      </w:rPr>
    </w:pPr>
    <w:r>
      <w:rPr>
        <w:noProof/>
        <w:lang w:val="en-US"/>
      </w:rPr>
      <mc:AlternateContent>
        <mc:Choice Requires="wps">
          <w:drawing>
            <wp:anchor distT="0" distB="0" distL="0" distR="0" simplePos="0" relativeHeight="251659264" behindDoc="1" locked="0" layoutInCell="1" hidden="0" allowOverlap="1" wp14:anchorId="3F8C6C96" wp14:editId="092E8B3D">
              <wp:simplePos x="0" y="0"/>
              <wp:positionH relativeFrom="column">
                <wp:posOffset>5689600</wp:posOffset>
              </wp:positionH>
              <wp:positionV relativeFrom="paragraph">
                <wp:posOffset>9842500</wp:posOffset>
              </wp:positionV>
              <wp:extent cx="248920" cy="224790"/>
              <wp:effectExtent l="0" t="0" r="0" b="0"/>
              <wp:wrapNone/>
              <wp:docPr id="37" name="Forme libre 37"/>
              <wp:cNvGraphicFramePr/>
              <a:graphic xmlns:a="http://schemas.openxmlformats.org/drawingml/2006/main">
                <a:graphicData uri="http://schemas.microsoft.com/office/word/2010/wordprocessingShape">
                  <wps:wsp>
                    <wps:cNvSpPr/>
                    <wps:spPr>
                      <a:xfrm>
                        <a:off x="5235828" y="3681893"/>
                        <a:ext cx="220345" cy="196215"/>
                      </a:xfrm>
                      <a:custGeom>
                        <a:avLst/>
                        <a:gdLst/>
                        <a:ahLst/>
                        <a:cxnLst/>
                        <a:rect l="l" t="t" r="r" b="b"/>
                        <a:pathLst>
                          <a:path w="220345" h="196215" extrusionOk="0">
                            <a:moveTo>
                              <a:pt x="0" y="0"/>
                            </a:moveTo>
                            <a:lnTo>
                              <a:pt x="0" y="196215"/>
                            </a:lnTo>
                            <a:lnTo>
                              <a:pt x="220345" y="196215"/>
                            </a:lnTo>
                            <a:lnTo>
                              <a:pt x="220345" y="0"/>
                            </a:lnTo>
                            <a:close/>
                          </a:path>
                        </a:pathLst>
                      </a:custGeom>
                      <a:noFill/>
                      <a:ln>
                        <a:noFill/>
                      </a:ln>
                    </wps:spPr>
                    <wps:txbx>
                      <w:txbxContent>
                        <w:p w14:paraId="76A22778" w14:textId="77777777" w:rsidR="00852587" w:rsidRDefault="004C4A96">
                          <w:pPr>
                            <w:spacing w:before="20"/>
                            <w:ind w:left="60" w:firstLine="180"/>
                            <w:textDirection w:val="btLr"/>
                          </w:pPr>
                          <w:r>
                            <w:rPr>
                              <w:rFonts w:ascii="Carlito" w:eastAsia="Carlito" w:hAnsi="Carlito" w:cs="Carlito"/>
                              <w:color w:val="000000"/>
                            </w:rPr>
                            <w:t xml:space="preserve"> PAGE </w:t>
                          </w:r>
                          <w:r>
                            <w:rPr>
                              <w:color w:val="000000"/>
                            </w:rPr>
                            <w:t>10</w:t>
                          </w:r>
                        </w:p>
                      </w:txbxContent>
                    </wps:txbx>
                    <wps:bodyPr spcFirstLastPara="1" wrap="square" lIns="114300" tIns="0" rIns="114300" bIns="0" anchor="t" anchorCtr="0">
                      <a:noAutofit/>
                    </wps:bodyPr>
                  </wps:wsp>
                </a:graphicData>
              </a:graphic>
            </wp:anchor>
          </w:drawing>
        </mc:Choice>
        <mc:Fallback>
          <w:pict>
            <v:shape w14:anchorId="3F8C6C96" id="Forme libre 37" o:spid="_x0000_s1027" style="position:absolute;margin-left:448pt;margin-top:775pt;width:19.6pt;height:17.7pt;z-index:-251657216;visibility:visible;mso-wrap-style:square;mso-wrap-distance-left:0;mso-wrap-distance-top:0;mso-wrap-distance-right:0;mso-wrap-distance-bottom:0;mso-position-horizontal:absolute;mso-position-horizontal-relative:text;mso-position-vertical:absolute;mso-position-vertical-relative:text;v-text-anchor:top" coordsize="220345,1962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" adj="-11796480,,5400" path="m,l,196215r220345,l220345,,,xe" filled="f" stroked="f">
              <v:stroke joinstyle="miter"/>
              <v:formulas/>
              <v:path arrowok="t" o:extrusionok="f" o:connecttype="custom" textboxrect="0,0,220345,196215"/>
              <v:textbox inset="9pt,0,9pt,0">
                <w:txbxContent>
                  <w:p w14:paraId="76A22778" w14:textId="77777777" w:rsidR="00852587" w:rsidRDefault="004C4A96">
                    <w:pPr>
                      <w:spacing w:before="20"/>
                      <w:ind w:left="60" w:firstLine="180"/>
                      <w:textDirection w:val="btLr"/>
                    </w:pPr>
                    <w:r>
                      <w:rPr>
                        <w:rFonts w:ascii="Carlito" w:eastAsia="Carlito" w:hAnsi="Carlito" w:cs="Carlito"/>
                        <w:color w:val="000000"/>
                      </w:rPr>
                      <w:t xml:space="preserve"> PAGE </w:t>
                    </w:r>
                    <w:r>
                      <w:rPr>
                        <w:color w:val="000000"/>
                      </w:rPr>
                      <w:t>10</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8FCE7" w14:textId="77777777" w:rsidR="00EA266E" w:rsidRDefault="00EA266E">
      <w:r>
        <w:separator/>
      </w:r>
    </w:p>
  </w:footnote>
  <w:footnote w:type="continuationSeparator" w:id="0">
    <w:p w14:paraId="72ADB27F" w14:textId="77777777" w:rsidR="00EA266E" w:rsidRDefault="00EA26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D1B52"/>
    <w:multiLevelType w:val="multilevel"/>
    <w:tmpl w:val="C0724E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7BA67DC"/>
    <w:multiLevelType w:val="multilevel"/>
    <w:tmpl w:val="441C4B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3DE38D0"/>
    <w:multiLevelType w:val="multilevel"/>
    <w:tmpl w:val="99F6016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2AC629CC"/>
    <w:multiLevelType w:val="multilevel"/>
    <w:tmpl w:val="4E5C787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66871DB7"/>
    <w:multiLevelType w:val="multilevel"/>
    <w:tmpl w:val="7624DC4A"/>
    <w:lvl w:ilvl="0">
      <w:start w:val="1"/>
      <w:numFmt w:val="decimal"/>
      <w:pStyle w:val="Titr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6E476BF1"/>
    <w:multiLevelType w:val="multilevel"/>
    <w:tmpl w:val="9552160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F5A25CF"/>
    <w:multiLevelType w:val="multilevel"/>
    <w:tmpl w:val="5406C2C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7B9D0313"/>
    <w:multiLevelType w:val="multilevel"/>
    <w:tmpl w:val="25A48CE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16cid:durableId="732774193">
    <w:abstractNumId w:val="0"/>
  </w:num>
  <w:num w:numId="2" w16cid:durableId="1375304378">
    <w:abstractNumId w:val="2"/>
  </w:num>
  <w:num w:numId="3" w16cid:durableId="1455249142">
    <w:abstractNumId w:val="1"/>
  </w:num>
  <w:num w:numId="4" w16cid:durableId="1725442296">
    <w:abstractNumId w:val="7"/>
  </w:num>
  <w:num w:numId="5" w16cid:durableId="1293637442">
    <w:abstractNumId w:val="6"/>
  </w:num>
  <w:num w:numId="6" w16cid:durableId="2108884056">
    <w:abstractNumId w:val="3"/>
  </w:num>
  <w:num w:numId="7" w16cid:durableId="1763182942">
    <w:abstractNumId w:val="5"/>
  </w:num>
  <w:num w:numId="8" w16cid:durableId="1797747344">
    <w:abstractNumId w:val="4"/>
  </w:num>
  <w:num w:numId="9" w16cid:durableId="11229267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10548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587"/>
    <w:rsid w:val="000E36EC"/>
    <w:rsid w:val="003026F1"/>
    <w:rsid w:val="0035369C"/>
    <w:rsid w:val="004C4A96"/>
    <w:rsid w:val="00852587"/>
    <w:rsid w:val="00867AFC"/>
    <w:rsid w:val="008C0E33"/>
    <w:rsid w:val="00D1691C"/>
    <w:rsid w:val="00E927C2"/>
    <w:rsid w:val="00EA2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EE8BA80"/>
  <w15:docId w15:val="{D6368866-08D5-43EB-85BC-BA8431C36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uiPriority w:val="9"/>
    <w:qFormat/>
    <w:pPr>
      <w:spacing w:before="69"/>
      <w:ind w:left="1901"/>
      <w:jc w:val="center"/>
      <w:outlineLvl w:val="0"/>
    </w:pPr>
    <w:rPr>
      <w:b/>
      <w:bCs/>
      <w:sz w:val="28"/>
      <w:szCs w:val="28"/>
    </w:rPr>
  </w:style>
  <w:style w:type="paragraph" w:styleId="Titre2">
    <w:name w:val="heading 2"/>
    <w:basedOn w:val="Normal"/>
    <w:uiPriority w:val="9"/>
    <w:unhideWhenUsed/>
    <w:qFormat/>
    <w:rsid w:val="00583B49"/>
    <w:pPr>
      <w:numPr>
        <w:numId w:val="8"/>
      </w:numPr>
      <w:outlineLvl w:val="1"/>
    </w:pPr>
    <w:rPr>
      <w:b/>
      <w:bCs/>
      <w:sz w:val="28"/>
      <w:szCs w:val="24"/>
    </w:rPr>
  </w:style>
  <w:style w:type="paragraph" w:styleId="Titre3">
    <w:name w:val="heading 3"/>
    <w:basedOn w:val="Normal"/>
    <w:link w:val="Titre3Car"/>
    <w:uiPriority w:val="9"/>
    <w:unhideWhenUsed/>
    <w:qFormat/>
    <w:rsid w:val="00583B49"/>
    <w:pPr>
      <w:keepNext/>
      <w:keepLines/>
      <w:spacing w:before="40"/>
      <w:ind w:left="1440"/>
      <w:outlineLvl w:val="2"/>
    </w:pPr>
    <w:rPr>
      <w:rFonts w:eastAsiaTheme="majorEastAsia" w:cstheme="majorBidi"/>
      <w:b/>
      <w:color w:val="000000" w:themeColor="text1"/>
      <w:sz w:val="28"/>
      <w:szCs w:val="24"/>
    </w:rPr>
  </w:style>
  <w:style w:type="paragraph" w:styleId="Titre4">
    <w:name w:val="heading 4"/>
    <w:basedOn w:val="Normal"/>
    <w:link w:val="Titre4Car"/>
    <w:uiPriority w:val="9"/>
    <w:unhideWhenUsed/>
    <w:qFormat/>
    <w:rsid w:val="00FD2751"/>
    <w:pPr>
      <w:keepNext/>
      <w:keepLines/>
      <w:tabs>
        <w:tab w:val="num" w:pos="720"/>
      </w:tabs>
      <w:spacing w:before="40"/>
      <w:ind w:left="2520" w:hanging="720"/>
      <w:outlineLvl w:val="3"/>
    </w:pPr>
    <w:rPr>
      <w:rFonts w:eastAsiaTheme="majorEastAsia" w:cstheme="majorBidi"/>
      <w:b/>
      <w:iCs/>
      <w:sz w:val="24"/>
    </w:rPr>
  </w:style>
  <w:style w:type="paragraph" w:styleId="Titre5">
    <w:name w:val="heading 5"/>
    <w:basedOn w:val="Normal"/>
    <w:link w:val="Titre5Car"/>
    <w:uiPriority w:val="9"/>
    <w:unhideWhenUsed/>
    <w:qFormat/>
    <w:rsid w:val="000E3D7A"/>
    <w:pPr>
      <w:keepNext/>
      <w:keepLines/>
      <w:tabs>
        <w:tab w:val="num" w:pos="720"/>
      </w:tabs>
      <w:spacing w:before="40"/>
      <w:ind w:left="720" w:hanging="720"/>
      <w:outlineLvl w:val="4"/>
    </w:pPr>
    <w:rPr>
      <w:rFonts w:eastAsiaTheme="majorEastAsia" w:cstheme="majorBidi"/>
      <w:b/>
      <w:sz w:val="24"/>
    </w:rPr>
  </w:style>
  <w:style w:type="paragraph" w:styleId="Titre6">
    <w:name w:val="heading 6"/>
    <w:basedOn w:val="Normal"/>
    <w:next w:val="Normal"/>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uiPriority w:val="10"/>
    <w:qFormat/>
    <w:pPr>
      <w:spacing w:before="83"/>
      <w:ind w:right="157"/>
      <w:jc w:val="center"/>
    </w:pPr>
    <w:rPr>
      <w:b/>
      <w:bCs/>
      <w:sz w:val="40"/>
      <w:szCs w:val="40"/>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Corpsdetexte">
    <w:name w:val="Body Text"/>
    <w:basedOn w:val="Normal"/>
    <w:uiPriority w:val="1"/>
    <w:qFormat/>
    <w:rPr>
      <w:sz w:val="24"/>
      <w:szCs w:val="24"/>
    </w:rPr>
  </w:style>
  <w:style w:type="paragraph" w:styleId="Paragraphedeliste">
    <w:name w:val="List Paragraph"/>
    <w:basedOn w:val="Normal"/>
    <w:uiPriority w:val="1"/>
    <w:qFormat/>
    <w:pPr>
      <w:ind w:left="821" w:hanging="361"/>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1D4B07"/>
    <w:pPr>
      <w:tabs>
        <w:tab w:val="center" w:pos="4536"/>
        <w:tab w:val="right" w:pos="9072"/>
      </w:tabs>
    </w:pPr>
  </w:style>
  <w:style w:type="character" w:customStyle="1" w:styleId="En-tteCar">
    <w:name w:val="En-tête Car"/>
    <w:basedOn w:val="Policepardfaut"/>
    <w:link w:val="En-tte"/>
    <w:uiPriority w:val="99"/>
    <w:rsid w:val="001D4B07"/>
    <w:rPr>
      <w:rFonts w:ascii="Times New Roman" w:eastAsia="Times New Roman" w:hAnsi="Times New Roman" w:cs="Times New Roman"/>
      <w:lang w:val="fr-FR"/>
    </w:rPr>
  </w:style>
  <w:style w:type="paragraph" w:styleId="Pieddepage">
    <w:name w:val="footer"/>
    <w:basedOn w:val="Normal"/>
    <w:link w:val="PieddepageCar"/>
    <w:uiPriority w:val="99"/>
    <w:unhideWhenUsed/>
    <w:rsid w:val="001D4B07"/>
    <w:pPr>
      <w:tabs>
        <w:tab w:val="center" w:pos="4536"/>
        <w:tab w:val="right" w:pos="9072"/>
      </w:tabs>
    </w:pPr>
  </w:style>
  <w:style w:type="character" w:customStyle="1" w:styleId="PieddepageCar">
    <w:name w:val="Pied de page Car"/>
    <w:basedOn w:val="Policepardfaut"/>
    <w:link w:val="Pieddepage"/>
    <w:uiPriority w:val="99"/>
    <w:rsid w:val="001D4B07"/>
    <w:rPr>
      <w:rFonts w:ascii="Times New Roman" w:eastAsia="Times New Roman" w:hAnsi="Times New Roman" w:cs="Times New Roman"/>
      <w:lang w:val="fr-FR"/>
    </w:rPr>
  </w:style>
  <w:style w:type="paragraph" w:styleId="TM1">
    <w:name w:val="toc 1"/>
    <w:basedOn w:val="Normal"/>
    <w:next w:val="Normal"/>
    <w:autoRedefine/>
    <w:uiPriority w:val="39"/>
    <w:unhideWhenUsed/>
    <w:rsid w:val="00553C64"/>
    <w:pPr>
      <w:spacing w:after="100"/>
    </w:pPr>
  </w:style>
  <w:style w:type="character" w:styleId="Lienhypertexte">
    <w:name w:val="Hyperlink"/>
    <w:basedOn w:val="Policepardfaut"/>
    <w:uiPriority w:val="99"/>
    <w:unhideWhenUsed/>
    <w:rsid w:val="00553C64"/>
    <w:rPr>
      <w:color w:val="0000FF" w:themeColor="hyperlink"/>
      <w:u w:val="single"/>
    </w:rPr>
  </w:style>
  <w:style w:type="character" w:customStyle="1" w:styleId="Titre3Car">
    <w:name w:val="Titre 3 Car"/>
    <w:basedOn w:val="Policepardfaut"/>
    <w:link w:val="Titre3"/>
    <w:uiPriority w:val="9"/>
    <w:rsid w:val="00583B49"/>
    <w:rPr>
      <w:rFonts w:ascii="Times New Roman" w:eastAsiaTheme="majorEastAsia" w:hAnsi="Times New Roman" w:cstheme="majorBidi"/>
      <w:b/>
      <w:color w:val="000000" w:themeColor="text1"/>
      <w:sz w:val="28"/>
      <w:szCs w:val="24"/>
      <w:lang w:val="fr-FR"/>
    </w:rPr>
  </w:style>
  <w:style w:type="paragraph" w:styleId="TM2">
    <w:name w:val="toc 2"/>
    <w:basedOn w:val="Normal"/>
    <w:next w:val="Normal"/>
    <w:autoRedefine/>
    <w:uiPriority w:val="39"/>
    <w:unhideWhenUsed/>
    <w:rsid w:val="009725C2"/>
    <w:pPr>
      <w:spacing w:after="100"/>
      <w:ind w:left="220"/>
    </w:pPr>
  </w:style>
  <w:style w:type="character" w:customStyle="1" w:styleId="Titre4Car">
    <w:name w:val="Titre 4 Car"/>
    <w:basedOn w:val="Policepardfaut"/>
    <w:link w:val="Titre4"/>
    <w:uiPriority w:val="9"/>
    <w:rsid w:val="00FD2751"/>
    <w:rPr>
      <w:rFonts w:eastAsiaTheme="majorEastAsia" w:cstheme="majorBidi"/>
      <w:b/>
      <w:iCs/>
      <w:sz w:val="24"/>
    </w:rPr>
  </w:style>
  <w:style w:type="character" w:customStyle="1" w:styleId="Titre5Car">
    <w:name w:val="Titre 5 Car"/>
    <w:basedOn w:val="Policepardfaut"/>
    <w:link w:val="Titre5"/>
    <w:uiPriority w:val="9"/>
    <w:rsid w:val="000E3D7A"/>
    <w:rPr>
      <w:rFonts w:eastAsiaTheme="majorEastAsia" w:cstheme="majorBidi"/>
      <w:b/>
      <w:sz w:val="24"/>
    </w:rPr>
  </w:style>
  <w:style w:type="paragraph" w:styleId="TM3">
    <w:name w:val="toc 3"/>
    <w:basedOn w:val="Normal"/>
    <w:next w:val="Normal"/>
    <w:autoRedefine/>
    <w:uiPriority w:val="39"/>
    <w:unhideWhenUsed/>
    <w:rsid w:val="00EE1BF0"/>
    <w:pPr>
      <w:spacing w:after="100"/>
      <w:ind w:left="440"/>
    </w:pPr>
  </w:style>
  <w:style w:type="paragraph" w:styleId="TM4">
    <w:name w:val="toc 4"/>
    <w:basedOn w:val="Normal"/>
    <w:next w:val="Normal"/>
    <w:autoRedefine/>
    <w:uiPriority w:val="39"/>
    <w:unhideWhenUsed/>
    <w:rsid w:val="00EE1BF0"/>
    <w:pPr>
      <w:spacing w:after="100"/>
      <w:ind w:left="660"/>
    </w:pPr>
  </w:style>
  <w:style w:type="paragraph" w:styleId="TM5">
    <w:name w:val="toc 5"/>
    <w:basedOn w:val="Normal"/>
    <w:next w:val="Normal"/>
    <w:autoRedefine/>
    <w:uiPriority w:val="39"/>
    <w:unhideWhenUsed/>
    <w:rsid w:val="00EE1BF0"/>
    <w:pPr>
      <w:spacing w:after="100"/>
      <w:ind w:left="880"/>
    </w:pPr>
  </w:style>
  <w:style w:type="paragraph" w:styleId="PrformatHTML">
    <w:name w:val="HTML Preformatted"/>
    <w:basedOn w:val="Normal"/>
    <w:link w:val="PrformatHTMLCar"/>
    <w:uiPriority w:val="99"/>
    <w:semiHidden/>
    <w:unhideWhenUsed/>
    <w:rsid w:val="006E0C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fr-FR"/>
    </w:rPr>
  </w:style>
  <w:style w:type="character" w:customStyle="1" w:styleId="PrformatHTMLCar">
    <w:name w:val="Préformaté HTML Car"/>
    <w:basedOn w:val="Policepardfaut"/>
    <w:link w:val="PrformatHTML"/>
    <w:uiPriority w:val="99"/>
    <w:semiHidden/>
    <w:rsid w:val="006E0CA9"/>
    <w:rPr>
      <w:rFonts w:ascii="Courier New" w:eastAsia="Times New Roman" w:hAnsi="Courier New" w:cs="Courier New"/>
      <w:sz w:val="20"/>
      <w:szCs w:val="20"/>
      <w:lang w:val="fr-FR" w:eastAsia="fr-FR"/>
    </w:rPr>
  </w:style>
  <w:style w:type="character" w:customStyle="1" w:styleId="y2iqfc">
    <w:name w:val="y2iqfc"/>
    <w:basedOn w:val="Policepardfaut"/>
    <w:rsid w:val="006E0CA9"/>
  </w:style>
  <w:style w:type="table" w:styleId="TableauGrille1Clair-Accentuation1">
    <w:name w:val="Grid Table 1 Light Accent 1"/>
    <w:basedOn w:val="TableauNormal"/>
    <w:uiPriority w:val="46"/>
    <w:rsid w:val="001E7617"/>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Mentionnonrsolue1">
    <w:name w:val="Mention non résolue1"/>
    <w:basedOn w:val="Policepardfaut"/>
    <w:uiPriority w:val="99"/>
    <w:semiHidden/>
    <w:unhideWhenUsed/>
    <w:rsid w:val="009A7AF5"/>
    <w:rPr>
      <w:color w:val="605E5C"/>
      <w:shd w:val="clear" w:color="auto" w:fill="E1DFDD"/>
    </w:rPr>
  </w:style>
  <w:style w:type="paragraph" w:styleId="En-ttedetabledesmatires">
    <w:name w:val="TOC Heading"/>
    <w:basedOn w:val="Titre1"/>
    <w:next w:val="Normal"/>
    <w:uiPriority w:val="39"/>
    <w:unhideWhenUsed/>
    <w:qFormat/>
    <w:rsid w:val="00072C36"/>
    <w:pPr>
      <w:keepNext/>
      <w:keepLines/>
      <w:widowControl/>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lev">
    <w:name w:val="Strong"/>
    <w:basedOn w:val="Policepardfaut"/>
    <w:uiPriority w:val="22"/>
    <w:qFormat/>
    <w:rsid w:val="005D1289"/>
    <w:rPr>
      <w:b/>
      <w:bCs/>
    </w:rPr>
  </w:style>
  <w:style w:type="paragraph" w:styleId="Sous-titr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auNormal"/>
    <w:tblPr>
      <w:tblStyleRowBandSize w:val="1"/>
      <w:tblStyleColBandSize w:val="1"/>
      <w:tblCellMar>
        <w:top w:w="100" w:type="dxa"/>
        <w:left w:w="100" w:type="dxa"/>
        <w:bottom w:w="100" w:type="dxa"/>
        <w:right w:w="100" w:type="dxa"/>
      </w:tblCellMar>
    </w:tblPr>
  </w:style>
  <w:style w:type="table" w:customStyle="1" w:styleId="a0">
    <w:basedOn w:val="TableauNormal"/>
    <w:tblPr>
      <w:tblStyleRowBandSize w:val="1"/>
      <w:tblStyleColBandSize w:val="1"/>
      <w:tblCellMar>
        <w:top w:w="100" w:type="dxa"/>
        <w:left w:w="100" w:type="dxa"/>
        <w:bottom w:w="100" w:type="dxa"/>
        <w:right w:w="100" w:type="dxa"/>
      </w:tblCellMar>
    </w:tblPr>
  </w:style>
  <w:style w:type="paragraph" w:customStyle="1" w:styleId="Légendetableau">
    <w:name w:val="Légende tableau"/>
    <w:basedOn w:val="Normal"/>
  </w:style>
  <w:style w:type="paragraph" w:customStyle="1" w:styleId="Légendefigure">
    <w:name w:val="Légende figure"/>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NbLShwrg/+wimMTWtAdRKgIIeA==">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468</Words>
  <Characters>2574</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Marie-Pierre BOCANDE</cp:lastModifiedBy>
  <cp:revision>7</cp:revision>
  <dcterms:created xsi:type="dcterms:W3CDTF">2021-12-22T14:51:00Z</dcterms:created>
  <dcterms:modified xsi:type="dcterms:W3CDTF">2026-08-18T16:55:00Z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2021-11-03T00:00:00Z</vt:lpwstr>
  </property>
  <property fmtid="{D5CDD505-2E9C-101B-9397-08002B2CF9AE}" pid="3" name="Creator">
    <vt:lpwstr>Microsoft Word</vt:lpwstr>
  </property>
  <property fmtid="{D5CDD505-2E9C-101B-9397-08002B2CF9AE}" pid="4" name="LastSaved">
    <vt:lpwstr>2021-11-07T00:00:00Z</vt:lpwstr>
  </property>
</Properties>
</file>