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CHAPITRE II. ANALYSE DU MÉTIER, MÉTHODOLOGIE ET CONCEPTION</w:t>
      </w:r>
    </w:p>
    <w:p>
      <w:pPr>
        <w:pStyle w:val="Heading2"/>
      </w:pPr>
      <w:r>
        <w:t>Introduction</w:t>
      </w:r>
    </w:p>
    <w:p>
      <w:pPr>
        <w:spacing w:after="120"/>
      </w:pPr>
      <w:r>
        <w:rPr>
          <w:b w:val="0"/>
          <w:i w:val="0"/>
        </w:rPr>
        <w:t>Le premier chapitre a posé le cadre théorique de ce travail : la monnaie électronique, la fraude financière et les techniques d'apprentissage automatique appliquées à sa détection. Le présent chapitre fait le passage de la théorie à la construction. Il répond à trois questions successives.</w:t>
      </w:r>
    </w:p>
    <w:p>
      <w:pPr>
        <w:pStyle w:val="ListBullet"/>
      </w:pPr>
      <w:r>
        <w:rPr>
          <w:b/>
          <w:i w:val="0"/>
        </w:rPr>
        <w:t>Que faut-il résoudre ?</w:t>
      </w:r>
      <w:r>
        <w:rPr>
          <w:b w:val="0"/>
          <w:i w:val="0"/>
        </w:rPr>
        <w:t xml:space="preserve"> La première section analyse le métier de la lutte contre la fraude Mobile Money en RDC : le domaine, le processus actuel et ses insuffisances, les acteurs, les règles de gestion et les besoins que le futur système doit satisfaire.</w:t>
      </w:r>
    </w:p>
    <w:p>
      <w:pPr>
        <w:pStyle w:val="ListBullet"/>
      </w:pPr>
      <w:r>
        <w:rPr>
          <w:b/>
          <w:i w:val="0"/>
        </w:rPr>
        <w:t>Comment le résoudre de façon rigoureuse ?</w:t>
      </w:r>
      <w:r>
        <w:rPr>
          <w:b w:val="0"/>
          <w:i w:val="0"/>
        </w:rPr>
        <w:t xml:space="preserve"> La deuxième section expose la méthodologie : la démarche de recherche, la méthode de développement, la constitution des données, la construction des variables, le protocole qui permettra d'éprouver les hypothèses, puis l'étude comparative des méthodes d'apprentissage qui conduit au choix du modèle.</w:t>
      </w:r>
    </w:p>
    <w:p>
      <w:pPr>
        <w:pStyle w:val="ListBullet"/>
      </w:pPr>
      <w:r>
        <w:rPr>
          <w:b/>
          <w:i w:val="0"/>
        </w:rPr>
        <w:t>Quel système construire ?</w:t>
      </w:r>
      <w:r>
        <w:rPr>
          <w:b w:val="0"/>
          <w:i w:val="0"/>
        </w:rPr>
        <w:t xml:space="preserve"> La troisième section présente la conception : l'architecture, le modèle de données, le comportement dynamique, le moteur de détection, l'interface avec les institutions partenaires, la sécurité et le déploiement.</w:t>
      </w:r>
    </w:p>
    <w:p>
      <w:pPr>
        <w:spacing w:after="120"/>
      </w:pPr>
      <w:r>
        <w:rPr>
          <w:b w:val="0"/>
          <w:i w:val="0"/>
        </w:rPr>
        <w:t xml:space="preserve">La modélisation utilise le langage </w:t>
      </w:r>
      <w:r>
        <w:rPr>
          <w:b/>
          <w:i w:val="0"/>
        </w:rPr>
        <w:t>UML</w:t>
      </w:r>
      <w:r>
        <w:rPr>
          <w:b w:val="0"/>
          <w:i w:val="0"/>
        </w:rPr>
        <w:t xml:space="preserve"> (</w:t>
      </w:r>
      <w:r>
        <w:rPr>
          <w:b w:val="0"/>
          <w:i/>
        </w:rPr>
        <w:t>Unified Modeling Language</w:t>
      </w:r>
      <w:r>
        <w:rPr>
          <w:b w:val="0"/>
          <w:i w:val="0"/>
        </w:rPr>
        <w:t>). Les diagrammes sont écrits en PlantUML et leur code source est versionné avec le projet (</w:t>
      </w:r>
      <w:r>
        <w:rPr>
          <w:rFonts w:ascii="Consolas" w:hAnsi="Consolas"/>
          <w:b w:val="0"/>
          <w:i w:val="0"/>
          <w:color w:val="1F3A8A"/>
          <w:sz w:val="18"/>
        </w:rPr>
        <w:t>docs/uml/</w:t>
      </w:r>
      <w:r>
        <w:rPr>
          <w:b w:val="0"/>
          <w:i w:val="0"/>
        </w:rPr>
        <w:t>). La comparaison des méthodes d'apprentissage, qui justifie le choix du modèle, figure dans ce chapitre (§ II.2.9) ; les résultats détaillés de l'évaluation des hypothèses sont présentés au chapitre III.</w:t>
      </w:r>
    </w:p>
    <w:p>
      <w:pPr>
        <w:pStyle w:val="IntenseQuote"/>
      </w:pPr>
      <w:r>
        <w:rPr>
          <w:b/>
          <w:i w:val="0"/>
        </w:rPr>
        <w:t>Précision méthodologique.</w:t>
      </w:r>
      <w:r>
        <w:rPr>
          <w:b w:val="0"/>
          <w:i w:val="0"/>
        </w:rPr>
        <w:t xml:space="preserve"> Aucun jeu de données réel de transactions Mobile Money congolaises n'est publiquement accessible. Le système est donc conçu, entraîné et évalué sur des </w:t>
      </w:r>
      <w:r>
        <w:rPr>
          <w:b/>
          <w:i w:val="0"/>
        </w:rPr>
        <w:t>données simulées</w:t>
      </w:r>
      <w:r>
        <w:rPr>
          <w:b w:val="0"/>
          <w:i w:val="0"/>
        </w:rPr>
        <w:t>, produites par un générateur qui reproduit le contexte de la RDC de 2019 à 2025 (§ II.2.3). Ce choix et ses conséquences sont discutés au § II.2.10.</w:t>
      </w:r>
    </w:p>
    <w:p>
      <w:pPr>
        <w:pStyle w:val="Heading2"/>
      </w:pPr>
      <w:r>
        <w:t>SECTION 1. ANALYSE DU MÉTIER</w:t>
      </w:r>
    </w:p>
    <w:p>
      <w:pPr>
        <w:spacing w:after="120"/>
      </w:pPr>
      <w:r>
        <w:rPr>
          <w:b w:val="0"/>
          <w:i w:val="0"/>
        </w:rPr>
        <w:t>L'analyse du métier vise à comprendre l'activité que le système doit servir, avant de décider de la manière de l'informatiser. Elle suit la progression classique : présentation du domaine, étude de l'existant, critique de l'existant, puis spécification des besoins.</w:t>
      </w:r>
    </w:p>
    <w:p>
      <w:pPr>
        <w:pStyle w:val="Heading3"/>
      </w:pPr>
      <w:r>
        <w:t>II.1.1 Présentation du domaine</w:t>
      </w:r>
    </w:p>
    <w:p>
      <w:pPr>
        <w:pStyle w:val="Heading3"/>
      </w:pPr>
      <w:r>
        <w:t>a) Le Mobile Money en RDC</w:t>
      </w:r>
    </w:p>
    <w:p>
      <w:pPr>
        <w:spacing w:after="120"/>
      </w:pPr>
      <w:r>
        <w:rPr>
          <w:b w:val="0"/>
          <w:i w:val="0"/>
        </w:rPr>
        <w:t xml:space="preserve">En République démocratique du Congo, le Mobile Money est devenu un moyen de paiement de masse, dans un pays où une grande partie de la population n'a pas de compte bancaire. Trois opérateurs de téléphonie mobile se partagent le marché : </w:t>
      </w:r>
      <w:r>
        <w:rPr>
          <w:b/>
          <w:i w:val="0"/>
        </w:rPr>
        <w:t>Vodacom (M-Pesa)</w:t>
      </w:r>
      <w:r>
        <w:rPr>
          <w:b w:val="0"/>
          <w:i w:val="0"/>
        </w:rPr>
        <w:t xml:space="preserve">, </w:t>
      </w:r>
      <w:r>
        <w:rPr>
          <w:b/>
          <w:i w:val="0"/>
        </w:rPr>
        <w:t>Airtel (Airtel Money)</w:t>
      </w:r>
      <w:r>
        <w:rPr>
          <w:b w:val="0"/>
          <w:i w:val="0"/>
        </w:rPr>
        <w:t xml:space="preserve"> et </w:t>
      </w:r>
      <w:r>
        <w:rPr>
          <w:b/>
          <w:i w:val="0"/>
        </w:rPr>
        <w:t>Orange (Orange Money)</w:t>
      </w:r>
      <w:r>
        <w:rPr>
          <w:b w:val="0"/>
          <w:i w:val="0"/>
        </w:rPr>
        <w:t>. Selon l'observatoire de l'ARPTC, on comptait fin 2025 environ 15,4 millions d'abonnés actifs pour M-Pesa, 11,1 millions pour Airtel Money et 7,7 millions pour Orange Money.</w:t>
      </w:r>
    </w:p>
    <w:p>
      <w:pPr>
        <w:spacing w:after="120"/>
      </w:pPr>
      <w:r>
        <w:rPr>
          <w:b w:val="0"/>
          <w:i w:val="0"/>
        </w:rPr>
        <w:t>Le portefeuille mobile permet plusieurs opérations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Opération</w:t>
            </w:r>
          </w:p>
        </w:tc>
        <w:tc>
          <w:tcPr>
            <w:tcW w:type="dxa" w:w="3249"/>
            <w:shd w:val="clear" w:color="auto" w:fill="DCE6F7"/>
          </w:tcPr>
          <w:p>
            <w:r/>
            <w:r>
              <w:rPr>
                <w:b/>
                <w:i w:val="0"/>
                <w:sz w:val="18"/>
              </w:rPr>
              <w:t>Code</w:t>
            </w:r>
          </w:p>
        </w:tc>
        <w:tc>
          <w:tcPr>
            <w:tcW w:type="dxa" w:w="3249"/>
            <w:shd w:val="clear" w:color="auto" w:fill="DCE6F7"/>
          </w:tcPr>
          <w:p>
            <w:r/>
            <w:r>
              <w:rPr>
                <w:b/>
                <w:i w:val="0"/>
                <w:sz w:val="18"/>
              </w:rPr>
              <w:t>Description</w:t>
            </w:r>
          </w:p>
        </w:tc>
      </w:tr>
      <w:tr>
        <w:tc>
          <w:tcPr>
            <w:tcW w:type="dxa" w:w="3249"/>
          </w:tcPr>
          <w:p>
            <w:r/>
            <w:r>
              <w:rPr>
                <w:b w:val="0"/>
                <w:i w:val="0"/>
                <w:sz w:val="18"/>
              </w:rPr>
              <w:t>Envoi d'argent</w:t>
            </w:r>
          </w:p>
        </w:tc>
        <w:tc>
          <w:tcPr>
            <w:tcW w:type="dxa" w:w="3249"/>
          </w:tcPr>
          <w:p>
            <w:r/>
            <w:r>
              <w:rPr>
                <w:rFonts w:ascii="Consolas" w:hAnsi="Consolas"/>
                <w:b w:val="0"/>
                <w:i w:val="0"/>
                <w:color w:val="1F3A8A"/>
                <w:sz w:val="18"/>
              </w:rPr>
              <w:t>P2P_SEND</w:t>
            </w:r>
          </w:p>
        </w:tc>
        <w:tc>
          <w:tcPr>
            <w:tcW w:type="dxa" w:w="3249"/>
          </w:tcPr>
          <w:p>
            <w:r/>
            <w:r>
              <w:rPr>
                <w:b w:val="0"/>
                <w:i w:val="0"/>
                <w:sz w:val="18"/>
              </w:rPr>
              <w:t>transfert vers un autre portefeuille</w:t>
            </w:r>
          </w:p>
        </w:tc>
      </w:tr>
      <w:tr>
        <w:tc>
          <w:tcPr>
            <w:tcW w:type="dxa" w:w="3249"/>
          </w:tcPr>
          <w:p>
            <w:r/>
            <w:r>
              <w:rPr>
                <w:b w:val="0"/>
                <w:i w:val="0"/>
                <w:sz w:val="18"/>
              </w:rPr>
              <w:t>Réception</w:t>
            </w:r>
          </w:p>
        </w:tc>
        <w:tc>
          <w:tcPr>
            <w:tcW w:type="dxa" w:w="3249"/>
          </w:tcPr>
          <w:p>
            <w:r/>
            <w:r>
              <w:rPr>
                <w:rFonts w:ascii="Consolas" w:hAnsi="Consolas"/>
                <w:b w:val="0"/>
                <w:i w:val="0"/>
                <w:color w:val="1F3A8A"/>
                <w:sz w:val="18"/>
              </w:rPr>
              <w:t>P2P_RECEIVE</w:t>
            </w:r>
          </w:p>
        </w:tc>
        <w:tc>
          <w:tcPr>
            <w:tcW w:type="dxa" w:w="3249"/>
          </w:tcPr>
          <w:p>
            <w:r/>
            <w:r>
              <w:rPr>
                <w:b w:val="0"/>
                <w:i w:val="0"/>
                <w:sz w:val="18"/>
              </w:rPr>
              <w:t>crédit reçu d'un autre portefeuille</w:t>
            </w:r>
          </w:p>
        </w:tc>
      </w:tr>
      <w:tr>
        <w:tc>
          <w:tcPr>
            <w:tcW w:type="dxa" w:w="3249"/>
          </w:tcPr>
          <w:p>
            <w:r/>
            <w:r>
              <w:rPr>
                <w:b w:val="0"/>
                <w:i w:val="0"/>
                <w:sz w:val="18"/>
              </w:rPr>
              <w:t>Dépôt</w:t>
            </w:r>
          </w:p>
        </w:tc>
        <w:tc>
          <w:tcPr>
            <w:tcW w:type="dxa" w:w="3249"/>
          </w:tcPr>
          <w:p>
            <w:r/>
            <w:r>
              <w:rPr>
                <w:rFonts w:ascii="Consolas" w:hAnsi="Consolas"/>
                <w:b w:val="0"/>
                <w:i w:val="0"/>
                <w:color w:val="1F3A8A"/>
                <w:sz w:val="18"/>
              </w:rPr>
              <w:t>CASH_IN</w:t>
            </w:r>
          </w:p>
        </w:tc>
        <w:tc>
          <w:tcPr>
            <w:tcW w:type="dxa" w:w="3249"/>
          </w:tcPr>
          <w:p>
            <w:r/>
            <w:r>
              <w:rPr>
                <w:b w:val="0"/>
                <w:i w:val="0"/>
                <w:sz w:val="18"/>
              </w:rPr>
              <w:t>remise d'espèces chez un agent, contre crédit du portefeuille</w:t>
            </w:r>
          </w:p>
        </w:tc>
      </w:tr>
      <w:tr>
        <w:tc>
          <w:tcPr>
            <w:tcW w:type="dxa" w:w="3249"/>
          </w:tcPr>
          <w:p>
            <w:r/>
            <w:r>
              <w:rPr>
                <w:b w:val="0"/>
                <w:i w:val="0"/>
                <w:sz w:val="18"/>
              </w:rPr>
              <w:t>Retrait</w:t>
            </w:r>
          </w:p>
        </w:tc>
        <w:tc>
          <w:tcPr>
            <w:tcW w:type="dxa" w:w="3249"/>
          </w:tcPr>
          <w:p>
            <w:r/>
            <w:r>
              <w:rPr>
                <w:rFonts w:ascii="Consolas" w:hAnsi="Consolas"/>
                <w:b w:val="0"/>
                <w:i w:val="0"/>
                <w:color w:val="1F3A8A"/>
                <w:sz w:val="18"/>
              </w:rPr>
              <w:t>CASH_OUT</w:t>
            </w:r>
          </w:p>
        </w:tc>
        <w:tc>
          <w:tcPr>
            <w:tcW w:type="dxa" w:w="3249"/>
          </w:tcPr>
          <w:p>
            <w:r/>
            <w:r>
              <w:rPr>
                <w:b w:val="0"/>
                <w:i w:val="0"/>
                <w:sz w:val="18"/>
              </w:rPr>
              <w:t>retrait d'espèces chez un agent</w:t>
            </w:r>
          </w:p>
        </w:tc>
      </w:tr>
      <w:tr>
        <w:tc>
          <w:tcPr>
            <w:tcW w:type="dxa" w:w="3249"/>
          </w:tcPr>
          <w:p>
            <w:r/>
            <w:r>
              <w:rPr>
                <w:b w:val="0"/>
                <w:i w:val="0"/>
                <w:sz w:val="18"/>
              </w:rPr>
              <w:t>Paiement marchand</w:t>
            </w:r>
          </w:p>
        </w:tc>
        <w:tc>
          <w:tcPr>
            <w:tcW w:type="dxa" w:w="3249"/>
          </w:tcPr>
          <w:p>
            <w:r/>
            <w:r>
              <w:rPr>
                <w:rFonts w:ascii="Consolas" w:hAnsi="Consolas"/>
                <w:b w:val="0"/>
                <w:i w:val="0"/>
                <w:color w:val="1F3A8A"/>
                <w:sz w:val="18"/>
              </w:rPr>
              <w:t>MERCHANT_PAYMENT</w:t>
            </w:r>
          </w:p>
        </w:tc>
        <w:tc>
          <w:tcPr>
            <w:tcW w:type="dxa" w:w="3249"/>
          </w:tcPr>
          <w:p>
            <w:r/>
            <w:r>
              <w:rPr>
                <w:b w:val="0"/>
                <w:i w:val="0"/>
                <w:sz w:val="18"/>
              </w:rPr>
              <w:t>règlement d'un achat chez un commerçant</w:t>
            </w:r>
          </w:p>
        </w:tc>
      </w:tr>
      <w:tr>
        <w:tc>
          <w:tcPr>
            <w:tcW w:type="dxa" w:w="3249"/>
          </w:tcPr>
          <w:p>
            <w:r/>
            <w:r>
              <w:rPr>
                <w:b w:val="0"/>
                <w:i w:val="0"/>
                <w:sz w:val="18"/>
              </w:rPr>
              <w:t>Crédit téléphonique</w:t>
            </w:r>
          </w:p>
        </w:tc>
        <w:tc>
          <w:tcPr>
            <w:tcW w:type="dxa" w:w="3249"/>
          </w:tcPr>
          <w:p>
            <w:r/>
            <w:r>
              <w:rPr>
                <w:rFonts w:ascii="Consolas" w:hAnsi="Consolas"/>
                <w:b w:val="0"/>
                <w:i w:val="0"/>
                <w:color w:val="1F3A8A"/>
                <w:sz w:val="18"/>
              </w:rPr>
              <w:t>AIRTIME</w:t>
            </w:r>
          </w:p>
        </w:tc>
        <w:tc>
          <w:tcPr>
            <w:tcW w:type="dxa" w:w="3249"/>
          </w:tcPr>
          <w:p>
            <w:r/>
            <w:r>
              <w:rPr>
                <w:b w:val="0"/>
                <w:i w:val="0"/>
                <w:sz w:val="18"/>
              </w:rPr>
              <w:t>achat d'unités de communication</w:t>
            </w:r>
          </w:p>
        </w:tc>
      </w:tr>
      <w:tr>
        <w:tc>
          <w:tcPr>
            <w:tcW w:type="dxa" w:w="3249"/>
          </w:tcPr>
          <w:p>
            <w:r/>
            <w:r>
              <w:rPr>
                <w:b w:val="0"/>
                <w:i w:val="0"/>
                <w:sz w:val="18"/>
              </w:rPr>
              <w:t>Facture</w:t>
            </w:r>
          </w:p>
        </w:tc>
        <w:tc>
          <w:tcPr>
            <w:tcW w:type="dxa" w:w="3249"/>
          </w:tcPr>
          <w:p>
            <w:r/>
            <w:r>
              <w:rPr>
                <w:rFonts w:ascii="Consolas" w:hAnsi="Consolas"/>
                <w:b w:val="0"/>
                <w:i w:val="0"/>
                <w:color w:val="1F3A8A"/>
                <w:sz w:val="18"/>
              </w:rPr>
              <w:t>BILL_PAYMENT</w:t>
            </w:r>
          </w:p>
        </w:tc>
        <w:tc>
          <w:tcPr>
            <w:tcW w:type="dxa" w:w="3249"/>
          </w:tcPr>
          <w:p>
            <w:r/>
            <w:r>
              <w:rPr>
                <w:b w:val="0"/>
                <w:i w:val="0"/>
                <w:sz w:val="18"/>
              </w:rPr>
              <w:t>eau, électricité, télévision, frais scolaires</w:t>
            </w:r>
          </w:p>
        </w:tc>
      </w:tr>
      <w:tr>
        <w:tc>
          <w:tcPr>
            <w:tcW w:type="dxa" w:w="3249"/>
          </w:tcPr>
          <w:p>
            <w:r/>
            <w:r>
              <w:rPr>
                <w:b w:val="0"/>
                <w:i w:val="0"/>
                <w:sz w:val="18"/>
              </w:rPr>
              <w:t>Recharge de carte</w:t>
            </w:r>
          </w:p>
        </w:tc>
        <w:tc>
          <w:tcPr>
            <w:tcW w:type="dxa" w:w="3249"/>
          </w:tcPr>
          <w:p>
            <w:r/>
            <w:r>
              <w:rPr>
                <w:rFonts w:ascii="Consolas" w:hAnsi="Consolas"/>
                <w:b w:val="0"/>
                <w:i w:val="0"/>
                <w:color w:val="1F3A8A"/>
                <w:sz w:val="18"/>
              </w:rPr>
              <w:t>CARD_TOPUP</w:t>
            </w:r>
          </w:p>
        </w:tc>
        <w:tc>
          <w:tcPr>
            <w:tcW w:type="dxa" w:w="3249"/>
          </w:tcPr>
          <w:p>
            <w:r/>
            <w:r>
              <w:rPr>
                <w:b w:val="0"/>
                <w:i w:val="0"/>
                <w:sz w:val="18"/>
              </w:rPr>
              <w:t>alimentation de la carte Visa virtuelle depuis le portefeuille</w:t>
            </w:r>
          </w:p>
        </w:tc>
      </w:tr>
      <w:tr>
        <w:tc>
          <w:tcPr>
            <w:tcW w:type="dxa" w:w="3249"/>
          </w:tcPr>
          <w:p>
            <w:r/>
            <w:r>
              <w:rPr>
                <w:b w:val="0"/>
                <w:i w:val="0"/>
                <w:sz w:val="18"/>
              </w:rPr>
              <w:t>Achat par carte</w:t>
            </w:r>
          </w:p>
        </w:tc>
        <w:tc>
          <w:tcPr>
            <w:tcW w:type="dxa" w:w="3249"/>
          </w:tcPr>
          <w:p>
            <w:r/>
            <w:r>
              <w:rPr>
                <w:rFonts w:ascii="Consolas" w:hAnsi="Consolas"/>
                <w:b w:val="0"/>
                <w:i w:val="0"/>
                <w:color w:val="1F3A8A"/>
                <w:sz w:val="18"/>
              </w:rPr>
              <w:t>CARD_PURCHASE</w:t>
            </w:r>
          </w:p>
        </w:tc>
        <w:tc>
          <w:tcPr>
            <w:tcW w:type="dxa" w:w="3249"/>
          </w:tcPr>
          <w:p>
            <w:r/>
            <w:r>
              <w:rPr>
                <w:b w:val="0"/>
                <w:i w:val="0"/>
                <w:sz w:val="18"/>
              </w:rPr>
              <w:t>paiement en ligne ou international par carte virtuelle</w:t>
            </w:r>
          </w:p>
        </w:tc>
      </w:tr>
    </w:tbl>
    <w:p/>
    <w:p>
      <w:pPr>
        <w:spacing w:after="120"/>
      </w:pPr>
      <w:r>
        <w:rPr>
          <w:b w:val="0"/>
          <w:i w:val="0"/>
        </w:rPr>
        <w:t>Trois traits caractérisent ce marché :</w:t>
      </w:r>
    </w:p>
    <w:p>
      <w:pPr>
        <w:pStyle w:val="ListNumber"/>
      </w:pPr>
      <w:r>
        <w:rPr>
          <w:b/>
          <w:i w:val="0"/>
        </w:rPr>
        <w:t>L'accès par USSD.</w:t>
      </w:r>
      <w:r>
        <w:rPr>
          <w:b w:val="0"/>
          <w:i w:val="0"/>
        </w:rPr>
        <w:t xml:space="preserve"> Une large part des clients utilise un téléphone simple et compose un code (par exemple </w:t>
      </w:r>
      <w:r>
        <w:rPr>
          <w:rFonts w:ascii="Consolas" w:hAnsi="Consolas"/>
          <w:b w:val="0"/>
          <w:i w:val="0"/>
          <w:color w:val="1F3A8A"/>
          <w:sz w:val="18"/>
        </w:rPr>
        <w:t>*1222#</w:t>
      </w:r>
      <w:r>
        <w:rPr>
          <w:b w:val="0"/>
          <w:i w:val="0"/>
        </w:rPr>
        <w:t>). Le système ne peut donc pas compter sur des signaux propres aux smartphones, comme la géolocalisation fine ou l'empreinte de l'application.</w:t>
      </w:r>
    </w:p>
    <w:p>
      <w:pPr>
        <w:pStyle w:val="ListNumber"/>
      </w:pPr>
      <w:r>
        <w:rPr>
          <w:b/>
          <w:i w:val="0"/>
        </w:rPr>
        <w:t>La double monnaie.</w:t>
      </w:r>
      <w:r>
        <w:rPr>
          <w:b w:val="0"/>
          <w:i w:val="0"/>
        </w:rPr>
        <w:t xml:space="preserve"> Les opérations se font en francs congolais (CDF) et en dollars américains (USD). Le franc s'est fortement déprécié sur la période étudiée : environ 1 650 CDF pour 1 USD en 2019, plus de 2 700 en 2024.</w:t>
      </w:r>
    </w:p>
    <w:p>
      <w:pPr>
        <w:pStyle w:val="ListNumber"/>
      </w:pPr>
      <w:r>
        <w:rPr>
          <w:b/>
          <w:i w:val="0"/>
        </w:rPr>
        <w:t>Le réseau d'agents.</w:t>
      </w:r>
      <w:r>
        <w:rPr>
          <w:b w:val="0"/>
          <w:i w:val="0"/>
        </w:rPr>
        <w:t xml:space="preserve"> Les dépôts et les retraits passent par des agents de proximité. Ils sont indispensables à l'inclusion financière, mais constituent aussi un point de vulnérabilité.</w:t>
      </w:r>
    </w:p>
    <w:p>
      <w:pPr>
        <w:pStyle w:val="Heading3"/>
      </w:pPr>
      <w:r>
        <w:t>b) La carte Visa virtuelle</w:t>
      </w:r>
    </w:p>
    <w:p>
      <w:pPr>
        <w:spacing w:after="120"/>
      </w:pPr>
      <w:r>
        <w:rPr>
          <w:b w:val="0"/>
          <w:i w:val="0"/>
        </w:rPr>
        <w:t xml:space="preserve">Les opérateurs et certaines banques proposent une </w:t>
      </w:r>
      <w:r>
        <w:rPr>
          <w:b/>
          <w:i w:val="0"/>
        </w:rPr>
        <w:t>carte Visa virtuelle</w:t>
      </w:r>
      <w:r>
        <w:rPr>
          <w:b w:val="0"/>
          <w:i w:val="0"/>
        </w:rPr>
        <w:t xml:space="preserve"> rechargée depuis le portefeuille mobile. Elle ouvre l'accès aux achats en ligne et internationaux. Ce second canal obéit à d'autres usages (commerçants en ligne, montants, horaires) et attire des fraudes spécifiques. Le sujet de ce travail prévoit une </w:t>
      </w:r>
      <w:r>
        <w:rPr>
          <w:b/>
          <w:i w:val="0"/>
        </w:rPr>
        <w:t>extension comparative</w:t>
      </w:r>
      <w:r>
        <w:rPr>
          <w:b w:val="0"/>
          <w:i w:val="0"/>
        </w:rPr>
        <w:t xml:space="preserve"> à ce canal.</w:t>
      </w:r>
    </w:p>
    <w:p>
      <w:pPr>
        <w:pStyle w:val="Heading3"/>
      </w:pPr>
      <w:r>
        <w:t>c) Le cadre réglementaire</w:t>
      </w:r>
    </w:p>
    <w:p>
      <w:pPr>
        <w:spacing w:after="120"/>
      </w:pPr>
      <w:r>
        <w:rPr>
          <w:b w:val="0"/>
          <w:i w:val="0"/>
        </w:rPr>
        <w:t xml:space="preserve">La </w:t>
      </w:r>
      <w:r>
        <w:rPr>
          <w:b/>
          <w:i w:val="0"/>
        </w:rPr>
        <w:t>Banque Centrale du Congo (BCC)</w:t>
      </w:r>
      <w:r>
        <w:rPr>
          <w:b w:val="0"/>
          <w:i w:val="0"/>
        </w:rPr>
        <w:t xml:space="preserve"> régule l'émission de monnaie électronique, notamment par l'Instruction n° 24 de 2011. Elle impose l'identification des clients selon des </w:t>
      </w:r>
      <w:r>
        <w:rPr>
          <w:b/>
          <w:i w:val="0"/>
        </w:rPr>
        <w:t>niveaux KYC</w:t>
      </w:r>
      <w:r>
        <w:rPr>
          <w:b w:val="0"/>
          <w:i w:val="0"/>
        </w:rPr>
        <w:t xml:space="preserve"> (</w:t>
      </w:r>
      <w:r>
        <w:rPr>
          <w:b w:val="0"/>
          <w:i/>
        </w:rPr>
        <w:t>Know Your Customer</w:t>
      </w:r>
      <w:r>
        <w:rPr>
          <w:b w:val="0"/>
          <w:i w:val="0"/>
        </w:rPr>
        <w:t>), assortis de plafonds par opération. Elle attend des établissements une traçabilité de leurs décisions. L'</w:t>
      </w:r>
      <w:r>
        <w:rPr>
          <w:b/>
          <w:i w:val="0"/>
        </w:rPr>
        <w:t>ARPTC</w:t>
      </w:r>
      <w:r>
        <w:rPr>
          <w:b w:val="0"/>
          <w:i w:val="0"/>
        </w:rPr>
        <w:t xml:space="preserve"> suit, de son côté, le marché des télécommunications.</w:t>
      </w:r>
    </w:p>
    <w:p>
      <w:pPr>
        <w:pStyle w:val="Heading3"/>
      </w:pPr>
      <w:r>
        <w:t>d) Les typologies de fraude</w:t>
      </w:r>
    </w:p>
    <w:p>
      <w:pPr>
        <w:spacing w:after="120"/>
      </w:pPr>
      <w:r>
        <w:rPr>
          <w:b w:val="0"/>
          <w:i w:val="0"/>
        </w:rPr>
        <w:t>L'analyse du domaine a permis de retenir huit typologies de fraude, qui forment le périmètre de détection du système :</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Typologie</w:t>
            </w:r>
          </w:p>
        </w:tc>
        <w:tc>
          <w:tcPr>
            <w:tcW w:type="dxa" w:w="2436"/>
            <w:shd w:val="clear" w:color="auto" w:fill="DCE6F7"/>
          </w:tcPr>
          <w:p>
            <w:r/>
            <w:r>
              <w:rPr>
                <w:b/>
                <w:i w:val="0"/>
                <w:sz w:val="18"/>
              </w:rPr>
              <w:t>Mécanisme</w:t>
            </w:r>
          </w:p>
        </w:tc>
        <w:tc>
          <w:tcPr>
            <w:tcW w:type="dxa" w:w="2436"/>
            <w:shd w:val="clear" w:color="auto" w:fill="DCE6F7"/>
          </w:tcPr>
          <w:p>
            <w:r/>
            <w:r>
              <w:rPr>
                <w:b/>
                <w:i w:val="0"/>
                <w:sz w:val="18"/>
              </w:rPr>
              <w:t>Signature comportementale attendue</w:t>
            </w:r>
          </w:p>
        </w:tc>
        <w:tc>
          <w:tcPr>
            <w:tcW w:type="dxa" w:w="2436"/>
            <w:shd w:val="clear" w:color="auto" w:fill="DCE6F7"/>
          </w:tcPr>
          <w:p>
            <w:r/>
            <w:r>
              <w:rPr>
                <w:b/>
                <w:i w:val="0"/>
                <w:sz w:val="18"/>
              </w:rPr>
              <w:t>Canal</w:t>
            </w:r>
          </w:p>
        </w:tc>
      </w:tr>
      <w:tr>
        <w:tc>
          <w:tcPr>
            <w:tcW w:type="dxa" w:w="2436"/>
          </w:tcPr>
          <w:p>
            <w:r/>
            <w:r>
              <w:rPr>
                <w:b w:val="0"/>
                <w:i w:val="0"/>
                <w:sz w:val="18"/>
              </w:rPr>
              <w:t>Échange de SIM (</w:t>
            </w:r>
            <w:r>
              <w:rPr>
                <w:b w:val="0"/>
                <w:i/>
                <w:sz w:val="18"/>
              </w:rPr>
              <w:t>SIM swap</w:t>
            </w:r>
            <w:r>
              <w:rPr>
                <w:b w:val="0"/>
                <w:i w:val="0"/>
                <w:sz w:val="18"/>
              </w:rPr>
              <w:t>)</w:t>
            </w:r>
          </w:p>
        </w:tc>
        <w:tc>
          <w:tcPr>
            <w:tcW w:type="dxa" w:w="2436"/>
          </w:tcPr>
          <w:p>
            <w:r/>
            <w:r>
              <w:rPr>
                <w:b w:val="0"/>
                <w:i w:val="0"/>
                <w:sz w:val="18"/>
              </w:rPr>
              <w:t>Le fraudeur obtient un duplicata de la carte SIM puis vide le compte depuis un nouvel appareil</w:t>
            </w:r>
          </w:p>
        </w:tc>
        <w:tc>
          <w:tcPr>
            <w:tcW w:type="dxa" w:w="2436"/>
          </w:tcPr>
          <w:p>
            <w:r/>
            <w:r>
              <w:rPr>
                <w:b w:val="0"/>
                <w:i w:val="0"/>
                <w:sz w:val="18"/>
              </w:rPr>
              <w:t>nouvel appareil, montant élevé, vidage du solde</w:t>
            </w:r>
          </w:p>
        </w:tc>
        <w:tc>
          <w:tcPr>
            <w:tcW w:type="dxa" w:w="2436"/>
          </w:tcPr>
          <w:p>
            <w:r/>
            <w:r>
              <w:rPr>
                <w:b w:val="0"/>
                <w:i w:val="0"/>
                <w:sz w:val="18"/>
              </w:rPr>
              <w:t>Mobile Money</w:t>
            </w:r>
          </w:p>
        </w:tc>
      </w:tr>
      <w:tr>
        <w:tc>
          <w:tcPr>
            <w:tcW w:type="dxa" w:w="2436"/>
          </w:tcPr>
          <w:p>
            <w:r/>
            <w:r>
              <w:rPr>
                <w:b w:val="0"/>
                <w:i w:val="0"/>
                <w:sz w:val="18"/>
              </w:rPr>
              <w:t>Ingénierie sociale</w:t>
            </w:r>
          </w:p>
        </w:tc>
        <w:tc>
          <w:tcPr>
            <w:tcW w:type="dxa" w:w="2436"/>
          </w:tcPr>
          <w:p>
            <w:r/>
            <w:r>
              <w:rPr>
                <w:b w:val="0"/>
                <w:i w:val="0"/>
                <w:sz w:val="18"/>
              </w:rPr>
              <w:t>Le client est manipulé (faux agent, faux gain, urgence familiale) et envoie lui-même l'argent</w:t>
            </w:r>
          </w:p>
        </w:tc>
        <w:tc>
          <w:tcPr>
            <w:tcW w:type="dxa" w:w="2436"/>
          </w:tcPr>
          <w:p>
            <w:r/>
            <w:r>
              <w:rPr>
                <w:b w:val="0"/>
                <w:i w:val="0"/>
                <w:sz w:val="18"/>
              </w:rPr>
              <w:t>nouveau destinataire, montant inhabituel, message suspect</w:t>
            </w:r>
          </w:p>
        </w:tc>
        <w:tc>
          <w:tcPr>
            <w:tcW w:type="dxa" w:w="2436"/>
          </w:tcPr>
          <w:p>
            <w:r/>
            <w:r>
              <w:rPr>
                <w:b w:val="0"/>
                <w:i w:val="0"/>
                <w:sz w:val="18"/>
              </w:rPr>
              <w:t>Mobile Money</w:t>
            </w:r>
          </w:p>
        </w:tc>
      </w:tr>
      <w:tr>
        <w:tc>
          <w:tcPr>
            <w:tcW w:type="dxa" w:w="2436"/>
          </w:tcPr>
          <w:p>
            <w:r/>
            <w:r>
              <w:rPr>
                <w:b w:val="0"/>
                <w:i w:val="0"/>
                <w:sz w:val="18"/>
              </w:rPr>
              <w:t>Prise de contrôle de compte</w:t>
            </w:r>
          </w:p>
        </w:tc>
        <w:tc>
          <w:tcPr>
            <w:tcW w:type="dxa" w:w="2436"/>
          </w:tcPr>
          <w:p>
            <w:r/>
            <w:r>
              <w:rPr>
                <w:b w:val="0"/>
                <w:i w:val="0"/>
                <w:sz w:val="18"/>
              </w:rPr>
              <w:t>Accès non autorisé à l'application du client</w:t>
            </w:r>
          </w:p>
        </w:tc>
        <w:tc>
          <w:tcPr>
            <w:tcW w:type="dxa" w:w="2436"/>
          </w:tcPr>
          <w:p>
            <w:r/>
            <w:r>
              <w:rPr>
                <w:b w:val="0"/>
                <w:i w:val="0"/>
                <w:sz w:val="18"/>
              </w:rPr>
              <w:t>nouvel appareil, horaire inhabituel, rafale d'opérations</w:t>
            </w:r>
          </w:p>
        </w:tc>
        <w:tc>
          <w:tcPr>
            <w:tcW w:type="dxa" w:w="2436"/>
          </w:tcPr>
          <w:p>
            <w:r/>
            <w:r>
              <w:rPr>
                <w:b w:val="0"/>
                <w:i w:val="0"/>
                <w:sz w:val="18"/>
              </w:rPr>
              <w:t>Mobile Money</w:t>
            </w:r>
          </w:p>
        </w:tc>
      </w:tr>
      <w:tr>
        <w:tc>
          <w:tcPr>
            <w:tcW w:type="dxa" w:w="2436"/>
          </w:tcPr>
          <w:p>
            <w:r/>
            <w:r>
              <w:rPr>
                <w:b w:val="0"/>
                <w:i w:val="0"/>
                <w:sz w:val="18"/>
              </w:rPr>
              <w:t>Fraude d'agent</w:t>
            </w:r>
          </w:p>
        </w:tc>
        <w:tc>
          <w:tcPr>
            <w:tcW w:type="dxa" w:w="2436"/>
          </w:tcPr>
          <w:p>
            <w:r/>
            <w:r>
              <w:rPr>
                <w:b w:val="0"/>
                <w:i w:val="0"/>
                <w:sz w:val="18"/>
              </w:rPr>
              <w:t>Retraits non autorisés par un agent compromis</w:t>
            </w:r>
          </w:p>
        </w:tc>
        <w:tc>
          <w:tcPr>
            <w:tcW w:type="dxa" w:w="2436"/>
          </w:tcPr>
          <w:p>
            <w:r/>
            <w:r>
              <w:rPr>
                <w:b w:val="0"/>
                <w:i w:val="0"/>
                <w:sz w:val="18"/>
              </w:rPr>
              <w:t>nouvel agent, retraits répétés</w:t>
            </w:r>
          </w:p>
        </w:tc>
        <w:tc>
          <w:tcPr>
            <w:tcW w:type="dxa" w:w="2436"/>
          </w:tcPr>
          <w:p>
            <w:r/>
            <w:r>
              <w:rPr>
                <w:b w:val="0"/>
                <w:i w:val="0"/>
                <w:sz w:val="18"/>
              </w:rPr>
              <w:t>Mobile Money</w:t>
            </w:r>
          </w:p>
        </w:tc>
      </w:tr>
      <w:tr>
        <w:tc>
          <w:tcPr>
            <w:tcW w:type="dxa" w:w="2436"/>
          </w:tcPr>
          <w:p>
            <w:r/>
            <w:r>
              <w:rPr>
                <w:b w:val="0"/>
                <w:i w:val="0"/>
                <w:sz w:val="18"/>
              </w:rPr>
              <w:t>Fractionnement (</w:t>
            </w:r>
            <w:r>
              <w:rPr>
                <w:b w:val="0"/>
                <w:i/>
                <w:sz w:val="18"/>
              </w:rPr>
              <w:t>smurfing</w:t>
            </w:r>
            <w:r>
              <w:rPr>
                <w:b w:val="0"/>
                <w:i w:val="0"/>
                <w:sz w:val="18"/>
              </w:rPr>
              <w:t>)</w:t>
            </w:r>
          </w:p>
        </w:tc>
        <w:tc>
          <w:tcPr>
            <w:tcW w:type="dxa" w:w="2436"/>
          </w:tcPr>
          <w:p>
            <w:r/>
            <w:r>
              <w:rPr>
                <w:b w:val="0"/>
                <w:i w:val="0"/>
                <w:sz w:val="18"/>
              </w:rPr>
              <w:t>Petits montants répétés vers des comptes mules pour rester sous les seuils</w:t>
            </w:r>
          </w:p>
        </w:tc>
        <w:tc>
          <w:tcPr>
            <w:tcW w:type="dxa" w:w="2436"/>
          </w:tcPr>
          <w:p>
            <w:r/>
            <w:r>
              <w:rPr>
                <w:b w:val="0"/>
                <w:i w:val="0"/>
                <w:sz w:val="18"/>
              </w:rPr>
              <w:t>forte fréquence, destinataire lié à de nombreux clients</w:t>
            </w:r>
          </w:p>
        </w:tc>
        <w:tc>
          <w:tcPr>
            <w:tcW w:type="dxa" w:w="2436"/>
          </w:tcPr>
          <w:p>
            <w:r/>
            <w:r>
              <w:rPr>
                <w:b w:val="0"/>
                <w:i w:val="0"/>
                <w:sz w:val="18"/>
              </w:rPr>
              <w:t>Mobile Money</w:t>
            </w:r>
          </w:p>
        </w:tc>
      </w:tr>
      <w:tr>
        <w:tc>
          <w:tcPr>
            <w:tcW w:type="dxa" w:w="2436"/>
          </w:tcPr>
          <w:p>
            <w:r/>
            <w:r>
              <w:rPr>
                <w:b w:val="0"/>
                <w:i w:val="0"/>
                <w:sz w:val="18"/>
              </w:rPr>
              <w:t>Test de carte</w:t>
            </w:r>
          </w:p>
        </w:tc>
        <w:tc>
          <w:tcPr>
            <w:tcW w:type="dxa" w:w="2436"/>
          </w:tcPr>
          <w:p>
            <w:r/>
            <w:r>
              <w:rPr>
                <w:b w:val="0"/>
                <w:i w:val="0"/>
                <w:sz w:val="18"/>
              </w:rPr>
              <w:t>Salves de petits achats pour vérifier une carte volée</w:t>
            </w:r>
          </w:p>
        </w:tc>
        <w:tc>
          <w:tcPr>
            <w:tcW w:type="dxa" w:w="2436"/>
          </w:tcPr>
          <w:p>
            <w:r/>
            <w:r>
              <w:rPr>
                <w:b w:val="0"/>
                <w:i w:val="0"/>
                <w:sz w:val="18"/>
              </w:rPr>
              <w:t>rafale de petits montants, nouveaux commerçants</w:t>
            </w:r>
          </w:p>
        </w:tc>
        <w:tc>
          <w:tcPr>
            <w:tcW w:type="dxa" w:w="2436"/>
          </w:tcPr>
          <w:p>
            <w:r/>
            <w:r>
              <w:rPr>
                <w:b w:val="0"/>
                <w:i w:val="0"/>
                <w:sz w:val="18"/>
              </w:rPr>
              <w:t>Visa virtuelle</w:t>
            </w:r>
          </w:p>
        </w:tc>
      </w:tr>
      <w:tr>
        <w:tc>
          <w:tcPr>
            <w:tcW w:type="dxa" w:w="2436"/>
          </w:tcPr>
          <w:p>
            <w:r/>
            <w:r>
              <w:rPr>
                <w:b w:val="0"/>
                <w:i w:val="0"/>
                <w:sz w:val="18"/>
              </w:rPr>
              <w:t>Carte non présente (CNP)</w:t>
            </w:r>
          </w:p>
        </w:tc>
        <w:tc>
          <w:tcPr>
            <w:tcW w:type="dxa" w:w="2436"/>
          </w:tcPr>
          <w:p>
            <w:r/>
            <w:r>
              <w:rPr>
                <w:b w:val="0"/>
                <w:i w:val="0"/>
                <w:sz w:val="18"/>
              </w:rPr>
              <w:t>Achat en ligne avec les données de la carte</w:t>
            </w:r>
          </w:p>
        </w:tc>
        <w:tc>
          <w:tcPr>
            <w:tcW w:type="dxa" w:w="2436"/>
          </w:tcPr>
          <w:p>
            <w:r/>
            <w:r>
              <w:rPr>
                <w:b w:val="0"/>
                <w:i w:val="0"/>
                <w:sz w:val="18"/>
              </w:rPr>
              <w:t>commerçant ou pays inhabituel, adresse IP étrangère</w:t>
            </w:r>
          </w:p>
        </w:tc>
        <w:tc>
          <w:tcPr>
            <w:tcW w:type="dxa" w:w="2436"/>
          </w:tcPr>
          <w:p>
            <w:r/>
            <w:r>
              <w:rPr>
                <w:b w:val="0"/>
                <w:i w:val="0"/>
                <w:sz w:val="18"/>
              </w:rPr>
              <w:t>Visa virtuelle</w:t>
            </w:r>
          </w:p>
        </w:tc>
      </w:tr>
      <w:tr>
        <w:tc>
          <w:tcPr>
            <w:tcW w:type="dxa" w:w="2436"/>
          </w:tcPr>
          <w:p>
            <w:r/>
            <w:r>
              <w:rPr>
                <w:b w:val="0"/>
                <w:i w:val="0"/>
                <w:sz w:val="18"/>
              </w:rPr>
              <w:t>Vidage par rechargement</w:t>
            </w:r>
          </w:p>
        </w:tc>
        <w:tc>
          <w:tcPr>
            <w:tcW w:type="dxa" w:w="2436"/>
          </w:tcPr>
          <w:p>
            <w:r/>
            <w:r>
              <w:rPr>
                <w:b w:val="0"/>
                <w:i w:val="0"/>
                <w:sz w:val="18"/>
              </w:rPr>
              <w:t>Rechargement de la carte puis vidage rapide</w:t>
            </w:r>
          </w:p>
        </w:tc>
        <w:tc>
          <w:tcPr>
            <w:tcW w:type="dxa" w:w="2436"/>
          </w:tcPr>
          <w:p>
            <w:r/>
            <w:r>
              <w:rPr>
                <w:b w:val="0"/>
                <w:i w:val="0"/>
                <w:sz w:val="18"/>
              </w:rPr>
              <w:t>recharge suivie d'achats rapprochés</w:t>
            </w:r>
          </w:p>
        </w:tc>
        <w:tc>
          <w:tcPr>
            <w:tcW w:type="dxa" w:w="2436"/>
          </w:tcPr>
          <w:p>
            <w:r/>
            <w:r>
              <w:rPr>
                <w:b w:val="0"/>
                <w:i w:val="0"/>
                <w:sz w:val="18"/>
              </w:rPr>
              <w:t>Visa virtuelle</w:t>
            </w:r>
          </w:p>
        </w:tc>
      </w:tr>
    </w:tbl>
    <w:p/>
    <w:p>
      <w:pPr>
        <w:spacing w:after="120"/>
      </w:pPr>
      <w:r>
        <w:rPr>
          <w:b w:val="0"/>
          <w:i/>
        </w:rPr>
        <w:t>Tableau II.1 — Typologies de fraude retenues.</w:t>
      </w:r>
    </w:p>
    <w:p>
      <w:pPr>
        <w:spacing w:after="120"/>
      </w:pPr>
      <w:r>
        <w:rPr>
          <w:b w:val="0"/>
          <w:i w:val="0"/>
        </w:rPr>
        <w:t xml:space="preserve">Ces fraudes </w:t>
      </w:r>
      <w:r>
        <w:rPr>
          <w:b/>
          <w:i w:val="0"/>
        </w:rPr>
        <w:t>évoluent dans le temps</w:t>
      </w:r>
      <w:r>
        <w:rPr>
          <w:b w:val="0"/>
          <w:i w:val="0"/>
        </w:rPr>
        <w:t xml:space="preserve"> : les fraudeurs s'adaptent aux contrôles, et les techniques d'ingénierie sociale se sont développées sur la période. Cette évolution est au cœur de l'une des hypothèses de recherche (H5).</w:t>
      </w:r>
    </w:p>
    <w:p>
      <w:pPr>
        <w:pStyle w:val="Heading3"/>
      </w:pPr>
      <w:r>
        <w:t>II.1.2 Étude de l'existant</w:t>
      </w:r>
    </w:p>
    <w:p>
      <w:pPr>
        <w:pStyle w:val="Heading3"/>
      </w:pPr>
      <w:r>
        <w:t>a) Diagramme de contexte</w:t>
      </w:r>
    </w:p>
    <w:p>
      <w:pPr>
        <w:spacing w:after="120"/>
      </w:pPr>
      <w:r>
        <w:rPr>
          <w:b w:val="0"/>
          <w:i w:val="0"/>
        </w:rPr>
        <w:t xml:space="preserve">Le diagramme de contexte situe le système à construire parmi ses interlocuteurs. Il fixe la frontière du travail : le système ne gère pas les portefeuilles et n'exécute pas les opérations. Il </w:t>
      </w:r>
      <w:r>
        <w:rPr>
          <w:b/>
          <w:i w:val="0"/>
        </w:rPr>
        <w:t>décide</w:t>
      </w:r>
      <w:r>
        <w:rPr>
          <w:b w:val="0"/>
          <w:i w:val="0"/>
        </w:rPr>
        <w:t xml:space="preserve"> si une opération soumise par une institution doit être acceptée, vérifiée ou refusée, et il </w:t>
      </w:r>
      <w:r>
        <w:rPr>
          <w:b/>
          <w:i w:val="0"/>
        </w:rPr>
        <w:t>outille</w:t>
      </w:r>
      <w:r>
        <w:rPr>
          <w:b w:val="0"/>
          <w:i w:val="0"/>
        </w:rPr>
        <w:t xml:space="preserve"> l'équipe chargée de la fraude.</w:t>
      </w:r>
    </w:p>
    <w:p>
      <w:pPr>
        <w:jc w:val="center"/>
      </w:pPr>
      <w:r>
        <w:drawing>
          <wp:inline xmlns:a="http://schemas.openxmlformats.org/drawingml/2006/main" xmlns:pic="http://schemas.openxmlformats.org/drawingml/2006/picture">
            <wp:extent cx="5760000" cy="3305252"/>
            <wp:docPr id="1" name="Picture 1"/>
            <wp:cNvGraphicFramePr>
              <a:graphicFrameLocks noChangeAspect="1"/>
            </wp:cNvGraphicFramePr>
            <a:graphic>
              <a:graphicData uri="http://schemas.openxmlformats.org/drawingml/2006/picture">
                <pic:pic>
                  <pic:nvPicPr>
                    <pic:cNvPr id="0" name="diagramme_contexte.png"/>
                    <pic:cNvPicPr/>
                  </pic:nvPicPr>
                  <pic:blipFill>
                    <a:blip r:embed="rId9"/>
                    <a:stretch>
                      <a:fillRect/>
                    </a:stretch>
                  </pic:blipFill>
                  <pic:spPr>
                    <a:xfrm>
                      <a:off x="0" y="0"/>
                      <a:ext cx="5760000" cy="3305252"/>
                    </a:xfrm>
                    <a:prstGeom prst="rect"/>
                  </pic:spPr>
                </pic:pic>
              </a:graphicData>
            </a:graphic>
          </wp:inline>
        </w:drawing>
      </w:r>
    </w:p>
    <w:p>
      <w:pPr>
        <w:jc w:val="center"/>
      </w:pPr>
      <w:r>
        <w:rPr>
          <w:b w:val="0"/>
          <w:i/>
          <w:sz w:val="18"/>
        </w:rPr>
        <w:t>Figure II.1 — Diagramme de contexte (</w:t>
      </w:r>
      <w:r>
        <w:rPr>
          <w:rFonts w:ascii="Consolas" w:hAnsi="Consolas"/>
          <w:b w:val="0"/>
          <w:i/>
          <w:color w:val="1F3A8A"/>
          <w:sz w:val="18"/>
        </w:rPr>
        <w:t>docs/uml/diagramme_contexte.puml</w:t>
      </w:r>
      <w:r>
        <w:rPr>
          <w:b w:val="0"/>
          <w:i/>
          <w:sz w:val="18"/>
        </w:rPr>
        <w:t>).</w:t>
      </w:r>
    </w:p>
    <w:p>
      <w:pPr>
        <w:pStyle w:val="Heading3"/>
      </w:pPr>
      <w:r>
        <w:t>b) Description du processus actuel</w:t>
      </w:r>
    </w:p>
    <w:p>
      <w:pPr>
        <w:spacing w:after="120"/>
      </w:pPr>
      <w:r>
        <w:rPr>
          <w:b w:val="0"/>
          <w:i w:val="0"/>
        </w:rPr>
        <w:t xml:space="preserve">Dans le schéma courant, le contrôle anti-fraude d'un opérateur repose sur des </w:t>
      </w:r>
      <w:r>
        <w:rPr>
          <w:b/>
          <w:i w:val="0"/>
        </w:rPr>
        <w:t>règles statiques</w:t>
      </w:r>
      <w:r>
        <w:rPr>
          <w:b w:val="0"/>
          <w:i w:val="0"/>
        </w:rPr>
        <w:t xml:space="preserve"> appliquées au moment de l'opération, complétées par un traitement </w:t>
      </w:r>
      <w:r>
        <w:rPr>
          <w:b/>
          <w:i w:val="0"/>
        </w:rPr>
        <w:t>a posteriori</w:t>
      </w:r>
      <w:r>
        <w:rPr>
          <w:b w:val="0"/>
          <w:i w:val="0"/>
        </w:rPr>
        <w:t xml:space="preserve"> des plaintes :</w:t>
      </w:r>
    </w:p>
    <w:p>
      <w:pPr>
        <w:pStyle w:val="ListNumber"/>
      </w:pPr>
      <w:r>
        <w:rPr>
          <w:b w:val="0"/>
          <w:i w:val="0"/>
        </w:rPr>
        <w:t>le client initie l'opération et saisit son code PIN ;</w:t>
      </w:r>
    </w:p>
    <w:p>
      <w:pPr>
        <w:pStyle w:val="ListNumber"/>
      </w:pPr>
      <w:r>
        <w:rPr>
          <w:b w:val="0"/>
          <w:i w:val="0"/>
        </w:rPr>
        <w:t>le système de l'opérateur vérifie le PIN, le solde, puis un jeu de règles fixes : plafond de montant, liste noire de numéros, plafond KYC ;</w:t>
      </w:r>
    </w:p>
    <w:p>
      <w:pPr>
        <w:pStyle w:val="ListNumber"/>
      </w:pPr>
      <w:r>
        <w:rPr>
          <w:b w:val="0"/>
          <w:i w:val="0"/>
        </w:rPr>
        <w:t>si aucune règle n'est franchie, l'opération est exécutée immédiatement ;</w:t>
      </w:r>
    </w:p>
    <w:p>
      <w:pPr>
        <w:pStyle w:val="ListNumber"/>
      </w:pPr>
      <w:r>
        <w:rPr>
          <w:b w:val="0"/>
          <w:i w:val="0"/>
        </w:rPr>
        <w:t>si le client ne reconnaît pas l'opération, il appelle le service client, souvent plusieurs heures après ;</w:t>
      </w:r>
    </w:p>
    <w:p>
      <w:pPr>
        <w:pStyle w:val="ListNumber"/>
      </w:pPr>
      <w:r>
        <w:rPr>
          <w:b w:val="0"/>
          <w:i w:val="0"/>
        </w:rPr>
        <w:t>un agent du service anti-fraude enregistre la plainte, reconstitue l'historique à partir des journaux, tente de geler le compte bénéficiaire, puis ajuste éventuellement les seuils.</w:t>
      </w:r>
    </w:p>
    <w:p>
      <w:pPr>
        <w:jc w:val="center"/>
      </w:pPr>
      <w:r>
        <w:drawing>
          <wp:inline xmlns:a="http://schemas.openxmlformats.org/drawingml/2006/main" xmlns:pic="http://schemas.openxmlformats.org/drawingml/2006/picture">
            <wp:extent cx="5760000" cy="4974545"/>
            <wp:docPr id="2" name="Picture 2"/>
            <wp:cNvGraphicFramePr>
              <a:graphicFrameLocks noChangeAspect="1"/>
            </wp:cNvGraphicFramePr>
            <a:graphic>
              <a:graphicData uri="http://schemas.openxmlformats.org/drawingml/2006/picture">
                <pic:pic>
                  <pic:nvPicPr>
                    <pic:cNvPr id="0" name="activite_processus_existant.png"/>
                    <pic:cNvPicPr/>
                  </pic:nvPicPr>
                  <pic:blipFill>
                    <a:blip r:embed="rId10"/>
                    <a:stretch>
                      <a:fillRect/>
                    </a:stretch>
                  </pic:blipFill>
                  <pic:spPr>
                    <a:xfrm>
                      <a:off x="0" y="0"/>
                      <a:ext cx="5760000" cy="4974545"/>
                    </a:xfrm>
                    <a:prstGeom prst="rect"/>
                  </pic:spPr>
                </pic:pic>
              </a:graphicData>
            </a:graphic>
          </wp:inline>
        </w:drawing>
      </w:r>
    </w:p>
    <w:p>
      <w:pPr>
        <w:jc w:val="center"/>
      </w:pPr>
      <w:r>
        <w:rPr>
          <w:b w:val="0"/>
          <w:i/>
          <w:sz w:val="18"/>
        </w:rPr>
        <w:t>Figure II.2 — Diagramme d'activité du processus existant (</w:t>
      </w:r>
      <w:r>
        <w:rPr>
          <w:rFonts w:ascii="Consolas" w:hAnsi="Consolas"/>
          <w:b w:val="0"/>
          <w:i/>
          <w:color w:val="1F3A8A"/>
          <w:sz w:val="18"/>
        </w:rPr>
        <w:t>docs/uml/activite_processus_existant.puml</w:t>
      </w:r>
      <w:r>
        <w:rPr>
          <w:b w:val="0"/>
          <w:i/>
          <w:sz w:val="18"/>
        </w:rPr>
        <w:t>).</w:t>
      </w:r>
    </w:p>
    <w:p>
      <w:pPr>
        <w:pStyle w:val="Heading3"/>
      </w:pPr>
      <w:r>
        <w:t>II.1.3 Critique de l'existant</w:t>
      </w:r>
    </w:p>
    <w:p>
      <w:pPr>
        <w:spacing w:after="120"/>
      </w:pPr>
      <w:r>
        <w:rPr>
          <w:b w:val="0"/>
          <w:i w:val="0"/>
        </w:rPr>
        <w:t xml:space="preserve">Le dispositif actuel présente des </w:t>
      </w:r>
      <w:r>
        <w:rPr>
          <w:b/>
          <w:i w:val="0"/>
        </w:rPr>
        <w:t>points forts</w:t>
      </w:r>
      <w:r>
        <w:rPr>
          <w:b w:val="0"/>
          <w:i w:val="0"/>
        </w:rPr>
        <w:t xml:space="preserve"> réels : il est simple, rapide, compréhensible et facile à justifier devant le régulateur. Ses </w:t>
      </w:r>
      <w:r>
        <w:rPr>
          <w:b/>
          <w:i w:val="0"/>
        </w:rPr>
        <w:t>insuffisances</w:t>
      </w:r>
      <w:r>
        <w:rPr>
          <w:b w:val="0"/>
          <w:i w:val="0"/>
        </w:rPr>
        <w:t xml:space="preserve"> sont toutefois structurelles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N°</w:t>
            </w:r>
          </w:p>
        </w:tc>
        <w:tc>
          <w:tcPr>
            <w:tcW w:type="dxa" w:w="3249"/>
            <w:shd w:val="clear" w:color="auto" w:fill="DCE6F7"/>
          </w:tcPr>
          <w:p>
            <w:r/>
            <w:r>
              <w:rPr>
                <w:b/>
                <w:i w:val="0"/>
                <w:sz w:val="18"/>
              </w:rPr>
              <w:t>Insuffisance</w:t>
            </w:r>
          </w:p>
        </w:tc>
        <w:tc>
          <w:tcPr>
            <w:tcW w:type="dxa" w:w="3249"/>
            <w:shd w:val="clear" w:color="auto" w:fill="DCE6F7"/>
          </w:tcPr>
          <w:p>
            <w:r/>
            <w:r>
              <w:rPr>
                <w:b/>
                <w:i w:val="0"/>
                <w:sz w:val="18"/>
              </w:rPr>
              <w:t>Conséquence</w:t>
            </w:r>
          </w:p>
        </w:tc>
      </w:tr>
      <w:tr>
        <w:tc>
          <w:tcPr>
            <w:tcW w:type="dxa" w:w="3249"/>
          </w:tcPr>
          <w:p>
            <w:r/>
            <w:r>
              <w:rPr>
                <w:b w:val="0"/>
                <w:i w:val="0"/>
                <w:sz w:val="18"/>
              </w:rPr>
              <w:t>1</w:t>
            </w:r>
          </w:p>
        </w:tc>
        <w:tc>
          <w:tcPr>
            <w:tcW w:type="dxa" w:w="3249"/>
          </w:tcPr>
          <w:p>
            <w:r/>
            <w:r>
              <w:rPr>
                <w:b/>
                <w:i w:val="0"/>
                <w:sz w:val="18"/>
              </w:rPr>
              <w:t>Les règles ignorent l'individu.</w:t>
            </w:r>
            <w:r>
              <w:rPr>
                <w:b w:val="0"/>
                <w:i w:val="0"/>
                <w:sz w:val="18"/>
              </w:rPr>
              <w:t xml:space="preserve"> Un même seuil s'applique à tous : un retrait de 300 USD est banal pour un commerçant et anormal pour un étudiant.</w:t>
            </w:r>
          </w:p>
        </w:tc>
        <w:tc>
          <w:tcPr>
            <w:tcW w:type="dxa" w:w="3249"/>
          </w:tcPr>
          <w:p>
            <w:r/>
            <w:r>
              <w:rPr>
                <w:b w:val="0"/>
                <w:i w:val="0"/>
                <w:sz w:val="18"/>
              </w:rPr>
              <w:t>Le système produit à la fois des fausses alertes (clients actifs bloqués) et des fraudes manquées (montants modestes mais anormaux).</w:t>
            </w:r>
          </w:p>
        </w:tc>
      </w:tr>
      <w:tr>
        <w:tc>
          <w:tcPr>
            <w:tcW w:type="dxa" w:w="3249"/>
          </w:tcPr>
          <w:p>
            <w:r/>
            <w:r>
              <w:rPr>
                <w:b w:val="0"/>
                <w:i w:val="0"/>
                <w:sz w:val="18"/>
              </w:rPr>
              <w:t>2</w:t>
            </w:r>
          </w:p>
        </w:tc>
        <w:tc>
          <w:tcPr>
            <w:tcW w:type="dxa" w:w="3249"/>
          </w:tcPr>
          <w:p>
            <w:r/>
            <w:r>
              <w:rPr>
                <w:b/>
                <w:i w:val="0"/>
                <w:sz w:val="18"/>
              </w:rPr>
              <w:t>Les règles sont figées.</w:t>
            </w:r>
            <w:r>
              <w:rPr>
                <w:b w:val="0"/>
                <w:i w:val="0"/>
                <w:sz w:val="18"/>
              </w:rPr>
              <w:t xml:space="preserve"> Les fraudeurs apprennent les seuils et s'y adaptent, par exemple en fractionnant les montants.</w:t>
            </w:r>
          </w:p>
        </w:tc>
        <w:tc>
          <w:tcPr>
            <w:tcW w:type="dxa" w:w="3249"/>
          </w:tcPr>
          <w:p>
            <w:r/>
            <w:r>
              <w:rPr>
                <w:b w:val="0"/>
                <w:i w:val="0"/>
                <w:sz w:val="18"/>
              </w:rPr>
              <w:t>L'efficacité se dégrade avec le temps ; la mise à jour dépend d'une intervention manuelle.</w:t>
            </w:r>
          </w:p>
        </w:tc>
      </w:tr>
      <w:tr>
        <w:tc>
          <w:tcPr>
            <w:tcW w:type="dxa" w:w="3249"/>
          </w:tcPr>
          <w:p>
            <w:r/>
            <w:r>
              <w:rPr>
                <w:b w:val="0"/>
                <w:i w:val="0"/>
                <w:sz w:val="18"/>
              </w:rPr>
              <w:t>3</w:t>
            </w:r>
          </w:p>
        </w:tc>
        <w:tc>
          <w:tcPr>
            <w:tcW w:type="dxa" w:w="3249"/>
          </w:tcPr>
          <w:p>
            <w:r/>
            <w:r>
              <w:rPr>
                <w:b/>
                <w:i w:val="0"/>
                <w:sz w:val="18"/>
              </w:rPr>
              <w:t>La détection est tardive.</w:t>
            </w:r>
            <w:r>
              <w:rPr>
                <w:b w:val="0"/>
                <w:i w:val="0"/>
                <w:sz w:val="18"/>
              </w:rPr>
              <w:t xml:space="preserve"> La fraude est souvent constatée par la plainte du client, après l'exécution.</w:t>
            </w:r>
          </w:p>
        </w:tc>
        <w:tc>
          <w:tcPr>
            <w:tcW w:type="dxa" w:w="3249"/>
          </w:tcPr>
          <w:p>
            <w:r/>
            <w:r>
              <w:rPr>
                <w:b w:val="0"/>
                <w:i w:val="0"/>
                <w:sz w:val="18"/>
              </w:rPr>
              <w:t>Les fonds, déjà retirés ou transférés, sont rarement récupérables.</w:t>
            </w:r>
          </w:p>
        </w:tc>
      </w:tr>
      <w:tr>
        <w:tc>
          <w:tcPr>
            <w:tcW w:type="dxa" w:w="3249"/>
          </w:tcPr>
          <w:p>
            <w:r/>
            <w:r>
              <w:rPr>
                <w:b w:val="0"/>
                <w:i w:val="0"/>
                <w:sz w:val="18"/>
              </w:rPr>
              <w:t>4</w:t>
            </w:r>
          </w:p>
        </w:tc>
        <w:tc>
          <w:tcPr>
            <w:tcW w:type="dxa" w:w="3249"/>
          </w:tcPr>
          <w:p>
            <w:r/>
            <w:r>
              <w:rPr>
                <w:b/>
                <w:i w:val="0"/>
                <w:sz w:val="18"/>
              </w:rPr>
              <w:t>La réponse n'est pas graduée.</w:t>
            </w:r>
            <w:r>
              <w:rPr>
                <w:b w:val="0"/>
                <w:i w:val="0"/>
                <w:sz w:val="18"/>
              </w:rPr>
              <w:t xml:space="preserve"> Une règle accepte ou refuse, sans tenir compte du montant en jeu.</w:t>
            </w:r>
          </w:p>
        </w:tc>
        <w:tc>
          <w:tcPr>
            <w:tcW w:type="dxa" w:w="3249"/>
          </w:tcPr>
          <w:p>
            <w:r/>
            <w:r>
              <w:rPr>
                <w:b w:val="0"/>
                <w:i w:val="0"/>
                <w:sz w:val="18"/>
              </w:rPr>
              <w:t>Refuser 2 USD de crédit et laisser passer 900 USD de retrait n'ont pas le même coût, mais sont traités de la même façon.</w:t>
            </w:r>
          </w:p>
        </w:tc>
      </w:tr>
      <w:tr>
        <w:tc>
          <w:tcPr>
            <w:tcW w:type="dxa" w:w="3249"/>
          </w:tcPr>
          <w:p>
            <w:r/>
            <w:r>
              <w:rPr>
                <w:b w:val="0"/>
                <w:i w:val="0"/>
                <w:sz w:val="18"/>
              </w:rPr>
              <w:t>5</w:t>
            </w:r>
          </w:p>
        </w:tc>
        <w:tc>
          <w:tcPr>
            <w:tcW w:type="dxa" w:w="3249"/>
          </w:tcPr>
          <w:p>
            <w:r/>
            <w:r>
              <w:rPr>
                <w:b/>
                <w:i w:val="0"/>
                <w:sz w:val="18"/>
              </w:rPr>
              <w:t>Les décisions ne sont pas expliquées.</w:t>
            </w:r>
            <w:r>
              <w:rPr>
                <w:b w:val="0"/>
                <w:i w:val="0"/>
                <w:sz w:val="18"/>
              </w:rPr>
              <w:t xml:space="preserve"> L'analyste ne sait pas pourquoi une opération est suspecte.</w:t>
            </w:r>
          </w:p>
        </w:tc>
        <w:tc>
          <w:tcPr>
            <w:tcW w:type="dxa" w:w="3249"/>
          </w:tcPr>
          <w:p>
            <w:r/>
            <w:r>
              <w:rPr>
                <w:b w:val="0"/>
                <w:i w:val="0"/>
                <w:sz w:val="18"/>
              </w:rPr>
              <w:t>Le traitement des alertes est lent ; la décision est difficile à défendre devant le client ou le régulateur.</w:t>
            </w:r>
          </w:p>
        </w:tc>
      </w:tr>
      <w:tr>
        <w:tc>
          <w:tcPr>
            <w:tcW w:type="dxa" w:w="3249"/>
          </w:tcPr>
          <w:p>
            <w:r/>
            <w:r>
              <w:rPr>
                <w:b w:val="0"/>
                <w:i w:val="0"/>
                <w:sz w:val="18"/>
              </w:rPr>
              <w:t>6</w:t>
            </w:r>
          </w:p>
        </w:tc>
        <w:tc>
          <w:tcPr>
            <w:tcW w:type="dxa" w:w="3249"/>
          </w:tcPr>
          <w:p>
            <w:r/>
            <w:r>
              <w:rPr>
                <w:b/>
                <w:i w:val="0"/>
                <w:sz w:val="18"/>
              </w:rPr>
              <w:t>Les plaintes ne nourrissent pas le dispositif.</w:t>
            </w:r>
            <w:r>
              <w:rPr>
                <w:b w:val="0"/>
                <w:i w:val="0"/>
                <w:sz w:val="18"/>
              </w:rPr>
              <w:t xml:space="preserve"> Une fraude confirmée ne modifie pas automatiquement les contrôles.</w:t>
            </w:r>
          </w:p>
        </w:tc>
        <w:tc>
          <w:tcPr>
            <w:tcW w:type="dxa" w:w="3249"/>
          </w:tcPr>
          <w:p>
            <w:r/>
            <w:r>
              <w:rPr>
                <w:b w:val="0"/>
                <w:i w:val="0"/>
                <w:sz w:val="18"/>
              </w:rPr>
              <w:t>Les mêmes schémas de fraude se répètent.</w:t>
            </w:r>
          </w:p>
        </w:tc>
      </w:tr>
      <w:tr>
        <w:tc>
          <w:tcPr>
            <w:tcW w:type="dxa" w:w="3249"/>
          </w:tcPr>
          <w:p>
            <w:r/>
            <w:r>
              <w:rPr>
                <w:b w:val="0"/>
                <w:i w:val="0"/>
                <w:sz w:val="18"/>
              </w:rPr>
              <w:t>7</w:t>
            </w:r>
          </w:p>
        </w:tc>
        <w:tc>
          <w:tcPr>
            <w:tcW w:type="dxa" w:w="3249"/>
          </w:tcPr>
          <w:p>
            <w:r/>
            <w:r>
              <w:rPr>
                <w:b/>
                <w:i w:val="0"/>
                <w:sz w:val="18"/>
              </w:rPr>
              <w:t>Le marché est cloisonné.</w:t>
            </w:r>
            <w:r>
              <w:rPr>
                <w:b w:val="0"/>
                <w:i w:val="0"/>
                <w:sz w:val="18"/>
              </w:rPr>
              <w:t xml:space="preserve"> Chaque opérateur contrôle ses propres flux, dans son propre format.</w:t>
            </w:r>
          </w:p>
        </w:tc>
        <w:tc>
          <w:tcPr>
            <w:tcW w:type="dxa" w:w="3249"/>
          </w:tcPr>
          <w:p>
            <w:r/>
            <w:r>
              <w:rPr>
                <w:b w:val="0"/>
                <w:i w:val="0"/>
                <w:sz w:val="18"/>
              </w:rPr>
              <w:t>Un fraudeur qui opère sur plusieurs réseaux n'est vu par personne dans son ensemble ; le régulateur n'a pas de vision consolidée.</w:t>
            </w:r>
          </w:p>
        </w:tc>
      </w:tr>
    </w:tbl>
    <w:p/>
    <w:p>
      <w:pPr>
        <w:spacing w:after="120"/>
      </w:pPr>
      <w:r>
        <w:rPr>
          <w:b w:val="0"/>
          <w:i/>
        </w:rPr>
        <w:t>Tableau II.2 — Critique de l'existant.</w:t>
      </w:r>
    </w:p>
    <w:p>
      <w:pPr>
        <w:spacing w:after="120"/>
      </w:pPr>
      <w:r>
        <w:rPr>
          <w:b/>
          <w:i w:val="0"/>
        </w:rPr>
        <w:t>Solution proposée.</w:t>
      </w:r>
      <w:r>
        <w:rPr>
          <w:b w:val="0"/>
          <w:i w:val="0"/>
        </w:rPr>
        <w:t xml:space="preserve"> Ces constats orientent le système vers un </w:t>
      </w:r>
      <w:r>
        <w:rPr>
          <w:b/>
          <w:i w:val="0"/>
        </w:rPr>
        <w:t>profilage comportemental</w:t>
      </w:r>
      <w:r>
        <w:rPr>
          <w:b w:val="0"/>
          <w:i w:val="0"/>
        </w:rPr>
        <w:t xml:space="preserve"> : apprendre le comportement habituel de chaque client et juger chaque opération par rapport à ce comportement, avant son exécution. La décision doit être graduée selon le risque et le montant, expliquée, et le modèle doit se mettre à jour à partir des fraudes confirmées. Le système doit enfin s'ouvrir à plusieurs institutions par une interface commune.</w:t>
      </w:r>
    </w:p>
    <w:p>
      <w:pPr>
        <w:pStyle w:val="Heading3"/>
      </w:pPr>
      <w:r>
        <w:t>II.1.4 Problématique, hypothèses et objectifs</w:t>
      </w:r>
    </w:p>
    <w:p>
      <w:pPr>
        <w:spacing w:after="120"/>
      </w:pPr>
      <w:r>
        <w:rPr>
          <w:b w:val="0"/>
          <w:i w:val="0"/>
        </w:rPr>
        <w:t>L'analyse qui précède conduit à la question centrale de ce travail :</w:t>
      </w:r>
    </w:p>
    <w:p>
      <w:pPr>
        <w:pStyle w:val="IntenseQuote"/>
      </w:pPr>
      <w:r>
        <w:rPr>
          <w:b w:val="0"/>
          <w:i/>
        </w:rPr>
        <w:t>Comment concevoir un modèle d'intelligence artificielle qui apprend le comportement habituel de chaque utilisateur pour détecter, en temps réel et de manière explicable, les transactions frauduleuses Mobile Money en RDC, et dans quelle mesure cette approche se transpose-t-elle aux cartes virtuelles ?</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Question de recherche</w:t>
            </w:r>
          </w:p>
        </w:tc>
        <w:tc>
          <w:tcPr>
            <w:tcW w:type="dxa" w:w="4873"/>
            <w:shd w:val="clear" w:color="auto" w:fill="DCE6F7"/>
          </w:tcPr>
          <w:p>
            <w:r/>
            <w:r>
              <w:rPr>
                <w:b/>
                <w:i w:val="0"/>
                <w:sz w:val="18"/>
              </w:rPr>
              <w:t>Hypothèse</w:t>
            </w:r>
          </w:p>
        </w:tc>
      </w:tr>
      <w:tr>
        <w:tc>
          <w:tcPr>
            <w:tcW w:type="dxa" w:w="4873"/>
          </w:tcPr>
          <w:p>
            <w:r/>
            <w:r>
              <w:rPr>
                <w:b w:val="0"/>
                <w:i w:val="0"/>
                <w:sz w:val="18"/>
              </w:rPr>
              <w:t>QR1 — Le profilage comportemental détecte-t-il mieux la fraude que les approches statiques ?</w:t>
            </w:r>
          </w:p>
        </w:tc>
        <w:tc>
          <w:tcPr>
            <w:tcW w:type="dxa" w:w="4873"/>
          </w:tcPr>
          <w:p>
            <w:r/>
            <w:r>
              <w:rPr>
                <w:b/>
                <w:i w:val="0"/>
                <w:sz w:val="18"/>
              </w:rPr>
              <w:t>H1</w:t>
            </w:r>
            <w:r>
              <w:rPr>
                <w:b w:val="0"/>
                <w:i w:val="0"/>
                <w:sz w:val="18"/>
              </w:rPr>
              <w:t xml:space="preserve"> : un modèle fondé sur le profil comportemental de l'utilisateur est significativement plus performant que les règles statiques et qu'un modèle sans historique.</w:t>
            </w:r>
          </w:p>
        </w:tc>
      </w:tr>
      <w:tr>
        <w:tc>
          <w:tcPr>
            <w:tcW w:type="dxa" w:w="4873"/>
          </w:tcPr>
          <w:p>
            <w:r/>
            <w:r>
              <w:rPr>
                <w:b w:val="0"/>
                <w:i w:val="0"/>
                <w:sz w:val="18"/>
              </w:rPr>
              <w:t>QR2 — Quelles caractéristiques comportementales sont les plus discriminantes ?</w:t>
            </w:r>
          </w:p>
        </w:tc>
        <w:tc>
          <w:tcPr>
            <w:tcW w:type="dxa" w:w="4873"/>
          </w:tcPr>
          <w:p>
            <w:r/>
            <w:r>
              <w:rPr>
                <w:b/>
                <w:i w:val="0"/>
                <w:sz w:val="18"/>
              </w:rPr>
              <w:t>H2</w:t>
            </w:r>
            <w:r>
              <w:rPr>
                <w:b w:val="0"/>
                <w:i w:val="0"/>
                <w:sz w:val="18"/>
              </w:rPr>
              <w:t xml:space="preserve"> : les variables temporelles, fréquentielles et contextuelles contribuent significativement à la détection.</w:t>
            </w:r>
          </w:p>
        </w:tc>
      </w:tr>
      <w:tr>
        <w:tc>
          <w:tcPr>
            <w:tcW w:type="dxa" w:w="4873"/>
          </w:tcPr>
          <w:p>
            <w:r/>
            <w:r>
              <w:rPr>
                <w:b w:val="0"/>
                <w:i w:val="0"/>
                <w:sz w:val="18"/>
              </w:rPr>
              <w:t>QR3 — Quelle famille de modèles est la plus adaptée ?</w:t>
            </w:r>
          </w:p>
        </w:tc>
        <w:tc>
          <w:tcPr>
            <w:tcW w:type="dxa" w:w="4873"/>
          </w:tcPr>
          <w:p>
            <w:r/>
            <w:r>
              <w:rPr>
                <w:b/>
                <w:i w:val="0"/>
                <w:sz w:val="18"/>
              </w:rPr>
              <w:t>H3</w:t>
            </w:r>
            <w:r>
              <w:rPr>
                <w:b w:val="0"/>
                <w:i w:val="0"/>
                <w:sz w:val="18"/>
              </w:rPr>
              <w:t xml:space="preserve"> : les performances varient significativement selon la famille de modèles (ensembles d'arbres, modèles linéaires, détection d'anomalies, réseaux récurrents).</w:t>
            </w:r>
          </w:p>
        </w:tc>
      </w:tr>
      <w:tr>
        <w:tc>
          <w:tcPr>
            <w:tcW w:type="dxa" w:w="4873"/>
          </w:tcPr>
          <w:p>
            <w:r/>
            <w:r>
              <w:rPr>
                <w:b w:val="0"/>
                <w:i w:val="0"/>
                <w:sz w:val="18"/>
              </w:rPr>
              <w:t>QR4 — La logique se transpose-t-elle aux cartes virtuelles ?</w:t>
            </w:r>
          </w:p>
        </w:tc>
        <w:tc>
          <w:tcPr>
            <w:tcW w:type="dxa" w:w="4873"/>
          </w:tcPr>
          <w:p>
            <w:r/>
            <w:r>
              <w:rPr>
                <w:b/>
                <w:i w:val="0"/>
                <w:sz w:val="18"/>
              </w:rPr>
              <w:t>H4</w:t>
            </w:r>
            <w:r>
              <w:rPr>
                <w:b w:val="0"/>
                <w:i w:val="0"/>
                <w:sz w:val="18"/>
              </w:rPr>
              <w:t xml:space="preserve"> : un modèle appris sur le Mobile Money conserve une performance élevée sur les cartes Visa virtuelles, avec peu ou pas de données Visa.</w:t>
            </w:r>
          </w:p>
        </w:tc>
      </w:tr>
      <w:tr>
        <w:tc>
          <w:tcPr>
            <w:tcW w:type="dxa" w:w="4873"/>
          </w:tcPr>
          <w:p>
            <w:r/>
            <w:r>
              <w:rPr>
                <w:b w:val="0"/>
                <w:i w:val="0"/>
                <w:sz w:val="18"/>
              </w:rPr>
              <w:t>QR5 — Le modèle doit-il évoluer avec les fraudes ?</w:t>
            </w:r>
          </w:p>
        </w:tc>
        <w:tc>
          <w:tcPr>
            <w:tcW w:type="dxa" w:w="4873"/>
          </w:tcPr>
          <w:p>
            <w:r/>
            <w:r>
              <w:rPr>
                <w:b/>
                <w:i w:val="0"/>
                <w:sz w:val="18"/>
              </w:rPr>
              <w:t>H5</w:t>
            </w:r>
            <w:r>
              <w:rPr>
                <w:b w:val="0"/>
                <w:i w:val="0"/>
                <w:sz w:val="18"/>
              </w:rPr>
              <w:t xml:space="preserve"> : face à l'évolution des fraudes, un modèle régulièrement mis à jour reste significativement plus performant qu'un modèle figé.</w:t>
            </w:r>
          </w:p>
        </w:tc>
      </w:tr>
    </w:tbl>
    <w:p/>
    <w:p>
      <w:pPr>
        <w:spacing w:after="120"/>
      </w:pPr>
      <w:r>
        <w:rPr>
          <w:b w:val="0"/>
          <w:i/>
        </w:rPr>
        <w:t>Tableau II.3 — Questions de recherche et hypothèses.</w:t>
      </w:r>
    </w:p>
    <w:p>
      <w:pPr>
        <w:spacing w:after="120"/>
      </w:pPr>
      <w:r>
        <w:rPr>
          <w:b/>
          <w:i w:val="0"/>
        </w:rPr>
        <w:t>Objectif général :</w:t>
      </w:r>
      <w:r>
        <w:rPr>
          <w:b w:val="0"/>
          <w:i w:val="0"/>
        </w:rPr>
        <w:t xml:space="preserve"> concevoir, réaliser et évaluer un système de détection de fraude par profilage comportemental, opérationnel en temps réel, explicable, évolutif et ouvert aux institutions du secteur.</w:t>
      </w:r>
    </w:p>
    <w:p>
      <w:pPr>
        <w:spacing w:after="120"/>
      </w:pPr>
      <w:r>
        <w:rPr>
          <w:b/>
          <w:i w:val="0"/>
        </w:rPr>
        <w:t>Objectifs spécifiques :</w:t>
      </w:r>
    </w:p>
    <w:p>
      <w:pPr>
        <w:pStyle w:val="ListNumber"/>
      </w:pPr>
      <w:r>
        <w:rPr>
          <w:b w:val="0"/>
          <w:i w:val="0"/>
        </w:rPr>
        <w:t>construire un profil comportemental par utilisateur ;</w:t>
      </w:r>
    </w:p>
    <w:p>
      <w:pPr>
        <w:pStyle w:val="ListNumber"/>
      </w:pPr>
      <w:r>
        <w:rPr>
          <w:b w:val="0"/>
          <w:i w:val="0"/>
        </w:rPr>
        <w:t>comparer plusieurs familles de modèles selon un protocole statistique rigoureux ;</w:t>
      </w:r>
    </w:p>
    <w:p>
      <w:pPr>
        <w:pStyle w:val="ListNumber"/>
      </w:pPr>
      <w:r>
        <w:rPr>
          <w:b w:val="0"/>
          <w:i w:val="0"/>
        </w:rPr>
        <w:t>mesurer la transposabilité du Mobile Money vers la carte Visa virtuelle ;</w:t>
      </w:r>
    </w:p>
    <w:p>
      <w:pPr>
        <w:pStyle w:val="ListNumber"/>
      </w:pPr>
      <w:r>
        <w:rPr>
          <w:b w:val="0"/>
          <w:i w:val="0"/>
        </w:rPr>
        <w:t>intégrer le modèle dans une architecture temps réel, avec explication, supervision et réentraînement ;</w:t>
      </w:r>
    </w:p>
    <w:p>
      <w:pPr>
        <w:pStyle w:val="ListNumber"/>
      </w:pPr>
      <w:r>
        <w:rPr>
          <w:b w:val="0"/>
          <w:i w:val="0"/>
        </w:rPr>
        <w:t>l'exposer aux opérateurs, aux banques et au régulateur par une interface de programmation (API).</w:t>
      </w:r>
    </w:p>
    <w:p>
      <w:pPr>
        <w:pStyle w:val="Heading3"/>
      </w:pPr>
      <w:r>
        <w:t>II.1.5 Identification des acteurs</w:t>
      </w:r>
    </w:p>
    <w:p>
      <w:pPr>
        <w:spacing w:after="120"/>
      </w:pPr>
      <w:r>
        <w:rPr>
          <w:b w:val="0"/>
          <w:i w:val="0"/>
        </w:rPr>
        <w:t>Un acteur est une entité externe au système qui interagit avec lui. On distingue les acteurs humains des systèmes externes, et les acteurs internes à l'organisation de ceux qui lui sont extérieurs.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Acteur</w:t>
            </w:r>
          </w:p>
        </w:tc>
        <w:tc>
          <w:tcPr>
            <w:tcW w:type="dxa" w:w="2436"/>
            <w:shd w:val="clear" w:color="auto" w:fill="DCE6F7"/>
          </w:tcPr>
          <w:p>
            <w:r/>
            <w:r>
              <w:rPr>
                <w:b/>
                <w:i w:val="0"/>
                <w:sz w:val="18"/>
              </w:rPr>
              <w:t>Type</w:t>
            </w:r>
          </w:p>
        </w:tc>
        <w:tc>
          <w:tcPr>
            <w:tcW w:type="dxa" w:w="2436"/>
            <w:shd w:val="clear" w:color="auto" w:fill="DCE6F7"/>
          </w:tcPr>
          <w:p>
            <w:r/>
            <w:r>
              <w:rPr>
                <w:b/>
                <w:i w:val="0"/>
                <w:sz w:val="18"/>
              </w:rPr>
              <w:t>Rôle</w:t>
            </w:r>
          </w:p>
        </w:tc>
        <w:tc>
          <w:tcPr>
            <w:tcW w:type="dxa" w:w="2436"/>
            <w:shd w:val="clear" w:color="auto" w:fill="DCE6F7"/>
          </w:tcPr>
          <w:p>
            <w:r/>
            <w:r>
              <w:rPr>
                <w:b/>
                <w:i w:val="0"/>
                <w:sz w:val="18"/>
              </w:rPr>
              <w:t>Attentes</w:t>
            </w:r>
          </w:p>
        </w:tc>
      </w:tr>
      <w:tr>
        <w:tc>
          <w:tcPr>
            <w:tcW w:type="dxa" w:w="2436"/>
          </w:tcPr>
          <w:p>
            <w:r/>
            <w:r>
              <w:rPr>
                <w:b w:val="0"/>
                <w:i w:val="0"/>
                <w:sz w:val="18"/>
              </w:rPr>
              <w:t>Client (titulaire)</w:t>
            </w:r>
          </w:p>
        </w:tc>
        <w:tc>
          <w:tcPr>
            <w:tcW w:type="dxa" w:w="2436"/>
          </w:tcPr>
          <w:p>
            <w:r/>
            <w:r>
              <w:rPr>
                <w:b w:val="0"/>
                <w:i w:val="0"/>
                <w:sz w:val="18"/>
              </w:rPr>
              <w:t>Humain, externe</w:t>
            </w:r>
          </w:p>
        </w:tc>
        <w:tc>
          <w:tcPr>
            <w:tcW w:type="dxa" w:w="2436"/>
          </w:tcPr>
          <w:p>
            <w:r/>
            <w:r>
              <w:rPr>
                <w:b w:val="0"/>
                <w:i w:val="0"/>
                <w:sz w:val="18"/>
              </w:rPr>
              <w:t>Effectue les opérations</w:t>
            </w:r>
          </w:p>
        </w:tc>
        <w:tc>
          <w:tcPr>
            <w:tcW w:type="dxa" w:w="2436"/>
          </w:tcPr>
          <w:p>
            <w:r/>
            <w:r>
              <w:rPr>
                <w:b w:val="0"/>
                <w:i w:val="0"/>
                <w:sz w:val="18"/>
              </w:rPr>
              <w:t>Être protégé sans être bloqué à tort ; être prévenu en cas d'opération suspecte</w:t>
            </w:r>
          </w:p>
        </w:tc>
      </w:tr>
      <w:tr>
        <w:tc>
          <w:tcPr>
            <w:tcW w:type="dxa" w:w="2436"/>
          </w:tcPr>
          <w:p>
            <w:r/>
            <w:r>
              <w:rPr>
                <w:b w:val="0"/>
                <w:i w:val="0"/>
                <w:sz w:val="18"/>
              </w:rPr>
              <w:t>Opérateur Mobile Money</w:t>
            </w:r>
          </w:p>
        </w:tc>
        <w:tc>
          <w:tcPr>
            <w:tcW w:type="dxa" w:w="2436"/>
          </w:tcPr>
          <w:p>
            <w:r/>
            <w:r>
              <w:rPr>
                <w:b w:val="0"/>
                <w:i w:val="0"/>
                <w:sz w:val="18"/>
              </w:rPr>
              <w:t>Système externe</w:t>
            </w:r>
          </w:p>
        </w:tc>
        <w:tc>
          <w:tcPr>
            <w:tcW w:type="dxa" w:w="2436"/>
          </w:tcPr>
          <w:p>
            <w:r/>
            <w:r>
              <w:rPr>
                <w:b w:val="0"/>
                <w:i w:val="0"/>
                <w:sz w:val="18"/>
              </w:rPr>
              <w:t>Transmet les opérations, applique la décision</w:t>
            </w:r>
          </w:p>
        </w:tc>
        <w:tc>
          <w:tcPr>
            <w:tcW w:type="dxa" w:w="2436"/>
          </w:tcPr>
          <w:p>
            <w:r/>
            <w:r>
              <w:rPr>
                <w:b w:val="0"/>
                <w:i w:val="0"/>
                <w:sz w:val="18"/>
              </w:rPr>
              <w:t>Décision rapide (moins de 100 ms), fiable, dans son format natif</w:t>
            </w:r>
          </w:p>
        </w:tc>
      </w:tr>
      <w:tr>
        <w:tc>
          <w:tcPr>
            <w:tcW w:type="dxa" w:w="2436"/>
          </w:tcPr>
          <w:p>
            <w:r/>
            <w:r>
              <w:rPr>
                <w:b w:val="0"/>
                <w:i w:val="0"/>
                <w:sz w:val="18"/>
              </w:rPr>
              <w:t>Émetteur de cartes virtuelles</w:t>
            </w:r>
          </w:p>
        </w:tc>
        <w:tc>
          <w:tcPr>
            <w:tcW w:type="dxa" w:w="2436"/>
          </w:tcPr>
          <w:p>
            <w:r/>
            <w:r>
              <w:rPr>
                <w:b w:val="0"/>
                <w:i w:val="0"/>
                <w:sz w:val="18"/>
              </w:rPr>
              <w:t>Système externe</w:t>
            </w:r>
          </w:p>
        </w:tc>
        <w:tc>
          <w:tcPr>
            <w:tcW w:type="dxa" w:w="2436"/>
          </w:tcPr>
          <w:p>
            <w:r/>
            <w:r>
              <w:rPr>
                <w:b w:val="0"/>
                <w:i w:val="0"/>
                <w:sz w:val="18"/>
              </w:rPr>
              <w:t>Transmet les opérations carte, applique la décision</w:t>
            </w:r>
          </w:p>
        </w:tc>
        <w:tc>
          <w:tcPr>
            <w:tcW w:type="dxa" w:w="2436"/>
          </w:tcPr>
          <w:p>
            <w:r/>
            <w:r>
              <w:rPr>
                <w:b w:val="0"/>
                <w:i w:val="0"/>
                <w:sz w:val="18"/>
              </w:rPr>
              <w:t>Idem</w:t>
            </w:r>
          </w:p>
        </w:tc>
      </w:tr>
      <w:tr>
        <w:tc>
          <w:tcPr>
            <w:tcW w:type="dxa" w:w="2436"/>
          </w:tcPr>
          <w:p>
            <w:r/>
            <w:r>
              <w:rPr>
                <w:b w:val="0"/>
                <w:i w:val="0"/>
                <w:sz w:val="18"/>
              </w:rPr>
              <w:t>Banque partenaire</w:t>
            </w:r>
          </w:p>
        </w:tc>
        <w:tc>
          <w:tcPr>
            <w:tcW w:type="dxa" w:w="2436"/>
          </w:tcPr>
          <w:p>
            <w:r/>
            <w:r>
              <w:rPr>
                <w:b w:val="0"/>
                <w:i w:val="0"/>
                <w:sz w:val="18"/>
              </w:rPr>
              <w:t>Système externe</w:t>
            </w:r>
          </w:p>
        </w:tc>
        <w:tc>
          <w:tcPr>
            <w:tcW w:type="dxa" w:w="2436"/>
          </w:tcPr>
          <w:p>
            <w:r/>
            <w:r>
              <w:rPr>
                <w:b w:val="0"/>
                <w:i w:val="0"/>
                <w:sz w:val="18"/>
              </w:rPr>
              <w:t>Utilise le système par l'API au format commun</w:t>
            </w:r>
          </w:p>
        </w:tc>
        <w:tc>
          <w:tcPr>
            <w:tcW w:type="dxa" w:w="2436"/>
          </w:tcPr>
          <w:p>
            <w:r/>
            <w:r>
              <w:rPr>
                <w:b w:val="0"/>
                <w:i w:val="0"/>
                <w:sz w:val="18"/>
              </w:rPr>
              <w:t>Intégration simple, isolement de ses données</w:t>
            </w:r>
          </w:p>
        </w:tc>
      </w:tr>
      <w:tr>
        <w:tc>
          <w:tcPr>
            <w:tcW w:type="dxa" w:w="2436"/>
          </w:tcPr>
          <w:p>
            <w:r/>
            <w:r>
              <w:rPr>
                <w:b w:val="0"/>
                <w:i w:val="0"/>
                <w:sz w:val="18"/>
              </w:rPr>
              <w:t>Analyste anti-fraude</w:t>
            </w:r>
          </w:p>
        </w:tc>
        <w:tc>
          <w:tcPr>
            <w:tcW w:type="dxa" w:w="2436"/>
          </w:tcPr>
          <w:p>
            <w:r/>
            <w:r>
              <w:rPr>
                <w:b w:val="0"/>
                <w:i w:val="0"/>
                <w:sz w:val="18"/>
              </w:rPr>
              <w:t>Humain, interne</w:t>
            </w:r>
          </w:p>
        </w:tc>
        <w:tc>
          <w:tcPr>
            <w:tcW w:type="dxa" w:w="2436"/>
          </w:tcPr>
          <w:p>
            <w:r/>
            <w:r>
              <w:rPr>
                <w:b w:val="0"/>
                <w:i w:val="0"/>
                <w:sz w:val="18"/>
              </w:rPr>
              <w:t>Traite les alertes et les dossiers</w:t>
            </w:r>
          </w:p>
        </w:tc>
        <w:tc>
          <w:tcPr>
            <w:tcW w:type="dxa" w:w="2436"/>
          </w:tcPr>
          <w:p>
            <w:r/>
            <w:r>
              <w:rPr>
                <w:b w:val="0"/>
                <w:i w:val="0"/>
                <w:sz w:val="18"/>
              </w:rPr>
              <w:t>Alertes priorisées, expliquées et typées</w:t>
            </w:r>
          </w:p>
        </w:tc>
      </w:tr>
      <w:tr>
        <w:tc>
          <w:tcPr>
            <w:tcW w:type="dxa" w:w="2436"/>
          </w:tcPr>
          <w:p>
            <w:r/>
            <w:r>
              <w:rPr>
                <w:b w:val="0"/>
                <w:i w:val="0"/>
                <w:sz w:val="18"/>
              </w:rPr>
              <w:t>Superviseur</w:t>
            </w:r>
          </w:p>
        </w:tc>
        <w:tc>
          <w:tcPr>
            <w:tcW w:type="dxa" w:w="2436"/>
          </w:tcPr>
          <w:p>
            <w:r/>
            <w:r>
              <w:rPr>
                <w:b w:val="0"/>
                <w:i w:val="0"/>
                <w:sz w:val="18"/>
              </w:rPr>
              <w:t>Humain, interne</w:t>
            </w:r>
          </w:p>
        </w:tc>
        <w:tc>
          <w:tcPr>
            <w:tcW w:type="dxa" w:w="2436"/>
          </w:tcPr>
          <w:p>
            <w:r/>
            <w:r>
              <w:rPr>
                <w:b w:val="0"/>
                <w:i w:val="0"/>
                <w:sz w:val="18"/>
              </w:rPr>
              <w:t>Encadre l'équipe, suit le modèle, déclenche le réentraînement</w:t>
            </w:r>
          </w:p>
        </w:tc>
        <w:tc>
          <w:tcPr>
            <w:tcW w:type="dxa" w:w="2436"/>
          </w:tcPr>
          <w:p>
            <w:r/>
            <w:r>
              <w:rPr>
                <w:b w:val="0"/>
                <w:i w:val="0"/>
                <w:sz w:val="18"/>
              </w:rPr>
              <w:t>Indicateurs, journal d'audit, pilotage du modèle</w:t>
            </w:r>
          </w:p>
        </w:tc>
      </w:tr>
      <w:tr>
        <w:tc>
          <w:tcPr>
            <w:tcW w:type="dxa" w:w="2436"/>
          </w:tcPr>
          <w:p>
            <w:r/>
            <w:r>
              <w:rPr>
                <w:b w:val="0"/>
                <w:i w:val="0"/>
                <w:sz w:val="18"/>
              </w:rPr>
              <w:t>Administrateur</w:t>
            </w:r>
          </w:p>
        </w:tc>
        <w:tc>
          <w:tcPr>
            <w:tcW w:type="dxa" w:w="2436"/>
          </w:tcPr>
          <w:p>
            <w:r/>
            <w:r>
              <w:rPr>
                <w:b w:val="0"/>
                <w:i w:val="0"/>
                <w:sz w:val="18"/>
              </w:rPr>
              <w:t>Humain, interne</w:t>
            </w:r>
          </w:p>
        </w:tc>
        <w:tc>
          <w:tcPr>
            <w:tcW w:type="dxa" w:w="2436"/>
          </w:tcPr>
          <w:p>
            <w:r/>
            <w:r>
              <w:rPr>
                <w:b w:val="0"/>
                <w:i w:val="0"/>
                <w:sz w:val="18"/>
              </w:rPr>
              <w:t>Gère les comptes, les rôles, les institutions et les clés d'API</w:t>
            </w:r>
          </w:p>
        </w:tc>
        <w:tc>
          <w:tcPr>
            <w:tcW w:type="dxa" w:w="2436"/>
          </w:tcPr>
          <w:p>
            <w:r/>
            <w:r>
              <w:rPr>
                <w:b w:val="0"/>
                <w:i w:val="0"/>
                <w:sz w:val="18"/>
              </w:rPr>
              <w:t>Contrôle des accès</w:t>
            </w:r>
          </w:p>
        </w:tc>
      </w:tr>
      <w:tr>
        <w:tc>
          <w:tcPr>
            <w:tcW w:type="dxa" w:w="2436"/>
          </w:tcPr>
          <w:p>
            <w:r/>
            <w:r>
              <w:rPr>
                <w:b w:val="0"/>
                <w:i w:val="0"/>
                <w:sz w:val="18"/>
              </w:rPr>
              <w:t>Régulateur (BCC), auditeur</w:t>
            </w:r>
          </w:p>
        </w:tc>
        <w:tc>
          <w:tcPr>
            <w:tcW w:type="dxa" w:w="2436"/>
          </w:tcPr>
          <w:p>
            <w:r/>
            <w:r>
              <w:rPr>
                <w:b w:val="0"/>
                <w:i w:val="0"/>
                <w:sz w:val="18"/>
              </w:rPr>
              <w:t>Humain ou système, externe</w:t>
            </w:r>
          </w:p>
        </w:tc>
        <w:tc>
          <w:tcPr>
            <w:tcW w:type="dxa" w:w="2436"/>
          </w:tcPr>
          <w:p>
            <w:r/>
            <w:r>
              <w:rPr>
                <w:b w:val="0"/>
                <w:i w:val="0"/>
                <w:sz w:val="18"/>
              </w:rPr>
              <w:t>Supervise le secteur, contrôle la conformité</w:t>
            </w:r>
          </w:p>
        </w:tc>
        <w:tc>
          <w:tcPr>
            <w:tcW w:type="dxa" w:w="2436"/>
          </w:tcPr>
          <w:p>
            <w:r/>
            <w:r>
              <w:rPr>
                <w:b w:val="0"/>
                <w:i w:val="0"/>
                <w:sz w:val="18"/>
              </w:rPr>
              <w:t>Agrégats sans donnée personnelle, traçabilité inaltérable</w:t>
            </w:r>
          </w:p>
        </w:tc>
      </w:tr>
    </w:tbl>
    <w:p/>
    <w:p>
      <w:pPr>
        <w:spacing w:after="120"/>
      </w:pPr>
      <w:r>
        <w:rPr>
          <w:b w:val="0"/>
          <w:i/>
        </w:rPr>
        <w:t>Tableau II.4 — Acteurs du système.</w:t>
      </w:r>
    </w:p>
    <w:p>
      <w:pPr>
        <w:spacing w:after="120"/>
      </w:pPr>
      <w:r>
        <w:rPr>
          <w:b w:val="0"/>
          <w:i w:val="0"/>
        </w:rPr>
        <w:t xml:space="preserve">Deux relations de </w:t>
      </w:r>
      <w:r>
        <w:rPr>
          <w:b/>
          <w:i w:val="0"/>
        </w:rPr>
        <w:t>généralisation</w:t>
      </w:r>
      <w:r>
        <w:rPr>
          <w:b w:val="0"/>
          <w:i w:val="0"/>
        </w:rPr>
        <w:t xml:space="preserve"> simplifient la modélisation : le superviseur hérite des droits de l'analyste ; l'émetteur Visa et la banque partenaire se comportent, vis-à-vis du système, comme un opérateur.</w:t>
      </w:r>
    </w:p>
    <w:p>
      <w:pPr>
        <w:pStyle w:val="Heading3"/>
      </w:pPr>
      <w:r>
        <w:t>II.1.6 Règles de gestion</w:t>
      </w:r>
    </w:p>
    <w:p>
      <w:pPr>
        <w:spacing w:after="120"/>
      </w:pPr>
      <w:r>
        <w:rPr>
          <w:b w:val="0"/>
          <w:i w:val="0"/>
        </w:rPr>
        <w:t>Les règles de gestion traduisent les contraintes du métier que le système doit respecter. Elles ont été établies à partir de l'analyse du domaine, puis implémentées telles quelles (</w:t>
      </w:r>
      <w:r>
        <w:rPr>
          <w:rFonts w:ascii="Consolas" w:hAnsi="Consolas"/>
          <w:b w:val="0"/>
          <w:i w:val="0"/>
          <w:color w:val="1F3A8A"/>
          <w:sz w:val="18"/>
        </w:rPr>
        <w:t>ml/serving/decision.py</w:t>
      </w:r>
      <w:r>
        <w:rPr>
          <w:b w:val="0"/>
          <w:i w:val="0"/>
        </w:rPr>
        <w:t xml:space="preserve">, </w:t>
      </w:r>
      <w:r>
        <w:rPr>
          <w:rFonts w:ascii="Consolas" w:hAnsi="Consolas"/>
          <w:b w:val="0"/>
          <w:i w:val="0"/>
          <w:color w:val="1F3A8A"/>
          <w:sz w:val="18"/>
        </w:rPr>
        <w:t>services/backoffice-api/app/routers/cases.py</w:t>
      </w:r>
      <w:r>
        <w:rPr>
          <w:b w:val="0"/>
          <w:i w:val="0"/>
        </w:rPr>
        <w: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Réf.</w:t>
            </w:r>
          </w:p>
        </w:tc>
        <w:tc>
          <w:tcPr>
            <w:tcW w:type="dxa" w:w="4873"/>
            <w:shd w:val="clear" w:color="auto" w:fill="DCE6F7"/>
          </w:tcPr>
          <w:p>
            <w:r/>
            <w:r>
              <w:rPr>
                <w:b/>
                <w:i w:val="0"/>
                <w:sz w:val="18"/>
              </w:rPr>
              <w:t>Règle de gestion</w:t>
            </w:r>
          </w:p>
        </w:tc>
      </w:tr>
      <w:tr>
        <w:tc>
          <w:tcPr>
            <w:tcW w:type="dxa" w:w="4873"/>
          </w:tcPr>
          <w:p>
            <w:r/>
            <w:r>
              <w:rPr>
                <w:b w:val="0"/>
                <w:i w:val="0"/>
                <w:sz w:val="18"/>
              </w:rPr>
              <w:t>RG-01</w:t>
            </w:r>
          </w:p>
        </w:tc>
        <w:tc>
          <w:tcPr>
            <w:tcW w:type="dxa" w:w="4873"/>
          </w:tcPr>
          <w:p>
            <w:r/>
            <w:r>
              <w:rPr>
                <w:b w:val="0"/>
                <w:i w:val="0"/>
                <w:sz w:val="18"/>
              </w:rPr>
              <w:t xml:space="preserve">Toute opération est soumise au système </w:t>
            </w:r>
            <w:r>
              <w:rPr>
                <w:b/>
                <w:i w:val="0"/>
                <w:sz w:val="18"/>
              </w:rPr>
              <w:t>avant</w:t>
            </w:r>
            <w:r>
              <w:rPr>
                <w:b w:val="0"/>
                <w:i w:val="0"/>
                <w:sz w:val="18"/>
              </w:rPr>
              <w:t xml:space="preserve"> son exécution, et reçoit une décision parmi : APPROVE (laisser passer), VERIFY (faire confirmer par le client), BLOCK (refuser).</w:t>
            </w:r>
          </w:p>
        </w:tc>
      </w:tr>
      <w:tr>
        <w:tc>
          <w:tcPr>
            <w:tcW w:type="dxa" w:w="4873"/>
          </w:tcPr>
          <w:p>
            <w:r/>
            <w:r>
              <w:rPr>
                <w:b w:val="0"/>
                <w:i w:val="0"/>
                <w:sz w:val="18"/>
              </w:rPr>
              <w:t>RG-02</w:t>
            </w:r>
          </w:p>
        </w:tc>
        <w:tc>
          <w:tcPr>
            <w:tcW w:type="dxa" w:w="4873"/>
          </w:tcPr>
          <w:p>
            <w:r/>
            <w:r>
              <w:rPr>
                <w:b w:val="0"/>
                <w:i w:val="0"/>
                <w:sz w:val="18"/>
              </w:rPr>
              <w:t>Tout montant est converti en USD au taux de change de l'année de l'opération avant d'être évalué.</w:t>
            </w:r>
          </w:p>
        </w:tc>
      </w:tr>
      <w:tr>
        <w:tc>
          <w:tcPr>
            <w:tcW w:type="dxa" w:w="4873"/>
          </w:tcPr>
          <w:p>
            <w:r/>
            <w:r>
              <w:rPr>
                <w:b w:val="0"/>
                <w:i w:val="0"/>
                <w:sz w:val="18"/>
              </w:rPr>
              <w:t>RG-03</w:t>
            </w:r>
          </w:p>
        </w:tc>
        <w:tc>
          <w:tcPr>
            <w:tcW w:type="dxa" w:w="4873"/>
          </w:tcPr>
          <w:p>
            <w:r/>
            <w:r>
              <w:rPr>
                <w:b w:val="0"/>
                <w:i w:val="0"/>
                <w:sz w:val="18"/>
              </w:rPr>
              <w:t>Une opération soumise deux fois avec le même identifiant reçoit la décision d'origine (idempotence pendant 30 minutes).</w:t>
            </w:r>
          </w:p>
        </w:tc>
      </w:tr>
      <w:tr>
        <w:tc>
          <w:tcPr>
            <w:tcW w:type="dxa" w:w="4873"/>
          </w:tcPr>
          <w:p>
            <w:r/>
            <w:r>
              <w:rPr>
                <w:b w:val="0"/>
                <w:i w:val="0"/>
                <w:sz w:val="18"/>
              </w:rPr>
              <w:t>RG-04</w:t>
            </w:r>
          </w:p>
        </w:tc>
        <w:tc>
          <w:tcPr>
            <w:tcW w:type="dxa" w:w="4873"/>
          </w:tcPr>
          <w:p>
            <w:r/>
            <w:r>
              <w:rPr>
                <w:b w:val="0"/>
                <w:i w:val="0"/>
                <w:sz w:val="18"/>
              </w:rPr>
              <w:t>Si la probabilité de fraude est au moins égale à 0,97, l'opération est bloquée quel que soit le montant ; si elle est inférieure à 0,01, elle est acceptée sans vérification.</w:t>
            </w:r>
          </w:p>
        </w:tc>
      </w:tr>
      <w:tr>
        <w:tc>
          <w:tcPr>
            <w:tcW w:type="dxa" w:w="4873"/>
          </w:tcPr>
          <w:p>
            <w:r/>
            <w:r>
              <w:rPr>
                <w:b w:val="0"/>
                <w:i w:val="0"/>
                <w:sz w:val="18"/>
              </w:rPr>
              <w:t>RG-05</w:t>
            </w:r>
          </w:p>
        </w:tc>
        <w:tc>
          <w:tcPr>
            <w:tcW w:type="dxa" w:w="4873"/>
          </w:tcPr>
          <w:p>
            <w:r/>
            <w:r>
              <w:rPr>
                <w:b w:val="0"/>
                <w:i w:val="0"/>
                <w:sz w:val="18"/>
              </w:rPr>
              <w:t xml:space="preserve">Entre ces deux bornes, l'action retenue est celle dont le </w:t>
            </w:r>
            <w:r>
              <w:rPr>
                <w:b/>
                <w:i w:val="0"/>
                <w:sz w:val="18"/>
              </w:rPr>
              <w:t>coût attendu</w:t>
            </w:r>
            <w:r>
              <w:rPr>
                <w:b w:val="0"/>
                <w:i w:val="0"/>
                <w:sz w:val="18"/>
              </w:rPr>
              <w:t xml:space="preserve"> est le plus faible, compte tenu de la probabilité de fraude, du montant et du canal.</w:t>
            </w:r>
          </w:p>
        </w:tc>
      </w:tr>
      <w:tr>
        <w:tc>
          <w:tcPr>
            <w:tcW w:type="dxa" w:w="4873"/>
          </w:tcPr>
          <w:p>
            <w:r/>
            <w:r>
              <w:rPr>
                <w:b w:val="0"/>
                <w:i w:val="0"/>
                <w:sz w:val="18"/>
              </w:rPr>
              <w:t>RG-06</w:t>
            </w:r>
          </w:p>
        </w:tc>
        <w:tc>
          <w:tcPr>
            <w:tcW w:type="dxa" w:w="4873"/>
          </w:tcPr>
          <w:p>
            <w:r/>
            <w:r>
              <w:rPr>
                <w:b w:val="0"/>
                <w:i w:val="0"/>
                <w:sz w:val="18"/>
              </w:rPr>
              <w:t xml:space="preserve">Les règles métier et les lois physiques ne peuvent que </w:t>
            </w:r>
            <w:r>
              <w:rPr>
                <w:b/>
                <w:i w:val="0"/>
                <w:sz w:val="18"/>
              </w:rPr>
              <w:t>renforcer</w:t>
            </w:r>
            <w:r>
              <w:rPr>
                <w:b w:val="0"/>
                <w:i w:val="0"/>
                <w:sz w:val="18"/>
              </w:rPr>
              <w:t xml:space="preserve"> la décision du modèle, jamais l'assouplir.</w:t>
            </w:r>
          </w:p>
        </w:tc>
      </w:tr>
      <w:tr>
        <w:tc>
          <w:tcPr>
            <w:tcW w:type="dxa" w:w="4873"/>
          </w:tcPr>
          <w:p>
            <w:r/>
            <w:r>
              <w:rPr>
                <w:b w:val="0"/>
                <w:i w:val="0"/>
                <w:sz w:val="18"/>
              </w:rPr>
              <w:t>RG-07</w:t>
            </w:r>
          </w:p>
        </w:tc>
        <w:tc>
          <w:tcPr>
            <w:tcW w:type="dxa" w:w="4873"/>
          </w:tcPr>
          <w:p>
            <w:r/>
            <w:r>
              <w:rPr>
                <w:b w:val="0"/>
                <w:i w:val="0"/>
                <w:sz w:val="18"/>
              </w:rPr>
              <w:t xml:space="preserve">Un débit depuis un </w:t>
            </w:r>
            <w:r>
              <w:rPr>
                <w:b/>
                <w:i w:val="0"/>
                <w:sz w:val="18"/>
              </w:rPr>
              <w:t>nouvel appareil</w:t>
            </w:r>
            <w:r>
              <w:rPr>
                <w:b w:val="0"/>
                <w:i w:val="0"/>
                <w:sz w:val="18"/>
              </w:rPr>
              <w:t xml:space="preserve"> qui vide presque entièrement le solde est au minimum soumis à vérification.</w:t>
            </w:r>
          </w:p>
        </w:tc>
      </w:tr>
      <w:tr>
        <w:tc>
          <w:tcPr>
            <w:tcW w:type="dxa" w:w="4873"/>
          </w:tcPr>
          <w:p>
            <w:r/>
            <w:r>
              <w:rPr>
                <w:b w:val="0"/>
                <w:i w:val="0"/>
                <w:sz w:val="18"/>
              </w:rPr>
              <w:t>RG-08</w:t>
            </w:r>
          </w:p>
        </w:tc>
        <w:tc>
          <w:tcPr>
            <w:tcW w:type="dxa" w:w="4873"/>
          </w:tcPr>
          <w:p>
            <w:r/>
            <w:r>
              <w:rPr>
                <w:b w:val="0"/>
                <w:i w:val="0"/>
                <w:sz w:val="18"/>
              </w:rPr>
              <w:t xml:space="preserve">Un débit qui </w:t>
            </w:r>
            <w:r>
              <w:rPr>
                <w:b/>
                <w:i w:val="0"/>
                <w:sz w:val="18"/>
              </w:rPr>
              <w:t>dépasse le plafond KYC</w:t>
            </w:r>
            <w:r>
              <w:rPr>
                <w:b w:val="0"/>
                <w:i w:val="0"/>
                <w:sz w:val="18"/>
              </w:rPr>
              <w:t xml:space="preserve"> du client est au minimum soumis à vérification.</w:t>
            </w:r>
          </w:p>
        </w:tc>
      </w:tr>
      <w:tr>
        <w:tc>
          <w:tcPr>
            <w:tcW w:type="dxa" w:w="4873"/>
          </w:tcPr>
          <w:p>
            <w:r/>
            <w:r>
              <w:rPr>
                <w:b w:val="0"/>
                <w:i w:val="0"/>
                <w:sz w:val="18"/>
              </w:rPr>
              <w:t>RG-09</w:t>
            </w:r>
          </w:p>
        </w:tc>
        <w:tc>
          <w:tcPr>
            <w:tcW w:type="dxa" w:w="4873"/>
          </w:tcPr>
          <w:p>
            <w:r/>
            <w:r>
              <w:rPr>
                <w:b w:val="0"/>
                <w:i w:val="0"/>
                <w:sz w:val="18"/>
              </w:rPr>
              <w:t xml:space="preserve">Un </w:t>
            </w:r>
            <w:r>
              <w:rPr>
                <w:b/>
                <w:i w:val="0"/>
                <w:sz w:val="18"/>
              </w:rPr>
              <w:t>retrait</w:t>
            </w:r>
            <w:r>
              <w:rPr>
                <w:b w:val="0"/>
                <w:i w:val="0"/>
                <w:sz w:val="18"/>
              </w:rPr>
              <w:t xml:space="preserve"> effectué depuis un nouvel appareil </w:t>
            </w:r>
            <w:r>
              <w:rPr>
                <w:b/>
                <w:i w:val="0"/>
                <w:sz w:val="18"/>
              </w:rPr>
              <w:t>et</w:t>
            </w:r>
            <w:r>
              <w:rPr>
                <w:b w:val="0"/>
                <w:i w:val="0"/>
                <w:sz w:val="18"/>
              </w:rPr>
              <w:t xml:space="preserve"> dans une nouvelle province est au minimum soumis à vérification.</w:t>
            </w:r>
          </w:p>
        </w:tc>
      </w:tr>
      <w:tr>
        <w:tc>
          <w:tcPr>
            <w:tcW w:type="dxa" w:w="4873"/>
          </w:tcPr>
          <w:p>
            <w:r/>
            <w:r>
              <w:rPr>
                <w:b w:val="0"/>
                <w:i w:val="0"/>
                <w:sz w:val="18"/>
              </w:rPr>
              <w:t>RG-10</w:t>
            </w:r>
          </w:p>
        </w:tc>
        <w:tc>
          <w:tcPr>
            <w:tcW w:type="dxa" w:w="4873"/>
          </w:tcPr>
          <w:p>
            <w:r/>
            <w:r>
              <w:rPr>
                <w:b w:val="0"/>
                <w:i w:val="0"/>
                <w:sz w:val="18"/>
              </w:rPr>
              <w:t xml:space="preserve">Un message de transfert présentant de fortes marques de manipulation impose une vérification ; le texte seul ne justifie </w:t>
            </w:r>
            <w:r>
              <w:rPr>
                <w:b/>
                <w:i w:val="0"/>
                <w:sz w:val="18"/>
              </w:rPr>
              <w:t>jamais</w:t>
            </w:r>
            <w:r>
              <w:rPr>
                <w:b w:val="0"/>
                <w:i w:val="0"/>
                <w:sz w:val="18"/>
              </w:rPr>
              <w:t xml:space="preserve"> un blocage.</w:t>
            </w:r>
          </w:p>
        </w:tc>
      </w:tr>
      <w:tr>
        <w:tc>
          <w:tcPr>
            <w:tcW w:type="dxa" w:w="4873"/>
          </w:tcPr>
          <w:p>
            <w:r/>
            <w:r>
              <w:rPr>
                <w:b w:val="0"/>
                <w:i w:val="0"/>
                <w:sz w:val="18"/>
              </w:rPr>
              <w:t>RG-11</w:t>
            </w:r>
          </w:p>
        </w:tc>
        <w:tc>
          <w:tcPr>
            <w:tcW w:type="dxa" w:w="4873"/>
          </w:tcPr>
          <w:p>
            <w:r/>
            <w:r>
              <w:rPr>
                <w:b w:val="0"/>
                <w:i w:val="0"/>
                <w:sz w:val="18"/>
              </w:rPr>
              <w:t>Un déplacement physiquement impossible entre deux opérations consécutives impose au minimum une vérification.</w:t>
            </w:r>
          </w:p>
        </w:tc>
      </w:tr>
      <w:tr>
        <w:tc>
          <w:tcPr>
            <w:tcW w:type="dxa" w:w="4873"/>
          </w:tcPr>
          <w:p>
            <w:r/>
            <w:r>
              <w:rPr>
                <w:b w:val="0"/>
                <w:i w:val="0"/>
                <w:sz w:val="18"/>
              </w:rPr>
              <w:t>RG-12</w:t>
            </w:r>
          </w:p>
        </w:tc>
        <w:tc>
          <w:tcPr>
            <w:tcW w:type="dxa" w:w="4873"/>
          </w:tcPr>
          <w:p>
            <w:r/>
            <w:r>
              <w:rPr>
                <w:b w:val="0"/>
                <w:i w:val="0"/>
                <w:sz w:val="18"/>
              </w:rPr>
              <w:t xml:space="preserve">Toute décision VERIFY ou BLOCK ouvre un </w:t>
            </w:r>
            <w:r>
              <w:rPr>
                <w:b/>
                <w:i w:val="0"/>
                <w:sz w:val="18"/>
              </w:rPr>
              <w:t>dossier d'alerte</w:t>
            </w:r>
            <w:r>
              <w:rPr>
                <w:b w:val="0"/>
                <w:i w:val="0"/>
                <w:sz w:val="18"/>
              </w:rPr>
              <w:t xml:space="preserve"> et déclenche une notification au client. Une alerte de niveau CRITIQUE déclenche aussi un e-mail à l'équipe anti-fraude.</w:t>
            </w:r>
          </w:p>
        </w:tc>
      </w:tr>
      <w:tr>
        <w:tc>
          <w:tcPr>
            <w:tcW w:type="dxa" w:w="4873"/>
          </w:tcPr>
          <w:p>
            <w:r/>
            <w:r>
              <w:rPr>
                <w:b w:val="0"/>
                <w:i w:val="0"/>
                <w:sz w:val="18"/>
              </w:rPr>
              <w:t>RG-13</w:t>
            </w:r>
          </w:p>
        </w:tc>
        <w:tc>
          <w:tcPr>
            <w:tcW w:type="dxa" w:w="4873"/>
          </w:tcPr>
          <w:p>
            <w:r/>
            <w:r>
              <w:rPr>
                <w:b w:val="0"/>
                <w:i w:val="0"/>
                <w:sz w:val="18"/>
              </w:rPr>
              <w:t xml:space="preserve">Un dossier ne peut être clos (FRAUDE_CONFIRMEE ou FAUX_POSITIF) qu'avec une </w:t>
            </w:r>
            <w:r>
              <w:rPr>
                <w:b/>
                <w:i w:val="0"/>
                <w:sz w:val="18"/>
              </w:rPr>
              <w:t>note de résolution</w:t>
            </w:r>
            <w:r>
              <w:rPr>
                <w:b w:val="0"/>
                <w:i w:val="0"/>
                <w:sz w:val="18"/>
              </w:rPr>
              <w:t>. Un dossier clos ne peut plus être rouvert.</w:t>
            </w:r>
          </w:p>
        </w:tc>
      </w:tr>
      <w:tr>
        <w:tc>
          <w:tcPr>
            <w:tcW w:type="dxa" w:w="4873"/>
          </w:tcPr>
          <w:p>
            <w:r/>
            <w:r>
              <w:rPr>
                <w:b w:val="0"/>
                <w:i w:val="0"/>
                <w:sz w:val="18"/>
              </w:rPr>
              <w:t>RG-14</w:t>
            </w:r>
          </w:p>
        </w:tc>
        <w:tc>
          <w:tcPr>
            <w:tcW w:type="dxa" w:w="4873"/>
          </w:tcPr>
          <w:p>
            <w:r/>
            <w:r>
              <w:rPr>
                <w:b w:val="0"/>
                <w:i w:val="0"/>
                <w:sz w:val="18"/>
              </w:rPr>
              <w:t>Seul un superviseur peut affecter un dossier à un autre analyste que lui-même.</w:t>
            </w:r>
          </w:p>
        </w:tc>
      </w:tr>
      <w:tr>
        <w:tc>
          <w:tcPr>
            <w:tcW w:type="dxa" w:w="4873"/>
          </w:tcPr>
          <w:p>
            <w:r/>
            <w:r>
              <w:rPr>
                <w:b w:val="0"/>
                <w:i w:val="0"/>
                <w:sz w:val="18"/>
              </w:rPr>
              <w:t>RG-15</w:t>
            </w:r>
          </w:p>
        </w:tc>
        <w:tc>
          <w:tcPr>
            <w:tcW w:type="dxa" w:w="4873"/>
          </w:tcPr>
          <w:p>
            <w:r/>
            <w:r>
              <w:rPr>
                <w:b w:val="0"/>
                <w:i w:val="0"/>
                <w:sz w:val="18"/>
              </w:rPr>
              <w:t xml:space="preserve">Une plainte du client ou un retour d'une institution crée ou clôt le dossier en FRAUDE_CONFIRMEE ; le verdict devient une </w:t>
            </w:r>
            <w:r>
              <w:rPr>
                <w:b/>
                <w:i w:val="0"/>
                <w:sz w:val="18"/>
              </w:rPr>
              <w:t>étiquette</w:t>
            </w:r>
            <w:r>
              <w:rPr>
                <w:b w:val="0"/>
                <w:i w:val="0"/>
                <w:sz w:val="18"/>
              </w:rPr>
              <w:t xml:space="preserve"> d'apprentissage.</w:t>
            </w:r>
          </w:p>
        </w:tc>
      </w:tr>
      <w:tr>
        <w:tc>
          <w:tcPr>
            <w:tcW w:type="dxa" w:w="4873"/>
          </w:tcPr>
          <w:p>
            <w:r/>
            <w:r>
              <w:rPr>
                <w:b w:val="0"/>
                <w:i w:val="0"/>
                <w:sz w:val="18"/>
              </w:rPr>
              <w:t>RG-16</w:t>
            </w:r>
          </w:p>
        </w:tc>
        <w:tc>
          <w:tcPr>
            <w:tcW w:type="dxa" w:w="4873"/>
          </w:tcPr>
          <w:p>
            <w:r/>
            <w:r>
              <w:rPr>
                <w:b w:val="0"/>
                <w:i w:val="0"/>
                <w:sz w:val="18"/>
              </w:rPr>
              <w:t xml:space="preserve">Toute action sensible (décision, verdict, création de clé, consultation du régulateur) est inscrite dans un journal d'audit </w:t>
            </w:r>
            <w:r>
              <w:rPr>
                <w:b/>
                <w:i w:val="0"/>
                <w:sz w:val="18"/>
              </w:rPr>
              <w:t>non modifiable et non supprimable</w:t>
            </w:r>
            <w:r>
              <w:rPr>
                <w:b w:val="0"/>
                <w:i w:val="0"/>
                <w:sz w:val="18"/>
              </w:rPr>
              <w:t>.</w:t>
            </w:r>
          </w:p>
        </w:tc>
      </w:tr>
      <w:tr>
        <w:tc>
          <w:tcPr>
            <w:tcW w:type="dxa" w:w="4873"/>
          </w:tcPr>
          <w:p>
            <w:r/>
            <w:r>
              <w:rPr>
                <w:b w:val="0"/>
                <w:i w:val="0"/>
                <w:sz w:val="18"/>
              </w:rPr>
              <w:t>RG-17</w:t>
            </w:r>
          </w:p>
        </w:tc>
        <w:tc>
          <w:tcPr>
            <w:tcW w:type="dxa" w:w="4873"/>
          </w:tcPr>
          <w:p>
            <w:r/>
            <w:r>
              <w:rPr>
                <w:b w:val="0"/>
                <w:i w:val="0"/>
                <w:sz w:val="18"/>
              </w:rPr>
              <w:t>Une institution ne voit que ses propres opérations ; le régulateur ne reçoit que des agrégats sans donnée personnelle.</w:t>
            </w:r>
          </w:p>
        </w:tc>
      </w:tr>
      <w:tr>
        <w:tc>
          <w:tcPr>
            <w:tcW w:type="dxa" w:w="4873"/>
          </w:tcPr>
          <w:p>
            <w:r/>
            <w:r>
              <w:rPr>
                <w:b w:val="0"/>
                <w:i w:val="0"/>
                <w:sz w:val="18"/>
              </w:rPr>
              <w:t>RG-18</w:t>
            </w:r>
          </w:p>
        </w:tc>
        <w:tc>
          <w:tcPr>
            <w:tcW w:type="dxa" w:w="4873"/>
          </w:tcPr>
          <w:p>
            <w:r/>
            <w:r>
              <w:rPr>
                <w:b w:val="0"/>
                <w:i w:val="0"/>
                <w:sz w:val="18"/>
              </w:rPr>
              <w:t>Un nouveau modèle ne remplace le modèle en service que s'il est meilleur sur la même période et satisfait les contrôles de qualité.</w:t>
            </w:r>
          </w:p>
        </w:tc>
      </w:tr>
    </w:tbl>
    <w:p/>
    <w:p>
      <w:pPr>
        <w:spacing w:after="120"/>
      </w:pPr>
      <w:r>
        <w:rPr>
          <w:b w:val="0"/>
          <w:i/>
        </w:rPr>
        <w:t>Tableau II.5 — Règles de gestion.</w:t>
      </w:r>
    </w:p>
    <w:p>
      <w:pPr>
        <w:pStyle w:val="Heading3"/>
      </w:pPr>
      <w:r>
        <w:t>II.1.7 Spécification des besoins fonctionnels</w:t>
      </w:r>
    </w:p>
    <w:p>
      <w:pPr>
        <w:spacing w:after="120"/>
      </w:pPr>
      <w:r>
        <w:rPr>
          <w:b w:val="0"/>
          <w:i w:val="0"/>
        </w:rPr>
        <w:t>Les besoins fonctionnels décrivent ce que le système doit faire. Chacun est numéroté (BM pour « besoin métier ») afin d'être suivi jusqu'à la conception et aux tests.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Réf.</w:t>
            </w:r>
          </w:p>
        </w:tc>
        <w:tc>
          <w:tcPr>
            <w:tcW w:type="dxa" w:w="3249"/>
            <w:shd w:val="clear" w:color="auto" w:fill="DCE6F7"/>
          </w:tcPr>
          <w:p>
            <w:r/>
            <w:r>
              <w:rPr>
                <w:b/>
                <w:i w:val="0"/>
                <w:sz w:val="18"/>
              </w:rPr>
              <w:t>Besoin</w:t>
            </w:r>
          </w:p>
        </w:tc>
        <w:tc>
          <w:tcPr>
            <w:tcW w:type="dxa" w:w="3249"/>
            <w:shd w:val="clear" w:color="auto" w:fill="DCE6F7"/>
          </w:tcPr>
          <w:p>
            <w:r/>
            <w:r>
              <w:rPr>
                <w:b/>
                <w:i w:val="0"/>
                <w:sz w:val="18"/>
              </w:rPr>
              <w:t>Réponse du système</w:t>
            </w:r>
          </w:p>
        </w:tc>
      </w:tr>
      <w:tr>
        <w:tc>
          <w:tcPr>
            <w:tcW w:type="dxa" w:w="3249"/>
          </w:tcPr>
          <w:p>
            <w:r/>
            <w:r>
              <w:rPr>
                <w:b w:val="0"/>
                <w:i w:val="0"/>
                <w:sz w:val="18"/>
              </w:rPr>
              <w:t>BM-01</w:t>
            </w:r>
          </w:p>
        </w:tc>
        <w:tc>
          <w:tcPr>
            <w:tcW w:type="dxa" w:w="3249"/>
          </w:tcPr>
          <w:p>
            <w:r/>
            <w:r>
              <w:rPr>
                <w:b w:val="0"/>
                <w:i w:val="0"/>
                <w:sz w:val="18"/>
              </w:rPr>
              <w:t xml:space="preserve">Détecter la fraude </w:t>
            </w:r>
            <w:r>
              <w:rPr>
                <w:b/>
                <w:i w:val="0"/>
                <w:sz w:val="18"/>
              </w:rPr>
              <w:t>avant</w:t>
            </w:r>
            <w:r>
              <w:rPr>
                <w:b w:val="0"/>
                <w:i w:val="0"/>
                <w:sz w:val="18"/>
              </w:rPr>
              <w:t xml:space="preserve"> l'exécution de l'opération</w:t>
            </w:r>
          </w:p>
        </w:tc>
        <w:tc>
          <w:tcPr>
            <w:tcW w:type="dxa" w:w="3249"/>
          </w:tcPr>
          <w:p>
            <w:r/>
            <w:r>
              <w:rPr>
                <w:b w:val="0"/>
                <w:i w:val="0"/>
                <w:sz w:val="18"/>
              </w:rPr>
              <w:t>Notation synchrone de chaque opération par un modèle hybride</w:t>
            </w:r>
          </w:p>
        </w:tc>
      </w:tr>
      <w:tr>
        <w:tc>
          <w:tcPr>
            <w:tcW w:type="dxa" w:w="3249"/>
          </w:tcPr>
          <w:p>
            <w:r/>
            <w:r>
              <w:rPr>
                <w:b w:val="0"/>
                <w:i w:val="0"/>
                <w:sz w:val="18"/>
              </w:rPr>
              <w:t>BM-02</w:t>
            </w:r>
          </w:p>
        </w:tc>
        <w:tc>
          <w:tcPr>
            <w:tcW w:type="dxa" w:w="3249"/>
          </w:tcPr>
          <w:p>
            <w:r/>
            <w:r>
              <w:rPr>
                <w:b w:val="0"/>
                <w:i w:val="0"/>
                <w:sz w:val="18"/>
              </w:rPr>
              <w:t xml:space="preserve">Reconnaître le </w:t>
            </w:r>
            <w:r>
              <w:rPr>
                <w:b/>
                <w:i w:val="0"/>
                <w:sz w:val="18"/>
              </w:rPr>
              <w:t>comportement habituel</w:t>
            </w:r>
            <w:r>
              <w:rPr>
                <w:b w:val="0"/>
                <w:i w:val="0"/>
                <w:sz w:val="18"/>
              </w:rPr>
              <w:t xml:space="preserve"> de chaque client et ses écarts</w:t>
            </w:r>
          </w:p>
        </w:tc>
        <w:tc>
          <w:tcPr>
            <w:tcW w:type="dxa" w:w="3249"/>
          </w:tcPr>
          <w:p>
            <w:r/>
            <w:r>
              <w:rPr>
                <w:b w:val="0"/>
                <w:i w:val="0"/>
                <w:sz w:val="18"/>
              </w:rPr>
              <w:t>58 variables de profilage calculées sur l'historique du client</w:t>
            </w:r>
          </w:p>
        </w:tc>
      </w:tr>
      <w:tr>
        <w:tc>
          <w:tcPr>
            <w:tcW w:type="dxa" w:w="3249"/>
          </w:tcPr>
          <w:p>
            <w:r/>
            <w:r>
              <w:rPr>
                <w:b w:val="0"/>
                <w:i w:val="0"/>
                <w:sz w:val="18"/>
              </w:rPr>
              <w:t>BM-03</w:t>
            </w:r>
          </w:p>
        </w:tc>
        <w:tc>
          <w:tcPr>
            <w:tcW w:type="dxa" w:w="3249"/>
          </w:tcPr>
          <w:p>
            <w:r/>
            <w:r>
              <w:rPr>
                <w:b/>
                <w:i w:val="0"/>
                <w:sz w:val="18"/>
              </w:rPr>
              <w:t>Graduer la réponse</w:t>
            </w:r>
            <w:r>
              <w:rPr>
                <w:b w:val="0"/>
                <w:i w:val="0"/>
                <w:sz w:val="18"/>
              </w:rPr>
              <w:t xml:space="preserve"> : laisser passer, faire vérifier, bloquer</w:t>
            </w:r>
          </w:p>
        </w:tc>
        <w:tc>
          <w:tcPr>
            <w:tcW w:type="dxa" w:w="3249"/>
          </w:tcPr>
          <w:p>
            <w:r/>
            <w:r>
              <w:rPr>
                <w:b w:val="0"/>
                <w:i w:val="0"/>
                <w:sz w:val="18"/>
              </w:rPr>
              <w:t>Décision coût-sensible, règles métier prioritaires (RG-04 à RG-11)</w:t>
            </w:r>
          </w:p>
        </w:tc>
      </w:tr>
      <w:tr>
        <w:tc>
          <w:tcPr>
            <w:tcW w:type="dxa" w:w="3249"/>
          </w:tcPr>
          <w:p>
            <w:r/>
            <w:r>
              <w:rPr>
                <w:b w:val="0"/>
                <w:i w:val="0"/>
                <w:sz w:val="18"/>
              </w:rPr>
              <w:t>BM-04</w:t>
            </w:r>
          </w:p>
        </w:tc>
        <w:tc>
          <w:tcPr>
            <w:tcW w:type="dxa" w:w="3249"/>
          </w:tcPr>
          <w:p>
            <w:r/>
            <w:r>
              <w:rPr>
                <w:b w:val="0"/>
                <w:i w:val="0"/>
                <w:sz w:val="18"/>
              </w:rPr>
              <w:t xml:space="preserve">Limiter les </w:t>
            </w:r>
            <w:r>
              <w:rPr>
                <w:b/>
                <w:i w:val="0"/>
                <w:sz w:val="18"/>
              </w:rPr>
              <w:t>fausses alertes</w:t>
            </w:r>
          </w:p>
        </w:tc>
        <w:tc>
          <w:tcPr>
            <w:tcW w:type="dxa" w:w="3249"/>
          </w:tcPr>
          <w:p>
            <w:r/>
            <w:r>
              <w:rPr>
                <w:b w:val="0"/>
                <w:i w:val="0"/>
                <w:sz w:val="18"/>
              </w:rPr>
              <w:t>Seuil optimisé ; vérification plutôt que blocage dans les cas intermédiaires</w:t>
            </w:r>
          </w:p>
        </w:tc>
      </w:tr>
      <w:tr>
        <w:tc>
          <w:tcPr>
            <w:tcW w:type="dxa" w:w="3249"/>
          </w:tcPr>
          <w:p>
            <w:r/>
            <w:r>
              <w:rPr>
                <w:b w:val="0"/>
                <w:i w:val="0"/>
                <w:sz w:val="18"/>
              </w:rPr>
              <w:t>BM-05</w:t>
            </w:r>
          </w:p>
        </w:tc>
        <w:tc>
          <w:tcPr>
            <w:tcW w:type="dxa" w:w="3249"/>
          </w:tcPr>
          <w:p>
            <w:r/>
            <w:r>
              <w:rPr>
                <w:b w:val="0"/>
                <w:i w:val="0"/>
                <w:sz w:val="18"/>
              </w:rPr>
              <w:t xml:space="preserve">Identifier le </w:t>
            </w:r>
            <w:r>
              <w:rPr>
                <w:b/>
                <w:i w:val="0"/>
                <w:sz w:val="18"/>
              </w:rPr>
              <w:t>type de fraude</w:t>
            </w:r>
          </w:p>
        </w:tc>
        <w:tc>
          <w:tcPr>
            <w:tcW w:type="dxa" w:w="3249"/>
          </w:tcPr>
          <w:p>
            <w:r/>
            <w:r>
              <w:rPr>
                <w:b w:val="0"/>
                <w:i w:val="0"/>
                <w:sz w:val="18"/>
              </w:rPr>
              <w:t>Classifieur de typologie (8 types) affiché sur chaque alerte</w:t>
            </w:r>
          </w:p>
        </w:tc>
      </w:tr>
      <w:tr>
        <w:tc>
          <w:tcPr>
            <w:tcW w:type="dxa" w:w="3249"/>
          </w:tcPr>
          <w:p>
            <w:r/>
            <w:r>
              <w:rPr>
                <w:b w:val="0"/>
                <w:i w:val="0"/>
                <w:sz w:val="18"/>
              </w:rPr>
              <w:t>BM-06</w:t>
            </w:r>
          </w:p>
        </w:tc>
        <w:tc>
          <w:tcPr>
            <w:tcW w:type="dxa" w:w="3249"/>
          </w:tcPr>
          <w:p>
            <w:r/>
            <w:r>
              <w:rPr>
                <w:b/>
                <w:i w:val="0"/>
                <w:sz w:val="18"/>
              </w:rPr>
              <w:t>Expliquer</w:t>
            </w:r>
            <w:r>
              <w:rPr>
                <w:b w:val="0"/>
                <w:i w:val="0"/>
                <w:sz w:val="18"/>
              </w:rPr>
              <w:t xml:space="preserve"> chaque décision</w:t>
            </w:r>
          </w:p>
        </w:tc>
        <w:tc>
          <w:tcPr>
            <w:tcW w:type="dxa" w:w="3249"/>
          </w:tcPr>
          <w:p>
            <w:r/>
            <w:r>
              <w:rPr>
                <w:b w:val="0"/>
                <w:i w:val="0"/>
                <w:sz w:val="18"/>
              </w:rPr>
              <w:t>Contributions SHAP, part de chaque composante du modèle, attention sur l'historique, cas similaires</w:t>
            </w:r>
          </w:p>
        </w:tc>
      </w:tr>
      <w:tr>
        <w:tc>
          <w:tcPr>
            <w:tcW w:type="dxa" w:w="3249"/>
          </w:tcPr>
          <w:p>
            <w:r/>
            <w:r>
              <w:rPr>
                <w:b w:val="0"/>
                <w:i w:val="0"/>
                <w:sz w:val="18"/>
              </w:rPr>
              <w:t>BM-07</w:t>
            </w:r>
          </w:p>
        </w:tc>
        <w:tc>
          <w:tcPr>
            <w:tcW w:type="dxa" w:w="3249"/>
          </w:tcPr>
          <w:p>
            <w:r/>
            <w:r>
              <w:rPr>
                <w:b/>
                <w:i w:val="0"/>
                <w:sz w:val="18"/>
              </w:rPr>
              <w:t>Prioriser et traiter</w:t>
            </w:r>
            <w:r>
              <w:rPr>
                <w:b w:val="0"/>
                <w:i w:val="0"/>
                <w:sz w:val="18"/>
              </w:rPr>
              <w:t xml:space="preserve"> les alertes</w:t>
            </w:r>
          </w:p>
        </w:tc>
        <w:tc>
          <w:tcPr>
            <w:tcW w:type="dxa" w:w="3249"/>
          </w:tcPr>
          <w:p>
            <w:r/>
            <w:r>
              <w:rPr>
                <w:b w:val="0"/>
                <w:i w:val="0"/>
                <w:sz w:val="18"/>
              </w:rPr>
              <w:t>Dossiers classés par risque et montant ; statuts ; affectation ; note obligatoire</w:t>
            </w:r>
          </w:p>
        </w:tc>
      </w:tr>
      <w:tr>
        <w:tc>
          <w:tcPr>
            <w:tcW w:type="dxa" w:w="3249"/>
          </w:tcPr>
          <w:p>
            <w:r/>
            <w:r>
              <w:rPr>
                <w:b w:val="0"/>
                <w:i w:val="0"/>
                <w:sz w:val="18"/>
              </w:rPr>
              <w:t>BM-08</w:t>
            </w:r>
          </w:p>
        </w:tc>
        <w:tc>
          <w:tcPr>
            <w:tcW w:type="dxa" w:w="3249"/>
          </w:tcPr>
          <w:p>
            <w:r/>
            <w:r>
              <w:rPr>
                <w:b/>
                <w:i w:val="0"/>
                <w:sz w:val="18"/>
              </w:rPr>
              <w:t>Prévenir le client</w:t>
            </w:r>
          </w:p>
        </w:tc>
        <w:tc>
          <w:tcPr>
            <w:tcW w:type="dxa" w:w="3249"/>
          </w:tcPr>
          <w:p>
            <w:r/>
            <w:r>
              <w:rPr>
                <w:b w:val="0"/>
                <w:i w:val="0"/>
                <w:sz w:val="18"/>
              </w:rPr>
              <w:t>SMS au client, e-mail à l'équipe pour les cas critiques</w:t>
            </w:r>
          </w:p>
        </w:tc>
      </w:tr>
      <w:tr>
        <w:tc>
          <w:tcPr>
            <w:tcW w:type="dxa" w:w="3249"/>
          </w:tcPr>
          <w:p>
            <w:r/>
            <w:r>
              <w:rPr>
                <w:b w:val="0"/>
                <w:i w:val="0"/>
                <w:sz w:val="18"/>
              </w:rPr>
              <w:t>BM-09</w:t>
            </w:r>
          </w:p>
        </w:tc>
        <w:tc>
          <w:tcPr>
            <w:tcW w:type="dxa" w:w="3249"/>
          </w:tcPr>
          <w:p>
            <w:r/>
            <w:r>
              <w:rPr>
                <w:b w:val="0"/>
                <w:i w:val="0"/>
                <w:sz w:val="18"/>
              </w:rPr>
              <w:t xml:space="preserve">Enregistrer les </w:t>
            </w:r>
            <w:r>
              <w:rPr>
                <w:b/>
                <w:i w:val="0"/>
                <w:sz w:val="18"/>
              </w:rPr>
              <w:t>plaintes</w:t>
            </w:r>
            <w:r>
              <w:rPr>
                <w:b w:val="0"/>
                <w:i w:val="0"/>
                <w:sz w:val="18"/>
              </w:rPr>
              <w:t xml:space="preserve"> des clients</w:t>
            </w:r>
          </w:p>
        </w:tc>
        <w:tc>
          <w:tcPr>
            <w:tcW w:type="dxa" w:w="3249"/>
          </w:tcPr>
          <w:p>
            <w:r/>
            <w:r>
              <w:rPr>
                <w:b w:val="0"/>
                <w:i w:val="0"/>
                <w:sz w:val="18"/>
              </w:rPr>
              <w:t>Plainte → dossier « fraude confirmée » → étiquette d'apprentissage</w:t>
            </w:r>
          </w:p>
        </w:tc>
      </w:tr>
      <w:tr>
        <w:tc>
          <w:tcPr>
            <w:tcW w:type="dxa" w:w="3249"/>
          </w:tcPr>
          <w:p>
            <w:r/>
            <w:r>
              <w:rPr>
                <w:b w:val="0"/>
                <w:i w:val="0"/>
                <w:sz w:val="18"/>
              </w:rPr>
              <w:t>BM-10</w:t>
            </w:r>
          </w:p>
        </w:tc>
        <w:tc>
          <w:tcPr>
            <w:tcW w:type="dxa" w:w="3249"/>
          </w:tcPr>
          <w:p>
            <w:r/>
            <w:r>
              <w:rPr>
                <w:b w:val="0"/>
                <w:i w:val="0"/>
                <w:sz w:val="18"/>
              </w:rPr>
              <w:t>Repérer l'</w:t>
            </w:r>
            <w:r>
              <w:rPr>
                <w:b/>
                <w:i w:val="0"/>
                <w:sz w:val="18"/>
              </w:rPr>
              <w:t>ingénierie sociale</w:t>
            </w:r>
          </w:p>
        </w:tc>
        <w:tc>
          <w:tcPr>
            <w:tcW w:type="dxa" w:w="3249"/>
          </w:tcPr>
          <w:p>
            <w:r/>
            <w:r>
              <w:rPr>
                <w:b w:val="0"/>
                <w:i w:val="0"/>
                <w:sz w:val="18"/>
              </w:rPr>
              <w:t>Profilage, analyse du message (NLP), règle de vérification</w:t>
            </w:r>
          </w:p>
        </w:tc>
      </w:tr>
      <w:tr>
        <w:tc>
          <w:tcPr>
            <w:tcW w:type="dxa" w:w="3249"/>
          </w:tcPr>
          <w:p>
            <w:r/>
            <w:r>
              <w:rPr>
                <w:b w:val="0"/>
                <w:i w:val="0"/>
                <w:sz w:val="18"/>
              </w:rPr>
              <w:t>BM-11</w:t>
            </w:r>
          </w:p>
        </w:tc>
        <w:tc>
          <w:tcPr>
            <w:tcW w:type="dxa" w:w="3249"/>
          </w:tcPr>
          <w:p>
            <w:r/>
            <w:r>
              <w:rPr>
                <w:b w:val="0"/>
                <w:i w:val="0"/>
                <w:sz w:val="18"/>
              </w:rPr>
              <w:t xml:space="preserve">Couvrir </w:t>
            </w:r>
            <w:r>
              <w:rPr>
                <w:b/>
                <w:i w:val="0"/>
                <w:sz w:val="18"/>
              </w:rPr>
              <w:t>plusieurs opérateurs et la carte Visa</w:t>
            </w:r>
          </w:p>
        </w:tc>
        <w:tc>
          <w:tcPr>
            <w:tcW w:type="dxa" w:w="3249"/>
          </w:tcPr>
          <w:p>
            <w:r/>
            <w:r>
              <w:rPr>
                <w:b w:val="0"/>
                <w:i w:val="0"/>
                <w:sz w:val="18"/>
              </w:rPr>
              <w:t>Un adaptateur par format, vers un schéma unique</w:t>
            </w:r>
          </w:p>
        </w:tc>
      </w:tr>
      <w:tr>
        <w:tc>
          <w:tcPr>
            <w:tcW w:type="dxa" w:w="3249"/>
          </w:tcPr>
          <w:p>
            <w:r/>
            <w:r>
              <w:rPr>
                <w:b w:val="0"/>
                <w:i w:val="0"/>
                <w:sz w:val="18"/>
              </w:rPr>
              <w:t>BM-12</w:t>
            </w:r>
          </w:p>
        </w:tc>
        <w:tc>
          <w:tcPr>
            <w:tcW w:type="dxa" w:w="3249"/>
          </w:tcPr>
          <w:p>
            <w:r/>
            <w:r>
              <w:rPr>
                <w:b/>
                <w:i w:val="0"/>
                <w:sz w:val="18"/>
              </w:rPr>
              <w:t>Comparer et transposer</w:t>
            </w:r>
            <w:r>
              <w:rPr>
                <w:b w:val="0"/>
                <w:i w:val="0"/>
                <w:sz w:val="18"/>
              </w:rPr>
              <w:t xml:space="preserve"> au canal Visa</w:t>
            </w:r>
          </w:p>
        </w:tc>
        <w:tc>
          <w:tcPr>
            <w:tcW w:type="dxa" w:w="3249"/>
          </w:tcPr>
          <w:p>
            <w:r/>
            <w:r>
              <w:rPr>
                <w:b w:val="0"/>
                <w:i w:val="0"/>
                <w:sz w:val="18"/>
              </w:rPr>
              <w:t>Protocole d'évaluation Mobile Money → Visa</w:t>
            </w:r>
          </w:p>
        </w:tc>
      </w:tr>
      <w:tr>
        <w:tc>
          <w:tcPr>
            <w:tcW w:type="dxa" w:w="3249"/>
          </w:tcPr>
          <w:p>
            <w:r/>
            <w:r>
              <w:rPr>
                <w:b w:val="0"/>
                <w:i w:val="0"/>
                <w:sz w:val="18"/>
              </w:rPr>
              <w:t>BM-13</w:t>
            </w:r>
          </w:p>
        </w:tc>
        <w:tc>
          <w:tcPr>
            <w:tcW w:type="dxa" w:w="3249"/>
          </w:tcPr>
          <w:p>
            <w:r/>
            <w:r>
              <w:rPr>
                <w:b w:val="0"/>
                <w:i w:val="0"/>
                <w:sz w:val="18"/>
              </w:rPr>
              <w:t xml:space="preserve">Vision </w:t>
            </w:r>
            <w:r>
              <w:rPr>
                <w:b/>
                <w:i w:val="0"/>
                <w:sz w:val="18"/>
              </w:rPr>
              <w:t>géographique</w:t>
            </w:r>
            <w:r>
              <w:rPr>
                <w:b w:val="0"/>
                <w:i w:val="0"/>
                <w:sz w:val="18"/>
              </w:rPr>
              <w:t xml:space="preserve"> nationale</w:t>
            </w:r>
          </w:p>
        </w:tc>
        <w:tc>
          <w:tcPr>
            <w:tcW w:type="dxa" w:w="3249"/>
          </w:tcPr>
          <w:p>
            <w:r/>
            <w:r>
              <w:rPr>
                <w:b w:val="0"/>
                <w:i w:val="0"/>
                <w:sz w:val="18"/>
              </w:rPr>
              <w:t>Carte des 26 provinces</w:t>
            </w:r>
          </w:p>
        </w:tc>
      </w:tr>
      <w:tr>
        <w:tc>
          <w:tcPr>
            <w:tcW w:type="dxa" w:w="3249"/>
          </w:tcPr>
          <w:p>
            <w:r/>
            <w:r>
              <w:rPr>
                <w:b w:val="0"/>
                <w:i w:val="0"/>
                <w:sz w:val="18"/>
              </w:rPr>
              <w:t>BM-14</w:t>
            </w:r>
          </w:p>
        </w:tc>
        <w:tc>
          <w:tcPr>
            <w:tcW w:type="dxa" w:w="3249"/>
          </w:tcPr>
          <w:p>
            <w:r/>
            <w:r>
              <w:rPr>
                <w:b/>
                <w:i w:val="0"/>
                <w:sz w:val="18"/>
              </w:rPr>
              <w:t>Tableau de bord</w:t>
            </w:r>
            <w:r>
              <w:rPr>
                <w:b w:val="0"/>
                <w:i w:val="0"/>
                <w:sz w:val="18"/>
              </w:rPr>
              <w:t xml:space="preserve"> de supervision</w:t>
            </w:r>
          </w:p>
        </w:tc>
        <w:tc>
          <w:tcPr>
            <w:tcW w:type="dxa" w:w="3249"/>
          </w:tcPr>
          <w:p>
            <w:r/>
            <w:r>
              <w:rPr>
                <w:b w:val="0"/>
                <w:i w:val="0"/>
                <w:sz w:val="18"/>
              </w:rPr>
              <w:t>Indicateurs temps réel, séries, répartitions, performance du modèle</w:t>
            </w:r>
          </w:p>
        </w:tc>
      </w:tr>
      <w:tr>
        <w:tc>
          <w:tcPr>
            <w:tcW w:type="dxa" w:w="3249"/>
          </w:tcPr>
          <w:p>
            <w:r/>
            <w:r>
              <w:rPr>
                <w:b w:val="0"/>
                <w:i w:val="0"/>
                <w:sz w:val="18"/>
              </w:rPr>
              <w:t>BM-15</w:t>
            </w:r>
          </w:p>
        </w:tc>
        <w:tc>
          <w:tcPr>
            <w:tcW w:type="dxa" w:w="3249"/>
          </w:tcPr>
          <w:p>
            <w:r/>
            <w:r>
              <w:rPr>
                <w:b/>
                <w:i w:val="0"/>
                <w:sz w:val="18"/>
              </w:rPr>
              <w:t>S'adapter</w:t>
            </w:r>
            <w:r>
              <w:rPr>
                <w:b w:val="0"/>
                <w:i w:val="0"/>
                <w:sz w:val="18"/>
              </w:rPr>
              <w:t xml:space="preserve"> aux fraudes nouvelles</w:t>
            </w:r>
          </w:p>
        </w:tc>
        <w:tc>
          <w:tcPr>
            <w:tcW w:type="dxa" w:w="3249"/>
          </w:tcPr>
          <w:p>
            <w:r/>
            <w:r>
              <w:rPr>
                <w:b w:val="0"/>
                <w:i w:val="0"/>
                <w:sz w:val="18"/>
              </w:rPr>
              <w:t>Réentraînement déclenché, stratégie champion / challenger</w:t>
            </w:r>
          </w:p>
        </w:tc>
      </w:tr>
      <w:tr>
        <w:tc>
          <w:tcPr>
            <w:tcW w:type="dxa" w:w="3249"/>
          </w:tcPr>
          <w:p>
            <w:r/>
            <w:r>
              <w:rPr>
                <w:b w:val="0"/>
                <w:i w:val="0"/>
                <w:sz w:val="18"/>
              </w:rPr>
              <w:t>BM-16</w:t>
            </w:r>
          </w:p>
        </w:tc>
        <w:tc>
          <w:tcPr>
            <w:tcW w:type="dxa" w:w="3249"/>
          </w:tcPr>
          <w:p>
            <w:r/>
            <w:r>
              <w:rPr>
                <w:b w:val="0"/>
                <w:i w:val="0"/>
                <w:sz w:val="18"/>
              </w:rPr>
              <w:t xml:space="preserve">Faire </w:t>
            </w:r>
            <w:r>
              <w:rPr>
                <w:b/>
                <w:i w:val="0"/>
                <w:sz w:val="18"/>
              </w:rPr>
              <w:t>examiner les comportements nouveaux</w:t>
            </w:r>
          </w:p>
        </w:tc>
        <w:tc>
          <w:tcPr>
            <w:tcW w:type="dxa" w:w="3249"/>
          </w:tcPr>
          <w:p>
            <w:r/>
            <w:r>
              <w:rPr>
                <w:b w:val="0"/>
                <w:i w:val="0"/>
                <w:sz w:val="18"/>
              </w:rPr>
              <w:t>Détection de nouveauté, revue d'analyste → étiquette</w:t>
            </w:r>
          </w:p>
        </w:tc>
      </w:tr>
      <w:tr>
        <w:tc>
          <w:tcPr>
            <w:tcW w:type="dxa" w:w="3249"/>
          </w:tcPr>
          <w:p>
            <w:r/>
            <w:r>
              <w:rPr>
                <w:b w:val="0"/>
                <w:i w:val="0"/>
                <w:sz w:val="18"/>
              </w:rPr>
              <w:t>BM-17</w:t>
            </w:r>
          </w:p>
        </w:tc>
        <w:tc>
          <w:tcPr>
            <w:tcW w:type="dxa" w:w="3249"/>
          </w:tcPr>
          <w:p>
            <w:r/>
            <w:r>
              <w:rPr>
                <w:b/>
                <w:i w:val="0"/>
                <w:sz w:val="18"/>
              </w:rPr>
              <w:t>Traçabilité</w:t>
            </w:r>
          </w:p>
        </w:tc>
        <w:tc>
          <w:tcPr>
            <w:tcW w:type="dxa" w:w="3249"/>
          </w:tcPr>
          <w:p>
            <w:r/>
            <w:r>
              <w:rPr>
                <w:b w:val="0"/>
                <w:i w:val="0"/>
                <w:sz w:val="18"/>
              </w:rPr>
              <w:t>Journal d'audit chaîné par hachage</w:t>
            </w:r>
          </w:p>
        </w:tc>
      </w:tr>
      <w:tr>
        <w:tc>
          <w:tcPr>
            <w:tcW w:type="dxa" w:w="3249"/>
          </w:tcPr>
          <w:p>
            <w:r/>
            <w:r>
              <w:rPr>
                <w:b w:val="0"/>
                <w:i w:val="0"/>
                <w:sz w:val="18"/>
              </w:rPr>
              <w:t>BM-18</w:t>
            </w:r>
          </w:p>
        </w:tc>
        <w:tc>
          <w:tcPr>
            <w:tcW w:type="dxa" w:w="3249"/>
          </w:tcPr>
          <w:p>
            <w:r/>
            <w:r>
              <w:rPr>
                <w:b/>
                <w:i w:val="0"/>
                <w:sz w:val="18"/>
              </w:rPr>
              <w:t>Gérer les droits</w:t>
            </w:r>
            <w:r>
              <w:rPr>
                <w:b w:val="0"/>
                <w:i w:val="0"/>
                <w:sz w:val="18"/>
              </w:rPr>
              <w:t xml:space="preserve"> selon le rôle</w:t>
            </w:r>
          </w:p>
        </w:tc>
        <w:tc>
          <w:tcPr>
            <w:tcW w:type="dxa" w:w="3249"/>
          </w:tcPr>
          <w:p>
            <w:r/>
            <w:r>
              <w:rPr>
                <w:b w:val="0"/>
                <w:i w:val="0"/>
                <w:sz w:val="18"/>
              </w:rPr>
              <w:t>Rôles analyste, superviseur, administrateur</w:t>
            </w:r>
          </w:p>
        </w:tc>
      </w:tr>
      <w:tr>
        <w:tc>
          <w:tcPr>
            <w:tcW w:type="dxa" w:w="3249"/>
          </w:tcPr>
          <w:p>
            <w:r/>
            <w:r>
              <w:rPr>
                <w:b w:val="0"/>
                <w:i w:val="0"/>
                <w:sz w:val="18"/>
              </w:rPr>
              <w:t>BM-19</w:t>
            </w:r>
          </w:p>
        </w:tc>
        <w:tc>
          <w:tcPr>
            <w:tcW w:type="dxa" w:w="3249"/>
          </w:tcPr>
          <w:p>
            <w:r/>
            <w:r>
              <w:rPr>
                <w:b w:val="0"/>
                <w:i w:val="0"/>
                <w:sz w:val="18"/>
              </w:rPr>
              <w:t xml:space="preserve">Permettre aux institutions de </w:t>
            </w:r>
            <w:r>
              <w:rPr>
                <w:b/>
                <w:i w:val="0"/>
                <w:sz w:val="18"/>
              </w:rPr>
              <w:t>signaler les fraudes constatées</w:t>
            </w:r>
          </w:p>
        </w:tc>
        <w:tc>
          <w:tcPr>
            <w:tcW w:type="dxa" w:w="3249"/>
          </w:tcPr>
          <w:p>
            <w:r/>
            <w:r>
              <w:rPr>
                <w:b w:val="0"/>
                <w:i w:val="0"/>
                <w:sz w:val="18"/>
              </w:rPr>
              <w:t>Route d'API de retour : le dossier est clos et l'étiquette sert au réentraînement</w:t>
            </w:r>
          </w:p>
        </w:tc>
      </w:tr>
      <w:tr>
        <w:tc>
          <w:tcPr>
            <w:tcW w:type="dxa" w:w="3249"/>
          </w:tcPr>
          <w:p>
            <w:r/>
            <w:r>
              <w:rPr>
                <w:b w:val="0"/>
                <w:i w:val="0"/>
                <w:sz w:val="18"/>
              </w:rPr>
              <w:t>BM-20</w:t>
            </w:r>
          </w:p>
        </w:tc>
        <w:tc>
          <w:tcPr>
            <w:tcW w:type="dxa" w:w="3249"/>
          </w:tcPr>
          <w:p>
            <w:r/>
            <w:r>
              <w:rPr>
                <w:b w:val="0"/>
                <w:i w:val="0"/>
                <w:sz w:val="18"/>
              </w:rPr>
              <w:t xml:space="preserve">Permettre au régulateur de </w:t>
            </w:r>
            <w:r>
              <w:rPr>
                <w:b/>
                <w:i w:val="0"/>
                <w:sz w:val="18"/>
              </w:rPr>
              <w:t>superviser le secteur</w:t>
            </w:r>
          </w:p>
        </w:tc>
        <w:tc>
          <w:tcPr>
            <w:tcW w:type="dxa" w:w="3249"/>
          </w:tcPr>
          <w:p>
            <w:r/>
            <w:r>
              <w:rPr>
                <w:b w:val="0"/>
                <w:i w:val="0"/>
                <w:sz w:val="18"/>
              </w:rPr>
              <w:t>API de supervision en lecture seule, agrégats sans donnée personnelle</w:t>
            </w:r>
          </w:p>
        </w:tc>
      </w:tr>
      <w:tr>
        <w:tc>
          <w:tcPr>
            <w:tcW w:type="dxa" w:w="3249"/>
          </w:tcPr>
          <w:p>
            <w:r/>
            <w:r>
              <w:rPr>
                <w:b w:val="0"/>
                <w:i w:val="0"/>
                <w:sz w:val="18"/>
              </w:rPr>
              <w:t>BM-21</w:t>
            </w:r>
          </w:p>
        </w:tc>
        <w:tc>
          <w:tcPr>
            <w:tcW w:type="dxa" w:w="3249"/>
          </w:tcPr>
          <w:p>
            <w:r/>
            <w:r>
              <w:rPr>
                <w:b/>
                <w:i w:val="0"/>
                <w:sz w:val="18"/>
              </w:rPr>
              <w:t>Gérer les institutions partenaires</w:t>
            </w:r>
            <w:r>
              <w:rPr>
                <w:b w:val="0"/>
                <w:i w:val="0"/>
                <w:sz w:val="18"/>
              </w:rPr>
              <w:t xml:space="preserve"> et leurs accès</w:t>
            </w:r>
          </w:p>
        </w:tc>
        <w:tc>
          <w:tcPr>
            <w:tcW w:type="dxa" w:w="3249"/>
          </w:tcPr>
          <w:p>
            <w:r/>
            <w:r>
              <w:rPr>
                <w:b w:val="0"/>
                <w:i w:val="0"/>
                <w:sz w:val="18"/>
              </w:rPr>
              <w:t>Création, droits, renouvellement et révocation des clés d'API</w:t>
            </w:r>
          </w:p>
        </w:tc>
      </w:tr>
    </w:tbl>
    <w:p/>
    <w:p>
      <w:pPr>
        <w:spacing w:after="120"/>
      </w:pPr>
      <w:r>
        <w:rPr>
          <w:b w:val="0"/>
          <w:i/>
        </w:rPr>
        <w:t>Tableau II.6 — Besoins fonctionnels.</w:t>
      </w:r>
    </w:p>
    <w:p>
      <w:pPr>
        <w:pStyle w:val="Heading3"/>
      </w:pPr>
      <w:r>
        <w:t>II.1.8 Spécification des besoins non fonctionnels</w:t>
      </w:r>
    </w:p>
    <w:p>
      <w:pPr>
        <w:spacing w:after="120"/>
      </w:pPr>
      <w:r>
        <w:rPr>
          <w:b w:val="0"/>
          <w:i w:val="0"/>
        </w:rPr>
        <w:t>Les besoins non fonctionnels (BT pour « besoin technique ») fixent les qualités attendues du système : rapidité, fiabilité, sécurité, maintenabilité.</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Catégorie</w:t>
            </w:r>
          </w:p>
        </w:tc>
        <w:tc>
          <w:tcPr>
            <w:tcW w:type="dxa" w:w="2436"/>
            <w:shd w:val="clear" w:color="auto" w:fill="DCE6F7"/>
          </w:tcPr>
          <w:p>
            <w:r/>
            <w:r>
              <w:rPr>
                <w:b/>
                <w:i w:val="0"/>
                <w:sz w:val="18"/>
              </w:rPr>
              <w:t>Réf.</w:t>
            </w:r>
          </w:p>
        </w:tc>
        <w:tc>
          <w:tcPr>
            <w:tcW w:type="dxa" w:w="2436"/>
            <w:shd w:val="clear" w:color="auto" w:fill="DCE6F7"/>
          </w:tcPr>
          <w:p>
            <w:r/>
            <w:r>
              <w:rPr>
                <w:b/>
                <w:i w:val="0"/>
                <w:sz w:val="18"/>
              </w:rPr>
              <w:t>Exigence</w:t>
            </w:r>
          </w:p>
        </w:tc>
        <w:tc>
          <w:tcPr>
            <w:tcW w:type="dxa" w:w="2436"/>
            <w:shd w:val="clear" w:color="auto" w:fill="DCE6F7"/>
          </w:tcPr>
          <w:p>
            <w:r/>
            <w:r>
              <w:rPr>
                <w:b/>
                <w:i w:val="0"/>
                <w:sz w:val="18"/>
              </w:rPr>
              <w:t>Réponse prévue</w:t>
            </w:r>
          </w:p>
        </w:tc>
      </w:tr>
      <w:tr>
        <w:tc>
          <w:tcPr>
            <w:tcW w:type="dxa" w:w="2436"/>
          </w:tcPr>
          <w:p>
            <w:r/>
            <w:r>
              <w:rPr>
                <w:b w:val="0"/>
                <w:i w:val="0"/>
                <w:sz w:val="18"/>
              </w:rPr>
              <w:t>Performance</w:t>
            </w:r>
          </w:p>
        </w:tc>
        <w:tc>
          <w:tcPr>
            <w:tcW w:type="dxa" w:w="2436"/>
          </w:tcPr>
          <w:p>
            <w:r/>
            <w:r>
              <w:rPr>
                <w:b w:val="0"/>
                <w:i w:val="0"/>
                <w:sz w:val="18"/>
              </w:rPr>
              <w:t>BT-01</w:t>
            </w:r>
          </w:p>
        </w:tc>
        <w:tc>
          <w:tcPr>
            <w:tcW w:type="dxa" w:w="2436"/>
          </w:tcPr>
          <w:p>
            <w:r/>
            <w:r>
              <w:rPr>
                <w:b w:val="0"/>
                <w:i w:val="0"/>
                <w:sz w:val="18"/>
              </w:rPr>
              <w:t>Décision avant exécution, en moins de 100 ms</w:t>
            </w:r>
          </w:p>
        </w:tc>
        <w:tc>
          <w:tcPr>
            <w:tcW w:type="dxa" w:w="2436"/>
          </w:tcPr>
          <w:p>
            <w:r/>
            <w:r>
              <w:rPr>
                <w:b w:val="0"/>
                <w:i w:val="0"/>
                <w:sz w:val="18"/>
              </w:rPr>
              <w:t>Chemin critique synchrone réduit au minimum ; profil en mémoire (Redis)</w:t>
            </w:r>
          </w:p>
        </w:tc>
      </w:tr>
      <w:tr>
        <w:tc>
          <w:tcPr>
            <w:tcW w:type="dxa" w:w="2436"/>
          </w:tcPr>
          <w:p>
            <w:r/>
          </w:p>
        </w:tc>
        <w:tc>
          <w:tcPr>
            <w:tcW w:type="dxa" w:w="2436"/>
          </w:tcPr>
          <w:p>
            <w:r/>
            <w:r>
              <w:rPr>
                <w:b w:val="0"/>
                <w:i w:val="0"/>
                <w:sz w:val="18"/>
              </w:rPr>
              <w:t>BT-02</w:t>
            </w:r>
          </w:p>
        </w:tc>
        <w:tc>
          <w:tcPr>
            <w:tcW w:type="dxa" w:w="2436"/>
          </w:tcPr>
          <w:p>
            <w:r/>
            <w:r>
              <w:rPr>
                <w:b w:val="0"/>
                <w:i w:val="0"/>
                <w:sz w:val="18"/>
              </w:rPr>
              <w:t>Absorber le débit des opérateurs</w:t>
            </w:r>
          </w:p>
        </w:tc>
        <w:tc>
          <w:tcPr>
            <w:tcW w:type="dxa" w:w="2436"/>
          </w:tcPr>
          <w:p>
            <w:r/>
            <w:r>
              <w:rPr>
                <w:b w:val="0"/>
                <w:i w:val="0"/>
                <w:sz w:val="18"/>
              </w:rPr>
              <w:t>Plusieurs processus de notation, limitation de débit, réplicas</w:t>
            </w:r>
          </w:p>
        </w:tc>
      </w:tr>
      <w:tr>
        <w:tc>
          <w:tcPr>
            <w:tcW w:type="dxa" w:w="2436"/>
          </w:tcPr>
          <w:p>
            <w:r/>
            <w:r>
              <w:rPr>
                <w:b w:val="0"/>
                <w:i w:val="0"/>
                <w:sz w:val="18"/>
              </w:rPr>
              <w:t>Disponibilité</w:t>
            </w:r>
          </w:p>
        </w:tc>
        <w:tc>
          <w:tcPr>
            <w:tcW w:type="dxa" w:w="2436"/>
          </w:tcPr>
          <w:p>
            <w:r/>
            <w:r>
              <w:rPr>
                <w:b w:val="0"/>
                <w:i w:val="0"/>
                <w:sz w:val="18"/>
              </w:rPr>
              <w:t>BT-03</w:t>
            </w:r>
          </w:p>
        </w:tc>
        <w:tc>
          <w:tcPr>
            <w:tcW w:type="dxa" w:w="2436"/>
          </w:tcPr>
          <w:p>
            <w:r/>
            <w:r>
              <w:rPr>
                <w:b w:val="0"/>
                <w:i w:val="0"/>
                <w:sz w:val="18"/>
              </w:rPr>
              <w:t>Continuité si la notation est indisponible</w:t>
            </w:r>
          </w:p>
        </w:tc>
        <w:tc>
          <w:tcPr>
            <w:tcW w:type="dxa" w:w="2436"/>
          </w:tcPr>
          <w:p>
            <w:r/>
            <w:r>
              <w:rPr>
                <w:b w:val="0"/>
                <w:i w:val="0"/>
                <w:sz w:val="18"/>
              </w:rPr>
              <w:t>Politique de repli configurable, relances bornées</w:t>
            </w:r>
          </w:p>
        </w:tc>
      </w:tr>
      <w:tr>
        <w:tc>
          <w:tcPr>
            <w:tcW w:type="dxa" w:w="2436"/>
          </w:tcPr>
          <w:p>
            <w:r/>
          </w:p>
        </w:tc>
        <w:tc>
          <w:tcPr>
            <w:tcW w:type="dxa" w:w="2436"/>
          </w:tcPr>
          <w:p>
            <w:r/>
            <w:r>
              <w:rPr>
                <w:b w:val="0"/>
                <w:i w:val="0"/>
                <w:sz w:val="18"/>
              </w:rPr>
              <w:t>BT-04</w:t>
            </w:r>
          </w:p>
        </w:tc>
        <w:tc>
          <w:tcPr>
            <w:tcW w:type="dxa" w:w="2436"/>
          </w:tcPr>
          <w:p>
            <w:r/>
            <w:r>
              <w:rPr>
                <w:b w:val="0"/>
                <w:i w:val="0"/>
                <w:sz w:val="18"/>
              </w:rPr>
              <w:t>Résilience aux doublons</w:t>
            </w:r>
          </w:p>
        </w:tc>
        <w:tc>
          <w:tcPr>
            <w:tcW w:type="dxa" w:w="2436"/>
          </w:tcPr>
          <w:p>
            <w:r/>
            <w:r>
              <w:rPr>
                <w:b w:val="0"/>
                <w:i w:val="0"/>
                <w:sz w:val="18"/>
              </w:rPr>
              <w:t>Idempotence (RG-03)</w:t>
            </w:r>
          </w:p>
        </w:tc>
      </w:tr>
      <w:tr>
        <w:tc>
          <w:tcPr>
            <w:tcW w:type="dxa" w:w="2436"/>
          </w:tcPr>
          <w:p>
            <w:r/>
            <w:r>
              <w:rPr>
                <w:b w:val="0"/>
                <w:i w:val="0"/>
                <w:sz w:val="18"/>
              </w:rPr>
              <w:t>Intégration</w:t>
            </w:r>
          </w:p>
        </w:tc>
        <w:tc>
          <w:tcPr>
            <w:tcW w:type="dxa" w:w="2436"/>
          </w:tcPr>
          <w:p>
            <w:r/>
            <w:r>
              <w:rPr>
                <w:b w:val="0"/>
                <w:i w:val="0"/>
                <w:sz w:val="18"/>
              </w:rPr>
              <w:t>BT-06</w:t>
            </w:r>
          </w:p>
        </w:tc>
        <w:tc>
          <w:tcPr>
            <w:tcW w:type="dxa" w:w="2436"/>
          </w:tcPr>
          <w:p>
            <w:r/>
            <w:r>
              <w:rPr>
                <w:b w:val="0"/>
                <w:i w:val="0"/>
                <w:sz w:val="18"/>
              </w:rPr>
              <w:t>Formats hétérogènes des opérateurs</w:t>
            </w:r>
          </w:p>
        </w:tc>
        <w:tc>
          <w:tcPr>
            <w:tcW w:type="dxa" w:w="2436"/>
          </w:tcPr>
          <w:p>
            <w:r/>
            <w:r>
              <w:rPr>
                <w:b w:val="0"/>
                <w:i w:val="0"/>
                <w:sz w:val="18"/>
              </w:rPr>
              <w:t xml:space="preserve">Patron </w:t>
            </w:r>
            <w:r>
              <w:rPr>
                <w:b w:val="0"/>
                <w:i/>
                <w:sz w:val="18"/>
              </w:rPr>
              <w:t>Adapter</w:t>
            </w:r>
            <w:r>
              <w:rPr>
                <w:b w:val="0"/>
                <w:i w:val="0"/>
                <w:sz w:val="18"/>
              </w:rPr>
              <w:t xml:space="preserve"> et schéma pivot </w:t>
            </w:r>
            <w:r>
              <w:rPr>
                <w:rFonts w:ascii="Consolas" w:hAnsi="Consolas"/>
                <w:b w:val="0"/>
                <w:i w:val="0"/>
                <w:color w:val="1F3A8A"/>
                <w:sz w:val="18"/>
              </w:rPr>
              <w:t>UnifiedTransaction</w:t>
            </w:r>
          </w:p>
        </w:tc>
      </w:tr>
      <w:tr>
        <w:tc>
          <w:tcPr>
            <w:tcW w:type="dxa" w:w="2436"/>
          </w:tcPr>
          <w:p>
            <w:r/>
          </w:p>
        </w:tc>
        <w:tc>
          <w:tcPr>
            <w:tcW w:type="dxa" w:w="2436"/>
          </w:tcPr>
          <w:p>
            <w:r/>
            <w:r>
              <w:rPr>
                <w:b w:val="0"/>
                <w:i w:val="0"/>
                <w:sz w:val="18"/>
              </w:rPr>
              <w:t>BT-07</w:t>
            </w:r>
          </w:p>
        </w:tc>
        <w:tc>
          <w:tcPr>
            <w:tcW w:type="dxa" w:w="2436"/>
          </w:tcPr>
          <w:p>
            <w:r/>
            <w:r>
              <w:rPr>
                <w:b w:val="0"/>
                <w:i w:val="0"/>
                <w:sz w:val="18"/>
              </w:rPr>
              <w:t>Double monnaie</w:t>
            </w:r>
          </w:p>
        </w:tc>
        <w:tc>
          <w:tcPr>
            <w:tcW w:type="dxa" w:w="2436"/>
          </w:tcPr>
          <w:p>
            <w:r/>
            <w:r>
              <w:rPr>
                <w:b w:val="0"/>
                <w:i w:val="0"/>
                <w:sz w:val="18"/>
              </w:rPr>
              <w:t>Conversion CDF → USD au taux de l'année (RG-02)</w:t>
            </w:r>
          </w:p>
        </w:tc>
      </w:tr>
      <w:tr>
        <w:tc>
          <w:tcPr>
            <w:tcW w:type="dxa" w:w="2436"/>
          </w:tcPr>
          <w:p>
            <w:r/>
          </w:p>
        </w:tc>
        <w:tc>
          <w:tcPr>
            <w:tcW w:type="dxa" w:w="2436"/>
          </w:tcPr>
          <w:p>
            <w:r/>
            <w:r>
              <w:rPr>
                <w:b w:val="0"/>
                <w:i w:val="0"/>
                <w:sz w:val="18"/>
              </w:rPr>
              <w:t>BT-10</w:t>
            </w:r>
          </w:p>
        </w:tc>
        <w:tc>
          <w:tcPr>
            <w:tcW w:type="dxa" w:w="2436"/>
          </w:tcPr>
          <w:p>
            <w:r/>
            <w:r>
              <w:rPr>
                <w:b w:val="0"/>
                <w:i w:val="0"/>
                <w:sz w:val="18"/>
              </w:rPr>
              <w:t>Découplage des traitements</w:t>
            </w:r>
          </w:p>
        </w:tc>
        <w:tc>
          <w:tcPr>
            <w:tcW w:type="dxa" w:w="2436"/>
          </w:tcPr>
          <w:p>
            <w:r/>
            <w:r>
              <w:rPr>
                <w:b w:val="0"/>
                <w:i w:val="0"/>
                <w:sz w:val="18"/>
              </w:rPr>
              <w:t>Bus d'événements Kafka et workers indépendants</w:t>
            </w:r>
          </w:p>
        </w:tc>
      </w:tr>
      <w:tr>
        <w:tc>
          <w:tcPr>
            <w:tcW w:type="dxa" w:w="2436"/>
          </w:tcPr>
          <w:p>
            <w:r/>
            <w:r>
              <w:rPr>
                <w:b w:val="0"/>
                <w:i w:val="0"/>
                <w:sz w:val="18"/>
              </w:rPr>
              <w:t>Apprentissage automatique</w:t>
            </w:r>
          </w:p>
        </w:tc>
        <w:tc>
          <w:tcPr>
            <w:tcW w:type="dxa" w:w="2436"/>
          </w:tcPr>
          <w:p>
            <w:r/>
            <w:r>
              <w:rPr>
                <w:b w:val="0"/>
                <w:i w:val="0"/>
                <w:sz w:val="18"/>
              </w:rPr>
              <w:t>BT-11</w:t>
            </w:r>
          </w:p>
        </w:tc>
        <w:tc>
          <w:tcPr>
            <w:tcW w:type="dxa" w:w="2436"/>
          </w:tcPr>
          <w:p>
            <w:r/>
            <w:r>
              <w:rPr>
                <w:b w:val="0"/>
                <w:i w:val="0"/>
                <w:sz w:val="18"/>
              </w:rPr>
              <w:t>Cohérence entre entraînement et production</w:t>
            </w:r>
          </w:p>
        </w:tc>
        <w:tc>
          <w:tcPr>
            <w:tcW w:type="dxa" w:w="2436"/>
          </w:tcPr>
          <w:p>
            <w:r/>
            <w:r>
              <w:rPr>
                <w:b w:val="0"/>
                <w:i w:val="0"/>
                <w:sz w:val="18"/>
              </w:rPr>
              <w:t>Mêmes fonctions de calcul des variables ; contrôle de l'empreinte de la normalisation</w:t>
            </w:r>
          </w:p>
        </w:tc>
      </w:tr>
      <w:tr>
        <w:tc>
          <w:tcPr>
            <w:tcW w:type="dxa" w:w="2436"/>
          </w:tcPr>
          <w:p>
            <w:r/>
          </w:p>
        </w:tc>
        <w:tc>
          <w:tcPr>
            <w:tcW w:type="dxa" w:w="2436"/>
          </w:tcPr>
          <w:p>
            <w:r/>
            <w:r>
              <w:rPr>
                <w:b w:val="0"/>
                <w:i w:val="0"/>
                <w:sz w:val="18"/>
              </w:rPr>
              <w:t>BT-12</w:t>
            </w:r>
          </w:p>
        </w:tc>
        <w:tc>
          <w:tcPr>
            <w:tcW w:type="dxa" w:w="2436"/>
          </w:tcPr>
          <w:p>
            <w:r/>
            <w:r>
              <w:rPr>
                <w:b w:val="0"/>
                <w:i w:val="0"/>
                <w:sz w:val="18"/>
              </w:rPr>
              <w:t>Déséquilibre des classes (environ 1,3 % de fraudes)</w:t>
            </w:r>
          </w:p>
        </w:tc>
        <w:tc>
          <w:tcPr>
            <w:tcW w:type="dxa" w:w="2436"/>
          </w:tcPr>
          <w:p>
            <w:r/>
            <w:r>
              <w:rPr>
                <w:b w:val="0"/>
                <w:i w:val="0"/>
                <w:sz w:val="18"/>
              </w:rPr>
              <w:t>Pondération, sous-échantillonnage, métrique PR-AUC</w:t>
            </w:r>
          </w:p>
        </w:tc>
      </w:tr>
      <w:tr>
        <w:tc>
          <w:tcPr>
            <w:tcW w:type="dxa" w:w="2436"/>
          </w:tcPr>
          <w:p>
            <w:r/>
          </w:p>
        </w:tc>
        <w:tc>
          <w:tcPr>
            <w:tcW w:type="dxa" w:w="2436"/>
          </w:tcPr>
          <w:p>
            <w:r/>
            <w:r>
              <w:rPr>
                <w:b w:val="0"/>
                <w:i w:val="0"/>
                <w:sz w:val="18"/>
              </w:rPr>
              <w:t>BT-13</w:t>
            </w:r>
          </w:p>
        </w:tc>
        <w:tc>
          <w:tcPr>
            <w:tcW w:type="dxa" w:w="2436"/>
          </w:tcPr>
          <w:p>
            <w:r/>
            <w:r>
              <w:rPr>
                <w:b w:val="0"/>
                <w:i w:val="0"/>
                <w:sz w:val="18"/>
              </w:rPr>
              <w:t>Absence de fuite d'information</w:t>
            </w:r>
          </w:p>
        </w:tc>
        <w:tc>
          <w:tcPr>
            <w:tcW w:type="dxa" w:w="2436"/>
          </w:tcPr>
          <w:p>
            <w:r/>
            <w:r>
              <w:rPr>
                <w:b w:val="0"/>
                <w:i w:val="0"/>
                <w:sz w:val="18"/>
              </w:rPr>
              <w:t>Variables calculées sur le passé ; découpage temporel</w:t>
            </w:r>
          </w:p>
        </w:tc>
      </w:tr>
      <w:tr>
        <w:tc>
          <w:tcPr>
            <w:tcW w:type="dxa" w:w="2436"/>
          </w:tcPr>
          <w:p>
            <w:r/>
          </w:p>
        </w:tc>
        <w:tc>
          <w:tcPr>
            <w:tcW w:type="dxa" w:w="2436"/>
          </w:tcPr>
          <w:p>
            <w:r/>
            <w:r>
              <w:rPr>
                <w:b w:val="0"/>
                <w:i w:val="0"/>
                <w:sz w:val="18"/>
              </w:rPr>
              <w:t>BT-14</w:t>
            </w:r>
          </w:p>
        </w:tc>
        <w:tc>
          <w:tcPr>
            <w:tcW w:type="dxa" w:w="2436"/>
          </w:tcPr>
          <w:p>
            <w:r/>
            <w:r>
              <w:rPr>
                <w:b w:val="0"/>
                <w:i w:val="0"/>
                <w:sz w:val="18"/>
              </w:rPr>
              <w:t>Explicabilité</w:t>
            </w:r>
          </w:p>
        </w:tc>
        <w:tc>
          <w:tcPr>
            <w:tcW w:type="dxa" w:w="2436"/>
          </w:tcPr>
          <w:p>
            <w:r/>
            <w:r>
              <w:rPr>
                <w:b w:val="0"/>
                <w:i w:val="0"/>
                <w:sz w:val="18"/>
              </w:rPr>
              <w:t>TreeSHAP exact, attention, recherche de cas similaires</w:t>
            </w:r>
          </w:p>
        </w:tc>
      </w:tr>
      <w:tr>
        <w:tc>
          <w:tcPr>
            <w:tcW w:type="dxa" w:w="2436"/>
          </w:tcPr>
          <w:p>
            <w:r/>
          </w:p>
        </w:tc>
        <w:tc>
          <w:tcPr>
            <w:tcW w:type="dxa" w:w="2436"/>
          </w:tcPr>
          <w:p>
            <w:r/>
            <w:r>
              <w:rPr>
                <w:b w:val="0"/>
                <w:i w:val="0"/>
                <w:sz w:val="18"/>
              </w:rPr>
              <w:t>BT-15</w:t>
            </w:r>
          </w:p>
        </w:tc>
        <w:tc>
          <w:tcPr>
            <w:tcW w:type="dxa" w:w="2436"/>
          </w:tcPr>
          <w:p>
            <w:r/>
            <w:r>
              <w:rPr>
                <w:b w:val="0"/>
                <w:i w:val="0"/>
                <w:sz w:val="18"/>
              </w:rPr>
              <w:t>Évaluation statistiquement fondée</w:t>
            </w:r>
          </w:p>
        </w:tc>
        <w:tc>
          <w:tcPr>
            <w:tcW w:type="dxa" w:w="2436"/>
          </w:tcPr>
          <w:p>
            <w:r/>
            <w:r>
              <w:rPr>
                <w:b w:val="0"/>
                <w:i w:val="0"/>
                <w:sz w:val="18"/>
              </w:rPr>
              <w:t>Bootstrap apparié par usager, test de McNemar</w:t>
            </w:r>
          </w:p>
        </w:tc>
      </w:tr>
      <w:tr>
        <w:tc>
          <w:tcPr>
            <w:tcW w:type="dxa" w:w="2436"/>
          </w:tcPr>
          <w:p>
            <w:r/>
          </w:p>
        </w:tc>
        <w:tc>
          <w:tcPr>
            <w:tcW w:type="dxa" w:w="2436"/>
          </w:tcPr>
          <w:p>
            <w:r/>
            <w:r>
              <w:rPr>
                <w:b w:val="0"/>
                <w:i w:val="0"/>
                <w:sz w:val="18"/>
              </w:rPr>
              <w:t>BT-16</w:t>
            </w:r>
          </w:p>
        </w:tc>
        <w:tc>
          <w:tcPr>
            <w:tcW w:type="dxa" w:w="2436"/>
          </w:tcPr>
          <w:p>
            <w:r/>
            <w:r>
              <w:rPr>
                <w:b w:val="0"/>
                <w:i w:val="0"/>
                <w:sz w:val="18"/>
              </w:rPr>
              <w:t>Surveillance de la dérive</w:t>
            </w:r>
          </w:p>
        </w:tc>
        <w:tc>
          <w:tcPr>
            <w:tcW w:type="dxa" w:w="2436"/>
          </w:tcPr>
          <w:p>
            <w:r/>
            <w:r>
              <w:rPr>
                <w:b w:val="0"/>
                <w:i w:val="0"/>
                <w:sz w:val="18"/>
              </w:rPr>
              <w:t>Kolmogorov-Smirnov, PSI, taux de nouveauté</w:t>
            </w:r>
          </w:p>
        </w:tc>
      </w:tr>
      <w:tr>
        <w:tc>
          <w:tcPr>
            <w:tcW w:type="dxa" w:w="2436"/>
          </w:tcPr>
          <w:p>
            <w:r/>
          </w:p>
        </w:tc>
        <w:tc>
          <w:tcPr>
            <w:tcW w:type="dxa" w:w="2436"/>
          </w:tcPr>
          <w:p>
            <w:r/>
            <w:r>
              <w:rPr>
                <w:b w:val="0"/>
                <w:i w:val="0"/>
                <w:sz w:val="18"/>
              </w:rPr>
              <w:t>BT-17</w:t>
            </w:r>
          </w:p>
        </w:tc>
        <w:tc>
          <w:tcPr>
            <w:tcW w:type="dxa" w:w="2436"/>
          </w:tcPr>
          <w:p>
            <w:r/>
            <w:r>
              <w:rPr>
                <w:b w:val="0"/>
                <w:i w:val="0"/>
                <w:sz w:val="18"/>
              </w:rPr>
              <w:t>Réentraînement maîtrisé</w:t>
            </w:r>
          </w:p>
        </w:tc>
        <w:tc>
          <w:tcPr>
            <w:tcW w:type="dxa" w:w="2436"/>
          </w:tcPr>
          <w:p>
            <w:r/>
            <w:r>
              <w:rPr>
                <w:b w:val="0"/>
                <w:i w:val="0"/>
                <w:sz w:val="18"/>
              </w:rPr>
              <w:t>Champion / challenger, porte de détection, garde-fou contre le surapprentissage</w:t>
            </w:r>
          </w:p>
        </w:tc>
      </w:tr>
      <w:tr>
        <w:tc>
          <w:tcPr>
            <w:tcW w:type="dxa" w:w="2436"/>
          </w:tcPr>
          <w:p>
            <w:r/>
          </w:p>
        </w:tc>
        <w:tc>
          <w:tcPr>
            <w:tcW w:type="dxa" w:w="2436"/>
          </w:tcPr>
          <w:p>
            <w:r/>
            <w:r>
              <w:rPr>
                <w:b w:val="0"/>
                <w:i w:val="0"/>
                <w:sz w:val="18"/>
              </w:rPr>
              <w:t>BT-19</w:t>
            </w:r>
          </w:p>
        </w:tc>
        <w:tc>
          <w:tcPr>
            <w:tcW w:type="dxa" w:w="2436"/>
          </w:tcPr>
          <w:p>
            <w:r/>
            <w:r>
              <w:rPr>
                <w:b w:val="0"/>
                <w:i w:val="0"/>
                <w:sz w:val="18"/>
              </w:rPr>
              <w:t>Robustesse aux attaques inédites</w:t>
            </w:r>
          </w:p>
        </w:tc>
        <w:tc>
          <w:tcPr>
            <w:tcW w:type="dxa" w:w="2436"/>
          </w:tcPr>
          <w:p>
            <w:r/>
            <w:r>
              <w:rPr>
                <w:b w:val="0"/>
                <w:i w:val="0"/>
                <w:sz w:val="18"/>
              </w:rPr>
              <w:t>Lois physiques (cinématique, conservation)</w:t>
            </w:r>
          </w:p>
        </w:tc>
      </w:tr>
      <w:tr>
        <w:tc>
          <w:tcPr>
            <w:tcW w:type="dxa" w:w="2436"/>
          </w:tcPr>
          <w:p>
            <w:r/>
            <w:r>
              <w:rPr>
                <w:b w:val="0"/>
                <w:i w:val="0"/>
                <w:sz w:val="18"/>
              </w:rPr>
              <w:t>Sécurité</w:t>
            </w:r>
          </w:p>
        </w:tc>
        <w:tc>
          <w:tcPr>
            <w:tcW w:type="dxa" w:w="2436"/>
          </w:tcPr>
          <w:p>
            <w:r/>
            <w:r>
              <w:rPr>
                <w:b w:val="0"/>
                <w:i w:val="0"/>
                <w:sz w:val="18"/>
              </w:rPr>
              <w:t>BT-20</w:t>
            </w:r>
          </w:p>
        </w:tc>
        <w:tc>
          <w:tcPr>
            <w:tcW w:type="dxa" w:w="2436"/>
          </w:tcPr>
          <w:p>
            <w:r/>
            <w:r>
              <w:rPr>
                <w:b w:val="0"/>
                <w:i w:val="0"/>
                <w:sz w:val="18"/>
              </w:rPr>
              <w:t>Authentification des systèmes partenaires</w:t>
            </w:r>
          </w:p>
        </w:tc>
        <w:tc>
          <w:tcPr>
            <w:tcW w:type="dxa" w:w="2436"/>
          </w:tcPr>
          <w:p>
            <w:r/>
            <w:r>
              <w:rPr>
                <w:b w:val="0"/>
                <w:i w:val="0"/>
                <w:sz w:val="18"/>
              </w:rPr>
              <w:t>Clé d'API par institution (empreinte SHA-256), droits par institution</w:t>
            </w:r>
          </w:p>
        </w:tc>
      </w:tr>
      <w:tr>
        <w:tc>
          <w:tcPr>
            <w:tcW w:type="dxa" w:w="2436"/>
          </w:tcPr>
          <w:p>
            <w:r/>
          </w:p>
        </w:tc>
        <w:tc>
          <w:tcPr>
            <w:tcW w:type="dxa" w:w="2436"/>
          </w:tcPr>
          <w:p>
            <w:r/>
            <w:r>
              <w:rPr>
                <w:b w:val="0"/>
                <w:i w:val="0"/>
                <w:sz w:val="18"/>
              </w:rPr>
              <w:t>BT-21</w:t>
            </w:r>
          </w:p>
        </w:tc>
        <w:tc>
          <w:tcPr>
            <w:tcW w:type="dxa" w:w="2436"/>
          </w:tcPr>
          <w:p>
            <w:r/>
            <w:r>
              <w:rPr>
                <w:b w:val="0"/>
                <w:i w:val="0"/>
                <w:sz w:val="18"/>
              </w:rPr>
              <w:t>Authentification des utilisateurs</w:t>
            </w:r>
          </w:p>
        </w:tc>
        <w:tc>
          <w:tcPr>
            <w:tcW w:type="dxa" w:w="2436"/>
          </w:tcPr>
          <w:p>
            <w:r/>
            <w:r>
              <w:rPr>
                <w:b w:val="0"/>
                <w:i w:val="0"/>
                <w:sz w:val="18"/>
              </w:rPr>
              <w:t>Jeton JWT, contrôle d'accès par rôle</w:t>
            </w:r>
          </w:p>
        </w:tc>
      </w:tr>
      <w:tr>
        <w:tc>
          <w:tcPr>
            <w:tcW w:type="dxa" w:w="2436"/>
          </w:tcPr>
          <w:p>
            <w:r/>
          </w:p>
        </w:tc>
        <w:tc>
          <w:tcPr>
            <w:tcW w:type="dxa" w:w="2436"/>
          </w:tcPr>
          <w:p>
            <w:r/>
            <w:r>
              <w:rPr>
                <w:b w:val="0"/>
                <w:i w:val="0"/>
                <w:sz w:val="18"/>
              </w:rPr>
              <w:t>BT-22</w:t>
            </w:r>
          </w:p>
        </w:tc>
        <w:tc>
          <w:tcPr>
            <w:tcW w:type="dxa" w:w="2436"/>
          </w:tcPr>
          <w:p>
            <w:r/>
            <w:r>
              <w:rPr>
                <w:b w:val="0"/>
                <w:i w:val="0"/>
                <w:sz w:val="18"/>
              </w:rPr>
              <w:t>Intégrité du journal</w:t>
            </w:r>
          </w:p>
        </w:tc>
        <w:tc>
          <w:tcPr>
            <w:tcW w:type="dxa" w:w="2436"/>
          </w:tcPr>
          <w:p>
            <w:r/>
            <w:r>
              <w:rPr>
                <w:b w:val="0"/>
                <w:i w:val="0"/>
                <w:sz w:val="18"/>
              </w:rPr>
              <w:t>Chaînage SHA-256, modification et suppression interdites en base</w:t>
            </w:r>
          </w:p>
        </w:tc>
      </w:tr>
      <w:tr>
        <w:tc>
          <w:tcPr>
            <w:tcW w:type="dxa" w:w="2436"/>
          </w:tcPr>
          <w:p>
            <w:r/>
          </w:p>
        </w:tc>
        <w:tc>
          <w:tcPr>
            <w:tcW w:type="dxa" w:w="2436"/>
          </w:tcPr>
          <w:p>
            <w:r/>
            <w:r>
              <w:rPr>
                <w:b w:val="0"/>
                <w:i w:val="0"/>
                <w:sz w:val="18"/>
              </w:rPr>
              <w:t>BT-23</w:t>
            </w:r>
          </w:p>
        </w:tc>
        <w:tc>
          <w:tcPr>
            <w:tcW w:type="dxa" w:w="2436"/>
          </w:tcPr>
          <w:p>
            <w:r/>
            <w:r>
              <w:rPr>
                <w:b w:val="0"/>
                <w:i w:val="0"/>
                <w:sz w:val="18"/>
              </w:rPr>
              <w:t>Confidentialité</w:t>
            </w:r>
          </w:p>
        </w:tc>
        <w:tc>
          <w:tcPr>
            <w:tcW w:type="dxa" w:w="2436"/>
          </w:tcPr>
          <w:p>
            <w:r/>
            <w:r>
              <w:rPr>
                <w:b w:val="0"/>
                <w:i w:val="0"/>
                <w:sz w:val="18"/>
              </w:rPr>
              <w:t>Aucun service externe ; texte des messages jamais stocké ; isolement des données par institution</w:t>
            </w:r>
          </w:p>
        </w:tc>
      </w:tr>
      <w:tr>
        <w:tc>
          <w:tcPr>
            <w:tcW w:type="dxa" w:w="2436"/>
          </w:tcPr>
          <w:p>
            <w:r/>
            <w:r>
              <w:rPr>
                <w:b w:val="0"/>
                <w:i w:val="0"/>
                <w:sz w:val="18"/>
              </w:rPr>
              <w:t>Exploitation</w:t>
            </w:r>
          </w:p>
        </w:tc>
        <w:tc>
          <w:tcPr>
            <w:tcW w:type="dxa" w:w="2436"/>
          </w:tcPr>
          <w:p>
            <w:r/>
            <w:r>
              <w:rPr>
                <w:b w:val="0"/>
                <w:i w:val="0"/>
                <w:sz w:val="18"/>
              </w:rPr>
              <w:t>BT-25</w:t>
            </w:r>
          </w:p>
        </w:tc>
        <w:tc>
          <w:tcPr>
            <w:tcW w:type="dxa" w:w="2436"/>
          </w:tcPr>
          <w:p>
            <w:r/>
            <w:r>
              <w:rPr>
                <w:b w:val="0"/>
                <w:i w:val="0"/>
                <w:sz w:val="18"/>
              </w:rPr>
              <w:t>Observabilité</w:t>
            </w:r>
          </w:p>
        </w:tc>
        <w:tc>
          <w:tcPr>
            <w:tcW w:type="dxa" w:w="2436"/>
          </w:tcPr>
          <w:p>
            <w:r/>
            <w:r>
              <w:rPr>
                <w:b w:val="0"/>
                <w:i w:val="0"/>
                <w:sz w:val="18"/>
              </w:rPr>
              <w:t>Métriques, tableaux de bord, journaux centralisés, alertes</w:t>
            </w:r>
          </w:p>
        </w:tc>
      </w:tr>
      <w:tr>
        <w:tc>
          <w:tcPr>
            <w:tcW w:type="dxa" w:w="2436"/>
          </w:tcPr>
          <w:p>
            <w:r/>
          </w:p>
        </w:tc>
        <w:tc>
          <w:tcPr>
            <w:tcW w:type="dxa" w:w="2436"/>
          </w:tcPr>
          <w:p>
            <w:r/>
            <w:r>
              <w:rPr>
                <w:b w:val="0"/>
                <w:i w:val="0"/>
                <w:sz w:val="18"/>
              </w:rPr>
              <w:t>BT-26</w:t>
            </w:r>
          </w:p>
        </w:tc>
        <w:tc>
          <w:tcPr>
            <w:tcW w:type="dxa" w:w="2436"/>
          </w:tcPr>
          <w:p>
            <w:r/>
            <w:r>
              <w:rPr>
                <w:b w:val="0"/>
                <w:i w:val="0"/>
                <w:sz w:val="18"/>
              </w:rPr>
              <w:t>Qualité logicielle</w:t>
            </w:r>
          </w:p>
        </w:tc>
        <w:tc>
          <w:tcPr>
            <w:tcW w:type="dxa" w:w="2436"/>
          </w:tcPr>
          <w:p>
            <w:r/>
            <w:r>
              <w:rPr>
                <w:b w:val="0"/>
                <w:i w:val="0"/>
                <w:sz w:val="18"/>
              </w:rPr>
              <w:t>Tests automatisés par service</w:t>
            </w:r>
          </w:p>
        </w:tc>
      </w:tr>
      <w:tr>
        <w:tc>
          <w:tcPr>
            <w:tcW w:type="dxa" w:w="2436"/>
          </w:tcPr>
          <w:p>
            <w:r/>
          </w:p>
        </w:tc>
        <w:tc>
          <w:tcPr>
            <w:tcW w:type="dxa" w:w="2436"/>
          </w:tcPr>
          <w:p>
            <w:r/>
            <w:r>
              <w:rPr>
                <w:b w:val="0"/>
                <w:i w:val="0"/>
                <w:sz w:val="18"/>
              </w:rPr>
              <w:t>BT-27</w:t>
            </w:r>
          </w:p>
        </w:tc>
        <w:tc>
          <w:tcPr>
            <w:tcW w:type="dxa" w:w="2436"/>
          </w:tcPr>
          <w:p>
            <w:r/>
            <w:r>
              <w:rPr>
                <w:b w:val="0"/>
                <w:i w:val="0"/>
                <w:sz w:val="18"/>
              </w:rPr>
              <w:t>Portabilité</w:t>
            </w:r>
          </w:p>
        </w:tc>
        <w:tc>
          <w:tcPr>
            <w:tcW w:type="dxa" w:w="2436"/>
          </w:tcPr>
          <w:p>
            <w:r/>
            <w:r>
              <w:rPr>
                <w:b w:val="0"/>
                <w:i w:val="0"/>
                <w:sz w:val="18"/>
              </w:rPr>
              <w:t>Conteneurs Docker, Docker Compose, Kubernetes</w:t>
            </w:r>
          </w:p>
        </w:tc>
      </w:tr>
    </w:tbl>
    <w:p/>
    <w:p>
      <w:pPr>
        <w:spacing w:after="120"/>
      </w:pPr>
      <w:r>
        <w:rPr>
          <w:b w:val="0"/>
          <w:i/>
        </w:rPr>
        <w:t>Tableau II.7 — Besoins non fonctionnels.</w:t>
      </w:r>
    </w:p>
    <w:p>
      <w:pPr>
        <w:pStyle w:val="Heading3"/>
      </w:pPr>
      <w:r>
        <w:t>II.1.9 Contraintes propres au contexte congolais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Contrainte</w:t>
            </w:r>
          </w:p>
        </w:tc>
        <w:tc>
          <w:tcPr>
            <w:tcW w:type="dxa" w:w="4873"/>
            <w:shd w:val="clear" w:color="auto" w:fill="DCE6F7"/>
          </w:tcPr>
          <w:p>
            <w:r/>
            <w:r>
              <w:rPr>
                <w:b/>
                <w:i w:val="0"/>
                <w:sz w:val="18"/>
              </w:rPr>
              <w:t>Conséquence sur la conception</w:t>
            </w:r>
          </w:p>
        </w:tc>
      </w:tr>
      <w:tr>
        <w:tc>
          <w:tcPr>
            <w:tcW w:type="dxa" w:w="4873"/>
          </w:tcPr>
          <w:p>
            <w:r/>
            <w:r>
              <w:rPr>
                <w:b w:val="0"/>
                <w:i w:val="0"/>
                <w:sz w:val="18"/>
              </w:rPr>
              <w:t>Téléphones simples et USSD très répandus</w:t>
            </w:r>
          </w:p>
        </w:tc>
        <w:tc>
          <w:tcPr>
            <w:tcW w:type="dxa" w:w="4873"/>
          </w:tcPr>
          <w:p>
            <w:r/>
            <w:r>
              <w:rPr>
                <w:b w:val="0"/>
                <w:i w:val="0"/>
                <w:sz w:val="18"/>
              </w:rPr>
              <w:t>Variables indépendantes de l'application (montant, fréquence, agent, destinataire)</w:t>
            </w:r>
          </w:p>
        </w:tc>
      </w:tr>
      <w:tr>
        <w:tc>
          <w:tcPr>
            <w:tcW w:type="dxa" w:w="4873"/>
          </w:tcPr>
          <w:p>
            <w:r/>
            <w:r>
              <w:rPr>
                <w:b w:val="0"/>
                <w:i w:val="0"/>
                <w:sz w:val="18"/>
              </w:rPr>
              <w:t>Réseau d'agents de proximité</w:t>
            </w:r>
          </w:p>
        </w:tc>
        <w:tc>
          <w:tcPr>
            <w:tcW w:type="dxa" w:w="4873"/>
          </w:tcPr>
          <w:p>
            <w:r/>
            <w:r>
              <w:rPr>
                <w:b w:val="0"/>
                <w:i w:val="0"/>
                <w:sz w:val="18"/>
              </w:rPr>
              <w:t>Variables liées à l'agent ; typologie « fraude d'agent »</w:t>
            </w:r>
          </w:p>
        </w:tc>
      </w:tr>
      <w:tr>
        <w:tc>
          <w:tcPr>
            <w:tcW w:type="dxa" w:w="4873"/>
          </w:tcPr>
          <w:p>
            <w:r/>
            <w:r>
              <w:rPr>
                <w:b w:val="0"/>
                <w:i w:val="0"/>
                <w:sz w:val="18"/>
              </w:rPr>
              <w:t>Double monnaie CDF / USD, dépréciation du franc</w:t>
            </w:r>
          </w:p>
        </w:tc>
        <w:tc>
          <w:tcPr>
            <w:tcW w:type="dxa" w:w="4873"/>
          </w:tcPr>
          <w:p>
            <w:r/>
            <w:r>
              <w:rPr>
                <w:b w:val="0"/>
                <w:i w:val="0"/>
                <w:sz w:val="18"/>
              </w:rPr>
              <w:t>Montants ramenés en USD au taux de l'année</w:t>
            </w:r>
          </w:p>
        </w:tc>
      </w:tr>
      <w:tr>
        <w:tc>
          <w:tcPr>
            <w:tcW w:type="dxa" w:w="4873"/>
          </w:tcPr>
          <w:p>
            <w:r/>
            <w:r>
              <w:rPr>
                <w:b w:val="0"/>
                <w:i w:val="0"/>
                <w:sz w:val="18"/>
              </w:rPr>
              <w:t>Connectivité inégale</w:t>
            </w:r>
          </w:p>
        </w:tc>
        <w:tc>
          <w:tcPr>
            <w:tcW w:type="dxa" w:w="4873"/>
          </w:tcPr>
          <w:p>
            <w:r/>
            <w:r>
              <w:rPr>
                <w:b w:val="0"/>
                <w:i w:val="0"/>
                <w:sz w:val="18"/>
              </w:rPr>
              <w:t>Aucune dépendance à un service en ligne externe pour décider</w:t>
            </w:r>
          </w:p>
        </w:tc>
      </w:tr>
      <w:tr>
        <w:tc>
          <w:tcPr>
            <w:tcW w:type="dxa" w:w="4873"/>
          </w:tcPr>
          <w:p>
            <w:r/>
            <w:r>
              <w:rPr>
                <w:b w:val="0"/>
                <w:i w:val="0"/>
                <w:sz w:val="18"/>
              </w:rPr>
              <w:t>26 provinces, territoire très vaste</w:t>
            </w:r>
          </w:p>
        </w:tc>
        <w:tc>
          <w:tcPr>
            <w:tcW w:type="dxa" w:w="4873"/>
          </w:tcPr>
          <w:p>
            <w:r/>
            <w:r>
              <w:rPr>
                <w:b w:val="0"/>
                <w:i w:val="0"/>
                <w:sz w:val="18"/>
              </w:rPr>
              <w:t>Localisation par province ; loi physique de déplacement entre chefs-lieux</w:t>
            </w:r>
          </w:p>
        </w:tc>
      </w:tr>
      <w:tr>
        <w:tc>
          <w:tcPr>
            <w:tcW w:type="dxa" w:w="4873"/>
          </w:tcPr>
          <w:p>
            <w:r/>
            <w:r>
              <w:rPr>
                <w:b w:val="0"/>
                <w:i w:val="0"/>
                <w:sz w:val="18"/>
              </w:rPr>
              <w:t>Niveaux KYC et plafonds</w:t>
            </w:r>
          </w:p>
        </w:tc>
        <w:tc>
          <w:tcPr>
            <w:tcW w:type="dxa" w:w="4873"/>
          </w:tcPr>
          <w:p>
            <w:r/>
            <w:r>
              <w:rPr>
                <w:b w:val="0"/>
                <w:i w:val="0"/>
                <w:sz w:val="18"/>
              </w:rPr>
              <w:t>Variable « montant / plafond KYC » ; règle RG-08</w:t>
            </w:r>
          </w:p>
        </w:tc>
      </w:tr>
      <w:tr>
        <w:tc>
          <w:tcPr>
            <w:tcW w:type="dxa" w:w="4873"/>
          </w:tcPr>
          <w:p>
            <w:r/>
            <w:r>
              <w:rPr>
                <w:b w:val="0"/>
                <w:i w:val="0"/>
                <w:sz w:val="18"/>
              </w:rPr>
              <w:t>Marché multi-opérateurs régulé par la BCC</w:t>
            </w:r>
          </w:p>
        </w:tc>
        <w:tc>
          <w:tcPr>
            <w:tcW w:type="dxa" w:w="4873"/>
          </w:tcPr>
          <w:p>
            <w:r/>
            <w:r>
              <w:rPr>
                <w:b w:val="0"/>
                <w:i w:val="0"/>
                <w:sz w:val="18"/>
              </w:rPr>
              <w:t>API ouverte aux institutions, isolement des données, supervision par le régulateur</w:t>
            </w:r>
          </w:p>
        </w:tc>
      </w:tr>
      <w:tr>
        <w:tc>
          <w:tcPr>
            <w:tcW w:type="dxa" w:w="4873"/>
          </w:tcPr>
          <w:p>
            <w:r/>
            <w:r>
              <w:rPr>
                <w:b w:val="0"/>
                <w:i w:val="0"/>
                <w:sz w:val="18"/>
              </w:rPr>
              <w:t>Absence de jeu de données public</w:t>
            </w:r>
          </w:p>
        </w:tc>
        <w:tc>
          <w:tcPr>
            <w:tcW w:type="dxa" w:w="4873"/>
          </w:tcPr>
          <w:p>
            <w:r/>
            <w:r>
              <w:rPr>
                <w:b w:val="0"/>
                <w:i w:val="0"/>
                <w:sz w:val="18"/>
              </w:rPr>
              <w:t>Générateur de données synthétiques ; validation sur données réelles à prévoir</w:t>
            </w:r>
          </w:p>
        </w:tc>
      </w:tr>
    </w:tbl>
    <w:p/>
    <w:p>
      <w:pPr>
        <w:spacing w:after="120"/>
      </w:pPr>
      <w:r>
        <w:rPr>
          <w:b w:val="0"/>
          <w:i/>
        </w:rPr>
        <w:t>Tableau II.8 — Contraintes du contexte et conséquences.</w:t>
      </w:r>
    </w:p>
    <w:p>
      <w:pPr>
        <w:pStyle w:val="Heading3"/>
      </w:pPr>
      <w:r>
        <w:t>II.1.10 Diagramme des cas d'utilisation</w:t>
      </w:r>
    </w:p>
    <w:p>
      <w:pPr>
        <w:spacing w:after="120"/>
      </w:pPr>
      <w:r>
        <w:rPr>
          <w:b w:val="0"/>
          <w:i w:val="0"/>
        </w:rPr>
        <w:t>Le diagramme des cas d'utilisation représente les services que le système rend à chaque acteur. Les cas sont regroupés en quatre paquetages : détection en temps réel, investigation, supervision et gouvernance, ouverture aux partenaires.</w:t>
      </w:r>
    </w:p>
    <w:p>
      <w:pPr>
        <w:jc w:val="center"/>
      </w:pPr>
      <w:r>
        <w:drawing>
          <wp:inline xmlns:a="http://schemas.openxmlformats.org/drawingml/2006/main" xmlns:pic="http://schemas.openxmlformats.org/drawingml/2006/picture">
            <wp:extent cx="5760000" cy="6644409"/>
            <wp:docPr id="3" name="Picture 3"/>
            <wp:cNvGraphicFramePr>
              <a:graphicFrameLocks noChangeAspect="1"/>
            </wp:cNvGraphicFramePr>
            <a:graphic>
              <a:graphicData uri="http://schemas.openxmlformats.org/drawingml/2006/picture">
                <pic:pic>
                  <pic:nvPicPr>
                    <pic:cNvPr id="0" name="besoins_metier.png"/>
                    <pic:cNvPicPr/>
                  </pic:nvPicPr>
                  <pic:blipFill>
                    <a:blip r:embed="rId11"/>
                    <a:stretch>
                      <a:fillRect/>
                    </a:stretch>
                  </pic:blipFill>
                  <pic:spPr>
                    <a:xfrm>
                      <a:off x="0" y="0"/>
                      <a:ext cx="5760000" cy="6644409"/>
                    </a:xfrm>
                    <a:prstGeom prst="rect"/>
                  </pic:spPr>
                </pic:pic>
              </a:graphicData>
            </a:graphic>
          </wp:inline>
        </w:drawing>
      </w:r>
    </w:p>
    <w:p>
      <w:pPr>
        <w:jc w:val="center"/>
      </w:pPr>
      <w:r>
        <w:rPr>
          <w:b w:val="0"/>
          <w:i/>
          <w:sz w:val="18"/>
        </w:rPr>
        <w:t>Figure II.3 — Diagramme des cas d'utilisation (</w:t>
      </w:r>
      <w:r>
        <w:rPr>
          <w:rFonts w:ascii="Consolas" w:hAnsi="Consolas"/>
          <w:b w:val="0"/>
          <w:i/>
          <w:color w:val="1F3A8A"/>
          <w:sz w:val="18"/>
        </w:rPr>
        <w:t>docs/uml/besoins_metier.puml</w:t>
      </w:r>
      <w:r>
        <w:rPr>
          <w:b w:val="0"/>
          <w:i/>
          <w:sz w:val="18"/>
        </w:rPr>
        <w:t>).</w:t>
      </w:r>
    </w:p>
    <w:p>
      <w:pPr>
        <w:pStyle w:val="Heading3"/>
      </w:pPr>
      <w:r>
        <w:t>II.1.11 Description textuelle des principaux cas d'utilisation</w:t>
      </w:r>
    </w:p>
    <w:p>
      <w:pPr>
        <w:spacing w:after="120"/>
      </w:pPr>
      <w:r>
        <w:rPr>
          <w:b w:val="0"/>
          <w:i w:val="0"/>
        </w:rPr>
        <w:t>Le diagramme ne dit pas comment chaque cas se déroule. Les cas les plus importants sont donc décrits ci-dessous sous forme textuelle.</w:t>
      </w:r>
    </w:p>
    <w:p>
      <w:pPr>
        <w:spacing w:after="120"/>
      </w:pPr>
      <w:r>
        <w:rPr>
          <w:b/>
          <w:i w:val="0"/>
        </w:rPr>
        <w:t>Cas n° 1 — Soumettre une opération au scoring</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Rubrique</w:t>
            </w:r>
          </w:p>
        </w:tc>
        <w:tc>
          <w:tcPr>
            <w:tcW w:type="dxa" w:w="4873"/>
            <w:shd w:val="clear" w:color="auto" w:fill="DCE6F7"/>
          </w:tcPr>
          <w:p>
            <w:r/>
            <w:r>
              <w:rPr>
                <w:b/>
                <w:i w:val="0"/>
                <w:sz w:val="18"/>
              </w:rPr>
              <w:t>Description</w:t>
            </w:r>
          </w:p>
        </w:tc>
      </w:tr>
      <w:tr>
        <w:tc>
          <w:tcPr>
            <w:tcW w:type="dxa" w:w="4873"/>
          </w:tcPr>
          <w:p>
            <w:r/>
            <w:r>
              <w:rPr>
                <w:b w:val="0"/>
                <w:i w:val="0"/>
                <w:sz w:val="18"/>
              </w:rPr>
              <w:t>Acteur principal</w:t>
            </w:r>
          </w:p>
        </w:tc>
        <w:tc>
          <w:tcPr>
            <w:tcW w:type="dxa" w:w="4873"/>
          </w:tcPr>
          <w:p>
            <w:r/>
            <w:r>
              <w:rPr>
                <w:b w:val="0"/>
                <w:i w:val="0"/>
                <w:sz w:val="18"/>
              </w:rPr>
              <w:t>Opérateur Mobile Money (ou émetteur Visa, banque partenaire)</w:t>
            </w:r>
          </w:p>
        </w:tc>
      </w:tr>
      <w:tr>
        <w:tc>
          <w:tcPr>
            <w:tcW w:type="dxa" w:w="4873"/>
          </w:tcPr>
          <w:p>
            <w:r/>
            <w:r>
              <w:rPr>
                <w:b w:val="0"/>
                <w:i w:val="0"/>
                <w:sz w:val="18"/>
              </w:rPr>
              <w:t>Objectif</w:t>
            </w:r>
          </w:p>
        </w:tc>
        <w:tc>
          <w:tcPr>
            <w:tcW w:type="dxa" w:w="4873"/>
          </w:tcPr>
          <w:p>
            <w:r/>
            <w:r>
              <w:rPr>
                <w:b w:val="0"/>
                <w:i w:val="0"/>
                <w:sz w:val="18"/>
              </w:rPr>
              <w:t>Obtenir une décision sur une opération avant de l'exécuter</w:t>
            </w:r>
          </w:p>
        </w:tc>
      </w:tr>
      <w:tr>
        <w:tc>
          <w:tcPr>
            <w:tcW w:type="dxa" w:w="4873"/>
          </w:tcPr>
          <w:p>
            <w:r/>
            <w:r>
              <w:rPr>
                <w:b w:val="0"/>
                <w:i w:val="0"/>
                <w:sz w:val="18"/>
              </w:rPr>
              <w:t>Préconditions</w:t>
            </w:r>
          </w:p>
        </w:tc>
        <w:tc>
          <w:tcPr>
            <w:tcW w:type="dxa" w:w="4873"/>
          </w:tcPr>
          <w:p>
            <w:r/>
            <w:r>
              <w:rPr>
                <w:b w:val="0"/>
                <w:i w:val="0"/>
                <w:sz w:val="18"/>
              </w:rPr>
              <w:t>L'institution dispose d'une clé d'API active et du droit « transactions »</w:t>
            </w:r>
          </w:p>
        </w:tc>
      </w:tr>
      <w:tr>
        <w:tc>
          <w:tcPr>
            <w:tcW w:type="dxa" w:w="4873"/>
          </w:tcPr>
          <w:p>
            <w:r/>
            <w:r>
              <w:rPr>
                <w:b w:val="0"/>
                <w:i w:val="0"/>
                <w:sz w:val="18"/>
              </w:rPr>
              <w:t>Scénario nominal</w:t>
            </w:r>
          </w:p>
        </w:tc>
        <w:tc>
          <w:tcPr>
            <w:tcW w:type="dxa" w:w="4873"/>
          </w:tcPr>
          <w:p>
            <w:r/>
            <w:r>
              <w:rPr>
                <w:b w:val="0"/>
                <w:i w:val="0"/>
                <w:sz w:val="18"/>
              </w:rPr>
              <w:t>1. L'institution envoie l'opération, au format commun ou dans son format natif. 2. Le système vérifie la clé et les droits. 3. Il convertit l'opération au format commun et la rattache à l'institution. 4. Il met à jour le profil du client et calcule les variables. 5. Il évalue les lois physiques, calcule la probabilité de fraude et le type probable. 6. Il choisit l'action de coût minimal, puis applique les règles métier. 7. Il renvoie la décision, le niveau de risque, le type probable et les motifs.</w:t>
            </w:r>
          </w:p>
        </w:tc>
      </w:tr>
      <w:tr>
        <w:tc>
          <w:tcPr>
            <w:tcW w:type="dxa" w:w="4873"/>
          </w:tcPr>
          <w:p>
            <w:r/>
            <w:r>
              <w:rPr>
                <w:b w:val="0"/>
                <w:i w:val="0"/>
                <w:sz w:val="18"/>
              </w:rPr>
              <w:t>Scénarios alternatifs</w:t>
            </w:r>
          </w:p>
        </w:tc>
        <w:tc>
          <w:tcPr>
            <w:tcW w:type="dxa" w:w="4873"/>
          </w:tcPr>
          <w:p>
            <w:r/>
            <w:r>
              <w:rPr>
                <w:b w:val="0"/>
                <w:i w:val="0"/>
                <w:sz w:val="18"/>
              </w:rPr>
              <w:t>2a. Clé absente, invalide ou révoquée : refus (401 ou 403). 3a. Format non reconnu : refus (422). 4a. Opération déjà reçue : renvoi de la décision d'origine (RG-03). 5a. Service de notation indisponible : application de la politique de repli (BT-03).</w:t>
            </w:r>
          </w:p>
        </w:tc>
      </w:tr>
      <w:tr>
        <w:tc>
          <w:tcPr>
            <w:tcW w:type="dxa" w:w="4873"/>
          </w:tcPr>
          <w:p>
            <w:r/>
            <w:r>
              <w:rPr>
                <w:b w:val="0"/>
                <w:i w:val="0"/>
                <w:sz w:val="18"/>
              </w:rPr>
              <w:t>Postconditions</w:t>
            </w:r>
          </w:p>
        </w:tc>
        <w:tc>
          <w:tcPr>
            <w:tcW w:type="dxa" w:w="4873"/>
          </w:tcPr>
          <w:p>
            <w:r/>
            <w:r>
              <w:rPr>
                <w:b w:val="0"/>
                <w:i w:val="0"/>
                <w:sz w:val="18"/>
              </w:rPr>
              <w:t>L'opération et sa décision sont publiées dans le bus d'événements ; si la décision est VERIFY ou BLOCK, un dossier est ouvert (RG-12).</w:t>
            </w:r>
          </w:p>
        </w:tc>
      </w:tr>
      <w:tr>
        <w:tc>
          <w:tcPr>
            <w:tcW w:type="dxa" w:w="4873"/>
          </w:tcPr>
          <w:p>
            <w:r/>
            <w:r>
              <w:rPr>
                <w:b w:val="0"/>
                <w:i w:val="0"/>
                <w:sz w:val="18"/>
              </w:rPr>
              <w:t>Exigences liées</w:t>
            </w:r>
          </w:p>
        </w:tc>
        <w:tc>
          <w:tcPr>
            <w:tcW w:type="dxa" w:w="4873"/>
          </w:tcPr>
          <w:p>
            <w:r/>
            <w:r>
              <w:rPr>
                <w:b w:val="0"/>
                <w:i w:val="0"/>
                <w:sz w:val="18"/>
              </w:rPr>
              <w:t>BM-01 à BM-06, BM-11 ; BT-01, BT-04, BT-06, BT-20</w:t>
            </w:r>
          </w:p>
        </w:tc>
      </w:tr>
    </w:tbl>
    <w:p/>
    <w:p>
      <w:pPr>
        <w:spacing w:after="120"/>
      </w:pPr>
      <w:r>
        <w:rPr>
          <w:b/>
          <w:i w:val="0"/>
        </w:rPr>
        <w:t>Cas n° 2 — Traiter un dossier d'alerte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Rubrique</w:t>
            </w:r>
          </w:p>
        </w:tc>
        <w:tc>
          <w:tcPr>
            <w:tcW w:type="dxa" w:w="4873"/>
            <w:shd w:val="clear" w:color="auto" w:fill="DCE6F7"/>
          </w:tcPr>
          <w:p>
            <w:r/>
            <w:r>
              <w:rPr>
                <w:b/>
                <w:i w:val="0"/>
                <w:sz w:val="18"/>
              </w:rPr>
              <w:t>Description</w:t>
            </w:r>
          </w:p>
        </w:tc>
      </w:tr>
      <w:tr>
        <w:tc>
          <w:tcPr>
            <w:tcW w:type="dxa" w:w="4873"/>
          </w:tcPr>
          <w:p>
            <w:r/>
            <w:r>
              <w:rPr>
                <w:b w:val="0"/>
                <w:i w:val="0"/>
                <w:sz w:val="18"/>
              </w:rPr>
              <w:t>Acteur principal</w:t>
            </w:r>
          </w:p>
        </w:tc>
        <w:tc>
          <w:tcPr>
            <w:tcW w:type="dxa" w:w="4873"/>
          </w:tcPr>
          <w:p>
            <w:r/>
            <w:r>
              <w:rPr>
                <w:b w:val="0"/>
                <w:i w:val="0"/>
                <w:sz w:val="18"/>
              </w:rPr>
              <w:t>Analyste anti-fraude (ou superviseur)</w:t>
            </w:r>
          </w:p>
        </w:tc>
      </w:tr>
      <w:tr>
        <w:tc>
          <w:tcPr>
            <w:tcW w:type="dxa" w:w="4873"/>
          </w:tcPr>
          <w:p>
            <w:r/>
            <w:r>
              <w:rPr>
                <w:b w:val="0"/>
                <w:i w:val="0"/>
                <w:sz w:val="18"/>
              </w:rPr>
              <w:t>Objectif</w:t>
            </w:r>
          </w:p>
        </w:tc>
        <w:tc>
          <w:tcPr>
            <w:tcW w:type="dxa" w:w="4873"/>
          </w:tcPr>
          <w:p>
            <w:r/>
            <w:r>
              <w:rPr>
                <w:b w:val="0"/>
                <w:i w:val="0"/>
                <w:sz w:val="18"/>
              </w:rPr>
              <w:t>Établir si une opération signalée est une fraude</w:t>
            </w:r>
          </w:p>
        </w:tc>
      </w:tr>
      <w:tr>
        <w:tc>
          <w:tcPr>
            <w:tcW w:type="dxa" w:w="4873"/>
          </w:tcPr>
          <w:p>
            <w:r/>
            <w:r>
              <w:rPr>
                <w:b w:val="0"/>
                <w:i w:val="0"/>
                <w:sz w:val="18"/>
              </w:rPr>
              <w:t>Préconditions</w:t>
            </w:r>
          </w:p>
        </w:tc>
        <w:tc>
          <w:tcPr>
            <w:tcW w:type="dxa" w:w="4873"/>
          </w:tcPr>
          <w:p>
            <w:r/>
            <w:r>
              <w:rPr>
                <w:b w:val="0"/>
                <w:i w:val="0"/>
                <w:sz w:val="18"/>
              </w:rPr>
              <w:t>L'analyste est authentifié ; au moins un dossier est ouvert</w:t>
            </w:r>
          </w:p>
        </w:tc>
      </w:tr>
      <w:tr>
        <w:tc>
          <w:tcPr>
            <w:tcW w:type="dxa" w:w="4873"/>
          </w:tcPr>
          <w:p>
            <w:r/>
            <w:r>
              <w:rPr>
                <w:b w:val="0"/>
                <w:i w:val="0"/>
                <w:sz w:val="18"/>
              </w:rPr>
              <w:t>Scénario nominal</w:t>
            </w:r>
          </w:p>
        </w:tc>
        <w:tc>
          <w:tcPr>
            <w:tcW w:type="dxa" w:w="4873"/>
          </w:tcPr>
          <w:p>
            <w:r/>
            <w:r>
              <w:rPr>
                <w:b w:val="0"/>
                <w:i w:val="0"/>
                <w:sz w:val="18"/>
              </w:rPr>
              <w:t>1. L'analyste consulte la file des dossiers, triée par niveau de risque puis par montant. 2. Il ouvre un dossier, qui passe au statut EN_COURS et lui est affecté. 3. Il consulte l'explication : variables déterminantes, contribution de chaque composante du modèle, lois physiques, historique récent, cas passés similaires et procédure recommandée pour le type de fraude. 4. Il rend son verdict (FRAUDE_CONFIRMEE ou FAUX_POSITIF) avec une note de résolution. 5. Le système enregistre l'étiquette et journalise l'action.</w:t>
            </w:r>
          </w:p>
        </w:tc>
      </w:tr>
      <w:tr>
        <w:tc>
          <w:tcPr>
            <w:tcW w:type="dxa" w:w="4873"/>
          </w:tcPr>
          <w:p>
            <w:r/>
            <w:r>
              <w:rPr>
                <w:b w:val="0"/>
                <w:i w:val="0"/>
                <w:sz w:val="18"/>
              </w:rPr>
              <w:t>Scénarios alternatifs</w:t>
            </w:r>
          </w:p>
        </w:tc>
        <w:tc>
          <w:tcPr>
            <w:tcW w:type="dxa" w:w="4873"/>
          </w:tcPr>
          <w:p>
            <w:r/>
            <w:r>
              <w:rPr>
                <w:b w:val="0"/>
                <w:i w:val="0"/>
                <w:sz w:val="18"/>
              </w:rPr>
              <w:t>4a. Note absente : le système refuse la clôture (RG-13). 2a. Le superviseur réaffecte le dossier à un autre analyste (RG-14). 2b. L'analyste remet le dossier en file (retour à OUVERT).</w:t>
            </w:r>
          </w:p>
        </w:tc>
      </w:tr>
      <w:tr>
        <w:tc>
          <w:tcPr>
            <w:tcW w:type="dxa" w:w="4873"/>
          </w:tcPr>
          <w:p>
            <w:r/>
            <w:r>
              <w:rPr>
                <w:b w:val="0"/>
                <w:i w:val="0"/>
                <w:sz w:val="18"/>
              </w:rPr>
              <w:t>Postconditions</w:t>
            </w:r>
          </w:p>
        </w:tc>
        <w:tc>
          <w:tcPr>
            <w:tcW w:type="dxa" w:w="4873"/>
          </w:tcPr>
          <w:p>
            <w:r/>
            <w:r>
              <w:rPr>
                <w:b w:val="0"/>
                <w:i w:val="0"/>
                <w:sz w:val="18"/>
              </w:rPr>
              <w:t>Le dossier est clos ; l'étiquette est disponible pour le réentraînement ; l'action figure au journal d'audit.</w:t>
            </w:r>
          </w:p>
        </w:tc>
      </w:tr>
      <w:tr>
        <w:tc>
          <w:tcPr>
            <w:tcW w:type="dxa" w:w="4873"/>
          </w:tcPr>
          <w:p>
            <w:r/>
            <w:r>
              <w:rPr>
                <w:b w:val="0"/>
                <w:i w:val="0"/>
                <w:sz w:val="18"/>
              </w:rPr>
              <w:t>Exigences liées</w:t>
            </w:r>
          </w:p>
        </w:tc>
        <w:tc>
          <w:tcPr>
            <w:tcW w:type="dxa" w:w="4873"/>
          </w:tcPr>
          <w:p>
            <w:r/>
            <w:r>
              <w:rPr>
                <w:b w:val="0"/>
                <w:i w:val="0"/>
                <w:sz w:val="18"/>
              </w:rPr>
              <w:t>BM-06, BM-07, BM-15, BM-17</w:t>
            </w:r>
          </w:p>
        </w:tc>
      </w:tr>
    </w:tbl>
    <w:p/>
    <w:p>
      <w:pPr>
        <w:spacing w:after="120"/>
      </w:pPr>
      <w:r>
        <w:rPr>
          <w:b/>
          <w:i w:val="0"/>
        </w:rPr>
        <w:t>Cas n° 3 — Enregistrer une plainte client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Rubrique</w:t>
            </w:r>
          </w:p>
        </w:tc>
        <w:tc>
          <w:tcPr>
            <w:tcW w:type="dxa" w:w="4873"/>
            <w:shd w:val="clear" w:color="auto" w:fill="DCE6F7"/>
          </w:tcPr>
          <w:p>
            <w:r/>
            <w:r>
              <w:rPr>
                <w:b/>
                <w:i w:val="0"/>
                <w:sz w:val="18"/>
              </w:rPr>
              <w:t>Description</w:t>
            </w:r>
          </w:p>
        </w:tc>
      </w:tr>
      <w:tr>
        <w:tc>
          <w:tcPr>
            <w:tcW w:type="dxa" w:w="4873"/>
          </w:tcPr>
          <w:p>
            <w:r/>
            <w:r>
              <w:rPr>
                <w:b w:val="0"/>
                <w:i w:val="0"/>
                <w:sz w:val="18"/>
              </w:rPr>
              <w:t>Acteur principal</w:t>
            </w:r>
          </w:p>
        </w:tc>
        <w:tc>
          <w:tcPr>
            <w:tcW w:type="dxa" w:w="4873"/>
          </w:tcPr>
          <w:p>
            <w:r/>
            <w:r>
              <w:rPr>
                <w:b w:val="0"/>
                <w:i w:val="0"/>
                <w:sz w:val="18"/>
              </w:rPr>
              <w:t>Analyste anti-fraude</w:t>
            </w:r>
          </w:p>
        </w:tc>
      </w:tr>
      <w:tr>
        <w:tc>
          <w:tcPr>
            <w:tcW w:type="dxa" w:w="4873"/>
          </w:tcPr>
          <w:p>
            <w:r/>
            <w:r>
              <w:rPr>
                <w:b w:val="0"/>
                <w:i w:val="0"/>
                <w:sz w:val="18"/>
              </w:rPr>
              <w:t>Objectif</w:t>
            </w:r>
          </w:p>
        </w:tc>
        <w:tc>
          <w:tcPr>
            <w:tcW w:type="dxa" w:w="4873"/>
          </w:tcPr>
          <w:p>
            <w:r/>
            <w:r>
              <w:rPr>
                <w:b w:val="0"/>
                <w:i w:val="0"/>
                <w:sz w:val="18"/>
              </w:rPr>
              <w:t>Prendre en compte une fraude que le système a laissé passer</w:t>
            </w:r>
          </w:p>
        </w:tc>
      </w:tr>
      <w:tr>
        <w:tc>
          <w:tcPr>
            <w:tcW w:type="dxa" w:w="4873"/>
          </w:tcPr>
          <w:p>
            <w:r/>
            <w:r>
              <w:rPr>
                <w:b w:val="0"/>
                <w:i w:val="0"/>
                <w:sz w:val="18"/>
              </w:rPr>
              <w:t>Scénario nominal</w:t>
            </w:r>
          </w:p>
        </w:tc>
        <w:tc>
          <w:tcPr>
            <w:tcW w:type="dxa" w:w="4873"/>
          </w:tcPr>
          <w:p>
            <w:r/>
            <w:r>
              <w:rPr>
                <w:b w:val="0"/>
                <w:i w:val="0"/>
                <w:sz w:val="18"/>
              </w:rPr>
              <w:t>1. L'analyste recherche l'opération contestée. 2. Il saisit la plainte. 3. Le système analyse le texte de la plainte et en déduit, si possible, une typologie (par exemple « ingénierie sociale » si la plainte décrit une manipulation). 4. Le dossier est créé ou clos en FRAUDE_CONFIRMEE (RG-15).</w:t>
            </w:r>
          </w:p>
        </w:tc>
      </w:tr>
      <w:tr>
        <w:tc>
          <w:tcPr>
            <w:tcW w:type="dxa" w:w="4873"/>
          </w:tcPr>
          <w:p>
            <w:r/>
            <w:r>
              <w:rPr>
                <w:b w:val="0"/>
                <w:i w:val="0"/>
                <w:sz w:val="18"/>
              </w:rPr>
              <w:t>Postconditions</w:t>
            </w:r>
          </w:p>
        </w:tc>
        <w:tc>
          <w:tcPr>
            <w:tcW w:type="dxa" w:w="4873"/>
          </w:tcPr>
          <w:p>
            <w:r/>
            <w:r>
              <w:rPr>
                <w:b w:val="0"/>
                <w:i w:val="0"/>
                <w:sz w:val="18"/>
              </w:rPr>
              <w:t>L'étiquette « fraude » est enregistrée ; elle compte parmi les signaux de réentraînement.</w:t>
            </w:r>
          </w:p>
        </w:tc>
      </w:tr>
      <w:tr>
        <w:tc>
          <w:tcPr>
            <w:tcW w:type="dxa" w:w="4873"/>
          </w:tcPr>
          <w:p>
            <w:r/>
            <w:r>
              <w:rPr>
                <w:b w:val="0"/>
                <w:i w:val="0"/>
                <w:sz w:val="18"/>
              </w:rPr>
              <w:t>Exigences liées</w:t>
            </w:r>
          </w:p>
        </w:tc>
        <w:tc>
          <w:tcPr>
            <w:tcW w:type="dxa" w:w="4873"/>
          </w:tcPr>
          <w:p>
            <w:r/>
            <w:r>
              <w:rPr>
                <w:b w:val="0"/>
                <w:i w:val="0"/>
                <w:sz w:val="18"/>
              </w:rPr>
              <w:t>BM-09, BM-10, BM-15</w:t>
            </w:r>
          </w:p>
        </w:tc>
      </w:tr>
    </w:tbl>
    <w:p/>
    <w:p>
      <w:pPr>
        <w:spacing w:after="120"/>
      </w:pPr>
      <w:r>
        <w:rPr>
          <w:b/>
          <w:i w:val="0"/>
        </w:rPr>
        <w:t>Cas n° 4 — Signaler une fraude constatée (API)</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Rubrique</w:t>
            </w:r>
          </w:p>
        </w:tc>
        <w:tc>
          <w:tcPr>
            <w:tcW w:type="dxa" w:w="4873"/>
            <w:shd w:val="clear" w:color="auto" w:fill="DCE6F7"/>
          </w:tcPr>
          <w:p>
            <w:r/>
            <w:r>
              <w:rPr>
                <w:b/>
                <w:i w:val="0"/>
                <w:sz w:val="18"/>
              </w:rPr>
              <w:t>Description</w:t>
            </w:r>
          </w:p>
        </w:tc>
      </w:tr>
      <w:tr>
        <w:tc>
          <w:tcPr>
            <w:tcW w:type="dxa" w:w="4873"/>
          </w:tcPr>
          <w:p>
            <w:r/>
            <w:r>
              <w:rPr>
                <w:b w:val="0"/>
                <w:i w:val="0"/>
                <w:sz w:val="18"/>
              </w:rPr>
              <w:t>Acteur principal</w:t>
            </w:r>
          </w:p>
        </w:tc>
        <w:tc>
          <w:tcPr>
            <w:tcW w:type="dxa" w:w="4873"/>
          </w:tcPr>
          <w:p>
            <w:r/>
            <w:r>
              <w:rPr>
                <w:b w:val="0"/>
                <w:i w:val="0"/>
                <w:sz w:val="18"/>
              </w:rPr>
              <w:t>Institution partenaire</w:t>
            </w:r>
          </w:p>
        </w:tc>
      </w:tr>
      <w:tr>
        <w:tc>
          <w:tcPr>
            <w:tcW w:type="dxa" w:w="4873"/>
          </w:tcPr>
          <w:p>
            <w:r/>
            <w:r>
              <w:rPr>
                <w:b w:val="0"/>
                <w:i w:val="0"/>
                <w:sz w:val="18"/>
              </w:rPr>
              <w:t>Préconditions</w:t>
            </w:r>
          </w:p>
        </w:tc>
        <w:tc>
          <w:tcPr>
            <w:tcW w:type="dxa" w:w="4873"/>
          </w:tcPr>
          <w:p>
            <w:r/>
            <w:r>
              <w:rPr>
                <w:b w:val="0"/>
                <w:i w:val="0"/>
                <w:sz w:val="18"/>
              </w:rPr>
              <w:t>Clé d'API avec le droit « feedback » ; l'opération appartient à l'institution</w:t>
            </w:r>
          </w:p>
        </w:tc>
      </w:tr>
      <w:tr>
        <w:tc>
          <w:tcPr>
            <w:tcW w:type="dxa" w:w="4873"/>
          </w:tcPr>
          <w:p>
            <w:r/>
            <w:r>
              <w:rPr>
                <w:b w:val="0"/>
                <w:i w:val="0"/>
                <w:sz w:val="18"/>
              </w:rPr>
              <w:t>Scénario nominal</w:t>
            </w:r>
          </w:p>
        </w:tc>
        <w:tc>
          <w:tcPr>
            <w:tcW w:type="dxa" w:w="4873"/>
          </w:tcPr>
          <w:p>
            <w:r/>
            <w:r>
              <w:rPr>
                <w:b w:val="0"/>
                <w:i w:val="0"/>
                <w:sz w:val="18"/>
              </w:rPr>
              <w:t>1. L'institution envoie l'identifiant de l'opération et son verdict (fraude constatée ou fausse alerte). 2. Le système vérifie que l'opération lui appartient. 3. Il clôt ou crée le dossier correspondant et enregistre l'étiquette. 4. Il journalise le retour.</w:t>
            </w:r>
          </w:p>
        </w:tc>
      </w:tr>
      <w:tr>
        <w:tc>
          <w:tcPr>
            <w:tcW w:type="dxa" w:w="4873"/>
          </w:tcPr>
          <w:p>
            <w:r/>
            <w:r>
              <w:rPr>
                <w:b w:val="0"/>
                <w:i w:val="0"/>
                <w:sz w:val="18"/>
              </w:rPr>
              <w:t>Scénario alternatif</w:t>
            </w:r>
          </w:p>
        </w:tc>
        <w:tc>
          <w:tcPr>
            <w:tcW w:type="dxa" w:w="4873"/>
          </w:tcPr>
          <w:p>
            <w:r/>
            <w:r>
              <w:rPr>
                <w:b w:val="0"/>
                <w:i w:val="0"/>
                <w:sz w:val="18"/>
              </w:rPr>
              <w:t>2a. Opération inconnue ou appartenant à une autre institution : même réponse 404 dans les deux cas, pour ne rien révéler (RG-17).</w:t>
            </w:r>
          </w:p>
        </w:tc>
      </w:tr>
      <w:tr>
        <w:tc>
          <w:tcPr>
            <w:tcW w:type="dxa" w:w="4873"/>
          </w:tcPr>
          <w:p>
            <w:r/>
            <w:r>
              <w:rPr>
                <w:b w:val="0"/>
                <w:i w:val="0"/>
                <w:sz w:val="18"/>
              </w:rPr>
              <w:t>Exigences liées</w:t>
            </w:r>
          </w:p>
        </w:tc>
        <w:tc>
          <w:tcPr>
            <w:tcW w:type="dxa" w:w="4873"/>
          </w:tcPr>
          <w:p>
            <w:r/>
            <w:r>
              <w:rPr>
                <w:b w:val="0"/>
                <w:i w:val="0"/>
                <w:sz w:val="18"/>
              </w:rPr>
              <w:t>BM-19, BM-15, BT-23</w:t>
            </w:r>
          </w:p>
        </w:tc>
      </w:tr>
    </w:tbl>
    <w:p/>
    <w:p>
      <w:pPr>
        <w:spacing w:after="120"/>
      </w:pPr>
      <w:r>
        <w:rPr>
          <w:b/>
          <w:i w:val="0"/>
        </w:rPr>
        <w:t>Cas n° 5 — Déclencher le réentraînement du modèle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Rubrique</w:t>
            </w:r>
          </w:p>
        </w:tc>
        <w:tc>
          <w:tcPr>
            <w:tcW w:type="dxa" w:w="4873"/>
            <w:shd w:val="clear" w:color="auto" w:fill="DCE6F7"/>
          </w:tcPr>
          <w:p>
            <w:r/>
            <w:r>
              <w:rPr>
                <w:b/>
                <w:i w:val="0"/>
                <w:sz w:val="18"/>
              </w:rPr>
              <w:t>Description</w:t>
            </w:r>
          </w:p>
        </w:tc>
      </w:tr>
      <w:tr>
        <w:tc>
          <w:tcPr>
            <w:tcW w:type="dxa" w:w="4873"/>
          </w:tcPr>
          <w:p>
            <w:r/>
            <w:r>
              <w:rPr>
                <w:b w:val="0"/>
                <w:i w:val="0"/>
                <w:sz w:val="18"/>
              </w:rPr>
              <w:t>Acteur principal</w:t>
            </w:r>
          </w:p>
        </w:tc>
        <w:tc>
          <w:tcPr>
            <w:tcW w:type="dxa" w:w="4873"/>
          </w:tcPr>
          <w:p>
            <w:r/>
            <w:r>
              <w:rPr>
                <w:b w:val="0"/>
                <w:i w:val="0"/>
                <w:sz w:val="18"/>
              </w:rPr>
              <w:t>Superviseur (déclenchement manuel) ou planificateur (déclenchement automatique)</w:t>
            </w:r>
          </w:p>
        </w:tc>
      </w:tr>
      <w:tr>
        <w:tc>
          <w:tcPr>
            <w:tcW w:type="dxa" w:w="4873"/>
          </w:tcPr>
          <w:p>
            <w:r/>
            <w:r>
              <w:rPr>
                <w:b w:val="0"/>
                <w:i w:val="0"/>
                <w:sz w:val="18"/>
              </w:rPr>
              <w:t>Objectif</w:t>
            </w:r>
          </w:p>
        </w:tc>
        <w:tc>
          <w:tcPr>
            <w:tcW w:type="dxa" w:w="4873"/>
          </w:tcPr>
          <w:p>
            <w:r/>
            <w:r>
              <w:rPr>
                <w:b w:val="0"/>
                <w:i w:val="0"/>
                <w:sz w:val="18"/>
              </w:rPr>
              <w:t>Adapter le modèle aux fraudes nouvelles</w:t>
            </w:r>
          </w:p>
        </w:tc>
      </w:tr>
      <w:tr>
        <w:tc>
          <w:tcPr>
            <w:tcW w:type="dxa" w:w="4873"/>
          </w:tcPr>
          <w:p>
            <w:r/>
            <w:r>
              <w:rPr>
                <w:b w:val="0"/>
                <w:i w:val="0"/>
                <w:sz w:val="18"/>
              </w:rPr>
              <w:t>Scénario nominal</w:t>
            </w:r>
          </w:p>
        </w:tc>
        <w:tc>
          <w:tcPr>
            <w:tcW w:type="dxa" w:w="4873"/>
          </w:tcPr>
          <w:p>
            <w:r/>
            <w:r>
              <w:rPr>
                <w:b w:val="0"/>
                <w:i w:val="0"/>
                <w:sz w:val="18"/>
              </w:rPr>
              <w:t>1. Un signal est constaté : nouvelles étiquettes, dérive des données, comportements nouveaux, ou demande du superviseur. 2. Le planificateur vérifie le délai de carence. 3. Un modèle candidat (</w:t>
            </w:r>
            <w:r>
              <w:rPr>
                <w:b w:val="0"/>
                <w:i/>
                <w:sz w:val="18"/>
              </w:rPr>
              <w:t>challenger</w:t>
            </w:r>
            <w:r>
              <w:rPr>
                <w:b w:val="0"/>
                <w:i w:val="0"/>
                <w:sz w:val="18"/>
              </w:rPr>
              <w:t>) est entraîné. 4. Il est soumis aux contrôles de qualité. 5. S'il est meilleur que le modèle en service (</w:t>
            </w:r>
            <w:r>
              <w:rPr>
                <w:b w:val="0"/>
                <w:i/>
                <w:sz w:val="18"/>
              </w:rPr>
              <w:t>champion</w:t>
            </w:r>
            <w:r>
              <w:rPr>
                <w:b w:val="0"/>
                <w:i w:val="0"/>
                <w:sz w:val="18"/>
              </w:rPr>
              <w:t>), il est promu et chargé à chaud.</w:t>
            </w:r>
          </w:p>
        </w:tc>
      </w:tr>
      <w:tr>
        <w:tc>
          <w:tcPr>
            <w:tcW w:type="dxa" w:w="4873"/>
          </w:tcPr>
          <w:p>
            <w:r/>
            <w:r>
              <w:rPr>
                <w:b w:val="0"/>
                <w:i w:val="0"/>
                <w:sz w:val="18"/>
              </w:rPr>
              <w:t>Scénarios alternatifs</w:t>
            </w:r>
          </w:p>
        </w:tc>
        <w:tc>
          <w:tcPr>
            <w:tcW w:type="dxa" w:w="4873"/>
          </w:tcPr>
          <w:p>
            <w:r/>
            <w:r>
              <w:rPr>
                <w:b w:val="0"/>
                <w:i w:val="0"/>
                <w:sz w:val="18"/>
              </w:rPr>
              <w:t>4a. Échec d'un contrôle : le candidat est rejeté et une alerte est levée ; le champion reste en service (RG-18).</w:t>
            </w:r>
          </w:p>
        </w:tc>
      </w:tr>
      <w:tr>
        <w:tc>
          <w:tcPr>
            <w:tcW w:type="dxa" w:w="4873"/>
          </w:tcPr>
          <w:p>
            <w:r/>
            <w:r>
              <w:rPr>
                <w:b w:val="0"/>
                <w:i w:val="0"/>
                <w:sz w:val="18"/>
              </w:rPr>
              <w:t>Exigences liées</w:t>
            </w:r>
          </w:p>
        </w:tc>
        <w:tc>
          <w:tcPr>
            <w:tcW w:type="dxa" w:w="4873"/>
          </w:tcPr>
          <w:p>
            <w:r/>
            <w:r>
              <w:rPr>
                <w:b w:val="0"/>
                <w:i w:val="0"/>
                <w:sz w:val="18"/>
              </w:rPr>
              <w:t>BM-15, BM-16, BT-16, BT-17</w:t>
            </w:r>
          </w:p>
        </w:tc>
      </w:tr>
    </w:tbl>
    <w:p/>
    <w:p>
      <w:pPr>
        <w:pStyle w:val="Heading3"/>
      </w:pPr>
      <w:r>
        <w:t>II.1.12 Priorisation des besoins</w:t>
      </w:r>
    </w:p>
    <w:p>
      <w:pPr>
        <w:spacing w:after="120"/>
      </w:pPr>
      <w:r>
        <w:rPr>
          <w:b w:val="0"/>
          <w:i w:val="0"/>
        </w:rPr>
        <w:t xml:space="preserve">Les besoins ont été priorisés par la méthode </w:t>
      </w:r>
      <w:r>
        <w:rPr>
          <w:b/>
          <w:i w:val="0"/>
        </w:rPr>
        <w:t>MoSCoW</w:t>
      </w:r>
      <w:r>
        <w:rPr>
          <w:b w:val="0"/>
          <w:i w:val="0"/>
        </w:rPr>
        <w:t>, qui distingue l'indispensable du souhaitable. Cette priorisation a guidé l'ordre de réalisation.</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Priorité</w:t>
            </w:r>
          </w:p>
        </w:tc>
        <w:tc>
          <w:tcPr>
            <w:tcW w:type="dxa" w:w="4873"/>
            <w:shd w:val="clear" w:color="auto" w:fill="DCE6F7"/>
          </w:tcPr>
          <w:p>
            <w:r/>
            <w:r>
              <w:rPr>
                <w:b/>
                <w:i w:val="0"/>
                <w:sz w:val="18"/>
              </w:rPr>
              <w:t>Besoins</w:t>
            </w:r>
          </w:p>
        </w:tc>
      </w:tr>
      <w:tr>
        <w:tc>
          <w:tcPr>
            <w:tcW w:type="dxa" w:w="4873"/>
          </w:tcPr>
          <w:p>
            <w:r/>
            <w:r>
              <w:rPr>
                <w:b/>
                <w:i w:val="0"/>
                <w:sz w:val="18"/>
              </w:rPr>
              <w:t>Indispensable</w:t>
            </w:r>
            <w:r>
              <w:rPr>
                <w:b w:val="0"/>
                <w:i w:val="0"/>
                <w:sz w:val="18"/>
              </w:rPr>
              <w:t xml:space="preserve"> (</w:t>
            </w:r>
            <w:r>
              <w:rPr>
                <w:b w:val="0"/>
                <w:i/>
                <w:sz w:val="18"/>
              </w:rPr>
              <w:t>Must</w:t>
            </w:r>
            <w:r>
              <w:rPr>
                <w:b w:val="0"/>
                <w:i w:val="0"/>
                <w:sz w:val="18"/>
              </w:rPr>
              <w:t>)</w:t>
            </w:r>
          </w:p>
        </w:tc>
        <w:tc>
          <w:tcPr>
            <w:tcW w:type="dxa" w:w="4873"/>
          </w:tcPr>
          <w:p>
            <w:r/>
            <w:r>
              <w:rPr>
                <w:b w:val="0"/>
                <w:i w:val="0"/>
                <w:sz w:val="18"/>
              </w:rPr>
              <w:t>BM-01, BM-02, BM-03, BM-04, BM-06, BM-17, BT-01, BT-11, BT-13, BT-21, BT-22</w:t>
            </w:r>
          </w:p>
        </w:tc>
      </w:tr>
      <w:tr>
        <w:tc>
          <w:tcPr>
            <w:tcW w:type="dxa" w:w="4873"/>
          </w:tcPr>
          <w:p>
            <w:r/>
            <w:r>
              <w:rPr>
                <w:b/>
                <w:i w:val="0"/>
                <w:sz w:val="18"/>
              </w:rPr>
              <w:t>Important</w:t>
            </w:r>
            <w:r>
              <w:rPr>
                <w:b w:val="0"/>
                <w:i w:val="0"/>
                <w:sz w:val="18"/>
              </w:rPr>
              <w:t xml:space="preserve"> (</w:t>
            </w:r>
            <w:r>
              <w:rPr>
                <w:b w:val="0"/>
                <w:i/>
                <w:sz w:val="18"/>
              </w:rPr>
              <w:t>Should</w:t>
            </w:r>
            <w:r>
              <w:rPr>
                <w:b w:val="0"/>
                <w:i w:val="0"/>
                <w:sz w:val="18"/>
              </w:rPr>
              <w:t>)</w:t>
            </w:r>
          </w:p>
        </w:tc>
        <w:tc>
          <w:tcPr>
            <w:tcW w:type="dxa" w:w="4873"/>
          </w:tcPr>
          <w:p>
            <w:r/>
            <w:r>
              <w:rPr>
                <w:b w:val="0"/>
                <w:i w:val="0"/>
                <w:sz w:val="18"/>
              </w:rPr>
              <w:t>BM-05, BM-07, BM-08, BM-09, BM-11, BM-15, BM-19, BM-21, BT-03, BT-04, BT-16, BT-17, BT-20</w:t>
            </w:r>
          </w:p>
        </w:tc>
      </w:tr>
      <w:tr>
        <w:tc>
          <w:tcPr>
            <w:tcW w:type="dxa" w:w="4873"/>
          </w:tcPr>
          <w:p>
            <w:r/>
            <w:r>
              <w:rPr>
                <w:b/>
                <w:i w:val="0"/>
                <w:sz w:val="18"/>
              </w:rPr>
              <w:t>Souhaitable</w:t>
            </w:r>
            <w:r>
              <w:rPr>
                <w:b w:val="0"/>
                <w:i w:val="0"/>
                <w:sz w:val="18"/>
              </w:rPr>
              <w:t xml:space="preserve"> (</w:t>
            </w:r>
            <w:r>
              <w:rPr>
                <w:b w:val="0"/>
                <w:i/>
                <w:sz w:val="18"/>
              </w:rPr>
              <w:t>Could</w:t>
            </w:r>
            <w:r>
              <w:rPr>
                <w:b w:val="0"/>
                <w:i w:val="0"/>
                <w:sz w:val="18"/>
              </w:rPr>
              <w:t>)</w:t>
            </w:r>
          </w:p>
        </w:tc>
        <w:tc>
          <w:tcPr>
            <w:tcW w:type="dxa" w:w="4873"/>
          </w:tcPr>
          <w:p>
            <w:r/>
            <w:r>
              <w:rPr>
                <w:b w:val="0"/>
                <w:i w:val="0"/>
                <w:sz w:val="18"/>
              </w:rPr>
              <w:t>BM-10, BM-12, BM-13, BM-14, BM-16, BM-20, BT-19, BT-25</w:t>
            </w:r>
          </w:p>
        </w:tc>
      </w:tr>
      <w:tr>
        <w:tc>
          <w:tcPr>
            <w:tcW w:type="dxa" w:w="4873"/>
          </w:tcPr>
          <w:p>
            <w:r/>
            <w:r>
              <w:rPr>
                <w:b/>
                <w:i w:val="0"/>
                <w:sz w:val="18"/>
              </w:rPr>
              <w:t>Hors périmètre</w:t>
            </w:r>
            <w:r>
              <w:rPr>
                <w:b w:val="0"/>
                <w:i w:val="0"/>
                <w:sz w:val="18"/>
              </w:rPr>
              <w:t xml:space="preserve"> (</w:t>
            </w:r>
            <w:r>
              <w:rPr>
                <w:b w:val="0"/>
                <w:i/>
                <w:sz w:val="18"/>
              </w:rPr>
              <w:t>Won't</w:t>
            </w:r>
            <w:r>
              <w:rPr>
                <w:b w:val="0"/>
                <w:i w:val="0"/>
                <w:sz w:val="18"/>
              </w:rPr>
              <w:t>, pour l'instant)</w:t>
            </w:r>
          </w:p>
        </w:tc>
        <w:tc>
          <w:tcPr>
            <w:tcW w:type="dxa" w:w="4873"/>
          </w:tcPr>
          <w:p>
            <w:r/>
            <w:r>
              <w:rPr>
                <w:b w:val="0"/>
                <w:i w:val="0"/>
                <w:sz w:val="18"/>
              </w:rPr>
              <w:t>Raccordement aux systèmes réels des opérateurs ; validation sur données réelles ; analyse de messages en lingala et en swahili</w:t>
            </w:r>
          </w:p>
        </w:tc>
      </w:tr>
    </w:tbl>
    <w:p/>
    <w:p>
      <w:pPr>
        <w:spacing w:after="120"/>
      </w:pPr>
      <w:r>
        <w:rPr>
          <w:b w:val="0"/>
          <w:i/>
        </w:rPr>
        <w:t>Tableau II.9 — Priorisation MoSCoW.</w:t>
      </w:r>
    </w:p>
    <w:p>
      <w:pPr>
        <w:pStyle w:val="Heading3"/>
      </w:pPr>
      <w:r>
        <w:t>II.1.13 Traçabilité entre besoins et hypothèses</w:t>
      </w:r>
    </w:p>
    <w:p>
      <w:pPr>
        <w:spacing w:after="120"/>
      </w:pPr>
      <w:r>
        <w:rPr>
          <w:b w:val="0"/>
          <w:i w:val="0"/>
        </w:rPr>
        <w:t>Le tableau suivant relie chaque hypothèse de recherche aux besoins qui permettent de l'éprouver. Il garantit que le système construit sert bien la question de recherche, et non l'inverse.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Hypothèse</w:t>
            </w:r>
          </w:p>
        </w:tc>
        <w:tc>
          <w:tcPr>
            <w:tcW w:type="dxa" w:w="4873"/>
            <w:shd w:val="clear" w:color="auto" w:fill="DCE6F7"/>
          </w:tcPr>
          <w:p>
            <w:r/>
            <w:r>
              <w:rPr>
                <w:b/>
                <w:i w:val="0"/>
                <w:sz w:val="18"/>
              </w:rPr>
              <w:t>Besoins concernés</w:t>
            </w:r>
          </w:p>
        </w:tc>
      </w:tr>
      <w:tr>
        <w:tc>
          <w:tcPr>
            <w:tcW w:type="dxa" w:w="4873"/>
          </w:tcPr>
          <w:p>
            <w:r/>
            <w:r>
              <w:rPr>
                <w:b w:val="0"/>
                <w:i w:val="0"/>
                <w:sz w:val="18"/>
              </w:rPr>
              <w:t>H1</w:t>
            </w:r>
          </w:p>
        </w:tc>
        <w:tc>
          <w:tcPr>
            <w:tcW w:type="dxa" w:w="4873"/>
          </w:tcPr>
          <w:p>
            <w:r/>
            <w:r>
              <w:rPr>
                <w:b w:val="0"/>
                <w:i w:val="0"/>
                <w:sz w:val="18"/>
              </w:rPr>
              <w:t>BM-01, BM-02, BM-04</w:t>
            </w:r>
          </w:p>
        </w:tc>
      </w:tr>
      <w:tr>
        <w:tc>
          <w:tcPr>
            <w:tcW w:type="dxa" w:w="4873"/>
          </w:tcPr>
          <w:p>
            <w:r/>
            <w:r>
              <w:rPr>
                <w:b w:val="0"/>
                <w:i w:val="0"/>
                <w:sz w:val="18"/>
              </w:rPr>
              <w:t>H2</w:t>
            </w:r>
          </w:p>
        </w:tc>
        <w:tc>
          <w:tcPr>
            <w:tcW w:type="dxa" w:w="4873"/>
          </w:tcPr>
          <w:p>
            <w:r/>
            <w:r>
              <w:rPr>
                <w:b w:val="0"/>
                <w:i w:val="0"/>
                <w:sz w:val="18"/>
              </w:rPr>
              <w:t>BM-02, BT-13</w:t>
            </w:r>
          </w:p>
        </w:tc>
      </w:tr>
      <w:tr>
        <w:tc>
          <w:tcPr>
            <w:tcW w:type="dxa" w:w="4873"/>
          </w:tcPr>
          <w:p>
            <w:r/>
            <w:r>
              <w:rPr>
                <w:b w:val="0"/>
                <w:i w:val="0"/>
                <w:sz w:val="18"/>
              </w:rPr>
              <w:t>H3</w:t>
            </w:r>
          </w:p>
        </w:tc>
        <w:tc>
          <w:tcPr>
            <w:tcW w:type="dxa" w:w="4873"/>
          </w:tcPr>
          <w:p>
            <w:r/>
            <w:r>
              <w:rPr>
                <w:b w:val="0"/>
                <w:i w:val="0"/>
                <w:sz w:val="18"/>
              </w:rPr>
              <w:t>BM-01, BT-12, BT-15</w:t>
            </w:r>
          </w:p>
        </w:tc>
      </w:tr>
      <w:tr>
        <w:tc>
          <w:tcPr>
            <w:tcW w:type="dxa" w:w="4873"/>
          </w:tcPr>
          <w:p>
            <w:r/>
            <w:r>
              <w:rPr>
                <w:b w:val="0"/>
                <w:i w:val="0"/>
                <w:sz w:val="18"/>
              </w:rPr>
              <w:t>H4</w:t>
            </w:r>
          </w:p>
        </w:tc>
        <w:tc>
          <w:tcPr>
            <w:tcW w:type="dxa" w:w="4873"/>
          </w:tcPr>
          <w:p>
            <w:r/>
            <w:r>
              <w:rPr>
                <w:b w:val="0"/>
                <w:i w:val="0"/>
                <w:sz w:val="18"/>
              </w:rPr>
              <w:t>BM-11, BM-12</w:t>
            </w:r>
          </w:p>
        </w:tc>
      </w:tr>
      <w:tr>
        <w:tc>
          <w:tcPr>
            <w:tcW w:type="dxa" w:w="4873"/>
          </w:tcPr>
          <w:p>
            <w:r/>
            <w:r>
              <w:rPr>
                <w:b w:val="0"/>
                <w:i w:val="0"/>
                <w:sz w:val="18"/>
              </w:rPr>
              <w:t>H5</w:t>
            </w:r>
          </w:p>
        </w:tc>
        <w:tc>
          <w:tcPr>
            <w:tcW w:type="dxa" w:w="4873"/>
          </w:tcPr>
          <w:p>
            <w:r/>
            <w:r>
              <w:rPr>
                <w:b w:val="0"/>
                <w:i w:val="0"/>
                <w:sz w:val="18"/>
              </w:rPr>
              <w:t>BM-15, BM-16, BM-19, BT-16, BT-17</w:t>
            </w:r>
          </w:p>
        </w:tc>
      </w:tr>
    </w:tbl>
    <w:p/>
    <w:p>
      <w:pPr>
        <w:spacing w:after="120"/>
      </w:pPr>
      <w:r>
        <w:rPr>
          <w:b w:val="0"/>
          <w:i/>
        </w:rPr>
        <w:t>Tableau II.10 — Traçabilité besoins / hypothèses.</w:t>
      </w:r>
    </w:p>
    <w:p>
      <w:r>
        <w:br w:type="page"/>
      </w:r>
    </w:p>
    <w:p>
      <w:pPr>
        <w:pStyle w:val="Heading2"/>
      </w:pPr>
      <w:r>
        <w:t>SECTION 2. MÉTHODOLOGIE</w:t>
      </w:r>
    </w:p>
    <w:p>
      <w:pPr>
        <w:pStyle w:val="Heading3"/>
      </w:pPr>
      <w:r>
        <w:t>II.2.1 Démarche de recherche</w:t>
      </w:r>
    </w:p>
    <w:p>
      <w:pPr>
        <w:spacing w:after="120"/>
      </w:pPr>
      <w:r>
        <w:rPr>
          <w:b w:val="0"/>
          <w:i w:val="0"/>
        </w:rPr>
        <w:t xml:space="preserve">Ce travail relève de la </w:t>
      </w:r>
      <w:r>
        <w:rPr>
          <w:b/>
          <w:i w:val="0"/>
        </w:rPr>
        <w:t>science de la conception</w:t>
      </w:r>
      <w:r>
        <w:rPr>
          <w:b w:val="0"/>
          <w:i w:val="0"/>
        </w:rPr>
        <w:t xml:space="preserve"> (</w:t>
      </w:r>
      <w:r>
        <w:rPr>
          <w:b w:val="0"/>
          <w:i/>
        </w:rPr>
        <w:t>Design Science Research</w:t>
      </w:r>
      <w:r>
        <w:rPr>
          <w:b w:val="0"/>
          <w:i w:val="0"/>
        </w:rPr>
        <w:t xml:space="preserve">, Hevner et al., 2004). Cette démarche convient aux recherches dont le résultat est un </w:t>
      </w:r>
      <w:r>
        <w:rPr>
          <w:b/>
          <w:i w:val="0"/>
        </w:rPr>
        <w:t>artefact</w:t>
      </w:r>
      <w:r>
        <w:rPr>
          <w:b w:val="0"/>
          <w:i w:val="0"/>
        </w:rPr>
        <w:t xml:space="preserve"> : on le construit pour répondre à un problème réel, puis on l'évalue de façon rigoureuse. Ici, l'artefact est le système de détection, et son évaluation passe par le test des cinq hypothèses.</w:t>
      </w:r>
    </w:p>
    <w:p>
      <w:pPr>
        <w:spacing w:after="120"/>
      </w:pPr>
      <w:r>
        <w:rPr>
          <w:b w:val="0"/>
          <w:i w:val="0"/>
        </w:rPr>
        <w:t xml:space="preserve">Le volet données suit le cycle </w:t>
      </w:r>
      <w:r>
        <w:rPr>
          <w:b/>
          <w:i w:val="0"/>
        </w:rPr>
        <w:t>CRISP-DM</w:t>
      </w:r>
      <w:r>
        <w:rPr>
          <w:b w:val="0"/>
          <w:i w:val="0"/>
        </w:rPr>
        <w:t xml:space="preserve"> (</w:t>
      </w:r>
      <w:r>
        <w:rPr>
          <w:b w:val="0"/>
          <w:i/>
        </w:rPr>
        <w:t>Cross Industry Standard Process for Data Mining</w:t>
      </w:r>
      <w:r>
        <w:rPr>
          <w:b w:val="0"/>
          <w:i w:val="0"/>
        </w:rPr>
        <w:t>), standard de fait des projets d'exploration de données, adapté comme suit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Étape CRISP-DM</w:t>
            </w:r>
          </w:p>
        </w:tc>
        <w:tc>
          <w:tcPr>
            <w:tcW w:type="dxa" w:w="3249"/>
            <w:shd w:val="clear" w:color="auto" w:fill="DCE6F7"/>
          </w:tcPr>
          <w:p>
            <w:r/>
            <w:r>
              <w:rPr>
                <w:b/>
                <w:i w:val="0"/>
                <w:sz w:val="18"/>
              </w:rPr>
              <w:t>Contenu dans ce travail</w:t>
            </w:r>
          </w:p>
        </w:tc>
        <w:tc>
          <w:tcPr>
            <w:tcW w:type="dxa" w:w="3249"/>
            <w:shd w:val="clear" w:color="auto" w:fill="DCE6F7"/>
          </w:tcPr>
          <w:p>
            <w:r/>
            <w:r>
              <w:rPr>
                <w:b/>
                <w:i w:val="0"/>
                <w:sz w:val="18"/>
              </w:rPr>
              <w:t>Livrable</w:t>
            </w:r>
          </w:p>
        </w:tc>
      </w:tr>
      <w:tr>
        <w:tc>
          <w:tcPr>
            <w:tcW w:type="dxa" w:w="3249"/>
          </w:tcPr>
          <w:p>
            <w:r/>
            <w:r>
              <w:rPr>
                <w:b w:val="0"/>
                <w:i w:val="0"/>
                <w:sz w:val="18"/>
              </w:rPr>
              <w:t>1. Compréhension du métier</w:t>
            </w:r>
          </w:p>
        </w:tc>
        <w:tc>
          <w:tcPr>
            <w:tcW w:type="dxa" w:w="3249"/>
          </w:tcPr>
          <w:p>
            <w:r/>
            <w:r>
              <w:rPr>
                <w:b w:val="0"/>
                <w:i w:val="0"/>
                <w:sz w:val="18"/>
              </w:rPr>
              <w:t>Contexte RDC, typologies de fraude, acteurs, besoins</w:t>
            </w:r>
          </w:p>
        </w:tc>
        <w:tc>
          <w:tcPr>
            <w:tcW w:type="dxa" w:w="3249"/>
          </w:tcPr>
          <w:p>
            <w:r/>
            <w:r>
              <w:rPr>
                <w:b w:val="0"/>
                <w:i w:val="0"/>
                <w:sz w:val="18"/>
              </w:rPr>
              <w:t>Section 1 du présent chapitre</w:t>
            </w:r>
          </w:p>
        </w:tc>
      </w:tr>
      <w:tr>
        <w:tc>
          <w:tcPr>
            <w:tcW w:type="dxa" w:w="3249"/>
          </w:tcPr>
          <w:p>
            <w:r/>
            <w:r>
              <w:rPr>
                <w:b w:val="0"/>
                <w:i w:val="0"/>
                <w:sz w:val="18"/>
              </w:rPr>
              <w:t>2. Compréhension et constitution des données</w:t>
            </w:r>
          </w:p>
        </w:tc>
        <w:tc>
          <w:tcPr>
            <w:tcW w:type="dxa" w:w="3249"/>
          </w:tcPr>
          <w:p>
            <w:r/>
            <w:r>
              <w:rPr>
                <w:b w:val="0"/>
                <w:i w:val="0"/>
                <w:sz w:val="18"/>
              </w:rPr>
              <w:t>Générateur synthétique 2019-2025</w:t>
            </w:r>
          </w:p>
        </w:tc>
        <w:tc>
          <w:tcPr>
            <w:tcW w:type="dxa" w:w="3249"/>
          </w:tcPr>
          <w:p>
            <w:r/>
            <w:r>
              <w:rPr>
                <w:rFonts w:ascii="Consolas" w:hAnsi="Consolas"/>
                <w:b w:val="0"/>
                <w:i w:val="0"/>
                <w:color w:val="1F3A8A"/>
                <w:sz w:val="18"/>
              </w:rPr>
              <w:t>ml/generator/</w:t>
            </w:r>
            <w:r>
              <w:rPr>
                <w:b w:val="0"/>
                <w:i w:val="0"/>
                <w:sz w:val="18"/>
              </w:rPr>
              <w:t xml:space="preserve">, </w:t>
            </w:r>
            <w:r>
              <w:rPr>
                <w:rFonts w:ascii="Consolas" w:hAnsi="Consolas"/>
                <w:b w:val="0"/>
                <w:i w:val="0"/>
                <w:color w:val="1F3A8A"/>
                <w:sz w:val="18"/>
              </w:rPr>
              <w:t>docs/dictionnaire_donnees.md</w:t>
            </w:r>
          </w:p>
        </w:tc>
      </w:tr>
      <w:tr>
        <w:tc>
          <w:tcPr>
            <w:tcW w:type="dxa" w:w="3249"/>
          </w:tcPr>
          <w:p>
            <w:r/>
            <w:r>
              <w:rPr>
                <w:b w:val="0"/>
                <w:i w:val="0"/>
                <w:sz w:val="18"/>
              </w:rPr>
              <w:t>3. Préparation des données</w:t>
            </w:r>
          </w:p>
        </w:tc>
        <w:tc>
          <w:tcPr>
            <w:tcW w:type="dxa" w:w="3249"/>
          </w:tcPr>
          <w:p>
            <w:r/>
            <w:r>
              <w:rPr>
                <w:b w:val="0"/>
                <w:i w:val="0"/>
                <w:sz w:val="18"/>
              </w:rPr>
              <w:t>58 variables comportementales, normalisation, découpage temporel</w:t>
            </w:r>
          </w:p>
        </w:tc>
        <w:tc>
          <w:tcPr>
            <w:tcW w:type="dxa" w:w="3249"/>
          </w:tcPr>
          <w:p>
            <w:r/>
            <w:r>
              <w:rPr>
                <w:rFonts w:ascii="Consolas" w:hAnsi="Consolas"/>
                <w:b w:val="0"/>
                <w:i w:val="0"/>
                <w:color w:val="1F3A8A"/>
                <w:sz w:val="18"/>
              </w:rPr>
              <w:t>ml/features/</w:t>
            </w:r>
            <w:r>
              <w:rPr>
                <w:b w:val="0"/>
                <w:i w:val="0"/>
                <w:sz w:val="18"/>
              </w:rPr>
              <w:t xml:space="preserve">, </w:t>
            </w:r>
            <w:r>
              <w:rPr>
                <w:rFonts w:ascii="Consolas" w:hAnsi="Consolas"/>
                <w:b w:val="0"/>
                <w:i w:val="0"/>
                <w:color w:val="1F3A8A"/>
                <w:sz w:val="18"/>
              </w:rPr>
              <w:t>ml/preprocessing/</w:t>
            </w:r>
          </w:p>
        </w:tc>
      </w:tr>
      <w:tr>
        <w:tc>
          <w:tcPr>
            <w:tcW w:type="dxa" w:w="3249"/>
          </w:tcPr>
          <w:p>
            <w:r/>
            <w:r>
              <w:rPr>
                <w:b w:val="0"/>
                <w:i w:val="0"/>
                <w:sz w:val="18"/>
              </w:rPr>
              <w:t>4. Modélisation</w:t>
            </w:r>
          </w:p>
        </w:tc>
        <w:tc>
          <w:tcPr>
            <w:tcW w:type="dxa" w:w="3249"/>
          </w:tcPr>
          <w:p>
            <w:r/>
            <w:r>
              <w:rPr>
                <w:b w:val="0"/>
                <w:i w:val="0"/>
                <w:sz w:val="18"/>
              </w:rPr>
              <w:t>Modèles de référence, modèle hybride, classifieur de typologie</w:t>
            </w:r>
          </w:p>
        </w:tc>
        <w:tc>
          <w:tcPr>
            <w:tcW w:type="dxa" w:w="3249"/>
          </w:tcPr>
          <w:p>
            <w:r/>
            <w:r>
              <w:rPr>
                <w:rFonts w:ascii="Consolas" w:hAnsi="Consolas"/>
                <w:b w:val="0"/>
                <w:i w:val="0"/>
                <w:color w:val="1F3A8A"/>
                <w:sz w:val="18"/>
              </w:rPr>
              <w:t>ml/models/</w:t>
            </w:r>
            <w:r>
              <w:rPr>
                <w:b w:val="0"/>
                <w:i w:val="0"/>
                <w:sz w:val="18"/>
              </w:rPr>
              <w:t xml:space="preserve">, </w:t>
            </w:r>
            <w:r>
              <w:rPr>
                <w:rFonts w:ascii="Consolas" w:hAnsi="Consolas"/>
                <w:b w:val="0"/>
                <w:i w:val="0"/>
                <w:color w:val="1F3A8A"/>
                <w:sz w:val="18"/>
              </w:rPr>
              <w:t>ml/training/</w:t>
            </w:r>
          </w:p>
        </w:tc>
      </w:tr>
      <w:tr>
        <w:tc>
          <w:tcPr>
            <w:tcW w:type="dxa" w:w="3249"/>
          </w:tcPr>
          <w:p>
            <w:r/>
            <w:r>
              <w:rPr>
                <w:b w:val="0"/>
                <w:i w:val="0"/>
                <w:sz w:val="18"/>
              </w:rPr>
              <w:t>5. Évaluation</w:t>
            </w:r>
          </w:p>
        </w:tc>
        <w:tc>
          <w:tcPr>
            <w:tcW w:type="dxa" w:w="3249"/>
          </w:tcPr>
          <w:p>
            <w:r/>
            <w:r>
              <w:rPr>
                <w:b w:val="0"/>
                <w:i w:val="0"/>
                <w:sz w:val="18"/>
              </w:rPr>
              <w:t>Protocole statistique H1 à H5</w:t>
            </w:r>
          </w:p>
        </w:tc>
        <w:tc>
          <w:tcPr>
            <w:tcW w:type="dxa" w:w="3249"/>
          </w:tcPr>
          <w:p>
            <w:r/>
            <w:r>
              <w:rPr>
                <w:rFonts w:ascii="Consolas" w:hAnsi="Consolas"/>
                <w:b w:val="0"/>
                <w:i w:val="0"/>
                <w:color w:val="1F3A8A"/>
                <w:sz w:val="18"/>
              </w:rPr>
              <w:t>ml/reports/</w:t>
            </w:r>
            <w:r>
              <w:rPr>
                <w:b w:val="0"/>
                <w:i w:val="0"/>
                <w:sz w:val="18"/>
              </w:rPr>
              <w:t>, chapitre III</w:t>
            </w:r>
          </w:p>
        </w:tc>
      </w:tr>
      <w:tr>
        <w:tc>
          <w:tcPr>
            <w:tcW w:type="dxa" w:w="3249"/>
          </w:tcPr>
          <w:p>
            <w:r/>
            <w:r>
              <w:rPr>
                <w:b w:val="0"/>
                <w:i w:val="0"/>
                <w:sz w:val="18"/>
              </w:rPr>
              <w:t>6. Déploiement</w:t>
            </w:r>
          </w:p>
        </w:tc>
        <w:tc>
          <w:tcPr>
            <w:tcW w:type="dxa" w:w="3249"/>
          </w:tcPr>
          <w:p>
            <w:r/>
            <w:r>
              <w:rPr>
                <w:b w:val="0"/>
                <w:i w:val="0"/>
                <w:sz w:val="18"/>
              </w:rPr>
              <w:t>Architecture temps réel, API, supervision, apprentissage continu</w:t>
            </w:r>
          </w:p>
        </w:tc>
        <w:tc>
          <w:tcPr>
            <w:tcW w:type="dxa" w:w="3249"/>
          </w:tcPr>
          <w:p>
            <w:r/>
            <w:r>
              <w:rPr>
                <w:b w:val="0"/>
                <w:i w:val="0"/>
                <w:sz w:val="18"/>
              </w:rPr>
              <w:t>Section 3 du présent chapitre</w:t>
            </w:r>
          </w:p>
        </w:tc>
      </w:tr>
    </w:tbl>
    <w:p/>
    <w:p>
      <w:pPr>
        <w:spacing w:after="120"/>
      </w:pPr>
      <w:r>
        <w:rPr>
          <w:b w:val="0"/>
          <w:i/>
        </w:rPr>
        <w:t>Tableau II.11 — Application du cycle CRISP-DM.</w:t>
      </w:r>
    </w:p>
    <w:p>
      <w:pPr>
        <w:pStyle w:val="Heading3"/>
      </w:pPr>
      <w:r>
        <w:t>II.2.2 Méthode de développement du logiciel</w:t>
      </w:r>
    </w:p>
    <w:p>
      <w:pPr>
        <w:spacing w:after="120"/>
      </w:pPr>
      <w:r>
        <w:rPr>
          <w:b w:val="0"/>
          <w:i w:val="0"/>
        </w:rPr>
        <w:t xml:space="preserve">Le développement suit une démarche </w:t>
      </w:r>
      <w:r>
        <w:rPr>
          <w:b/>
          <w:i w:val="0"/>
        </w:rPr>
        <w:t>itérative et incrémentale</w:t>
      </w:r>
      <w:r>
        <w:rPr>
          <w:b w:val="0"/>
          <w:i w:val="0"/>
        </w:rPr>
        <w:t xml:space="preserve">, inspirée du </w:t>
      </w:r>
      <w:r>
        <w:rPr>
          <w:b/>
          <w:i w:val="0"/>
        </w:rPr>
        <w:t>processus unifié</w:t>
      </w:r>
      <w:r>
        <w:rPr>
          <w:b w:val="0"/>
          <w:i w:val="0"/>
        </w:rPr>
        <w:t xml:space="preserve"> et de sa variante en Y, </w:t>
      </w:r>
      <w:r>
        <w:rPr>
          <w:b/>
          <w:i w:val="0"/>
        </w:rPr>
        <w:t>2TUP</w:t>
      </w:r>
      <w:r>
        <w:rPr>
          <w:b w:val="0"/>
          <w:i w:val="0"/>
        </w:rPr>
        <w:t xml:space="preserve"> (</w:t>
      </w:r>
      <w:r>
        <w:rPr>
          <w:b w:val="0"/>
          <w:i/>
        </w:rPr>
        <w:t>Two Track Unified Process</w:t>
      </w:r>
      <w:r>
        <w:rPr>
          <w:b w:val="0"/>
          <w:i w:val="0"/>
        </w:rPr>
        <w:t>). Cette variante sépare deux branches qui se rejoignent dans la conception :</w:t>
      </w:r>
    </w:p>
    <w:p>
      <w:pPr>
        <w:pStyle w:val="ListBullet"/>
      </w:pPr>
      <w:r>
        <w:rPr>
          <w:b w:val="0"/>
          <w:i w:val="0"/>
        </w:rPr>
        <w:t xml:space="preserve">la </w:t>
      </w:r>
      <w:r>
        <w:rPr>
          <w:b/>
          <w:i w:val="0"/>
        </w:rPr>
        <w:t>branche fonctionnelle</w:t>
      </w:r>
      <w:r>
        <w:rPr>
          <w:b w:val="0"/>
          <w:i w:val="0"/>
        </w:rPr>
        <w:t xml:space="preserve"> capte les besoins du métier (section 1) ;</w:t>
      </w:r>
    </w:p>
    <w:p>
      <w:pPr>
        <w:pStyle w:val="ListBullet"/>
      </w:pPr>
      <w:r>
        <w:rPr>
          <w:b w:val="0"/>
          <w:i w:val="0"/>
        </w:rPr>
        <w:t xml:space="preserve">la </w:t>
      </w:r>
      <w:r>
        <w:rPr>
          <w:b/>
          <w:i w:val="0"/>
        </w:rPr>
        <w:t>branche technique</w:t>
      </w:r>
      <w:r>
        <w:rPr>
          <w:b w:val="0"/>
          <w:i w:val="0"/>
        </w:rPr>
        <w:t xml:space="preserve"> recense les contraintes et les choix d'architecture (temps réel, sécurité, déploiement) ;</w:t>
      </w:r>
    </w:p>
    <w:p>
      <w:pPr>
        <w:pStyle w:val="ListBullet"/>
      </w:pPr>
      <w:r>
        <w:rPr>
          <w:b w:val="0"/>
          <w:i w:val="0"/>
        </w:rPr>
        <w:t xml:space="preserve">la </w:t>
      </w:r>
      <w:r>
        <w:rPr>
          <w:b/>
          <w:i w:val="0"/>
        </w:rPr>
        <w:t>branche de réalisation</w:t>
      </w:r>
      <w:r>
        <w:rPr>
          <w:b w:val="0"/>
          <w:i w:val="0"/>
        </w:rPr>
        <w:t xml:space="preserve"> fusionne les deux dans la conception détaillée, le codage et les tests.</w:t>
      </w:r>
    </w:p>
    <w:p>
      <w:pPr>
        <w:spacing w:after="120"/>
      </w:pPr>
      <w:r>
        <w:rPr>
          <w:b w:val="0"/>
          <w:i w:val="0"/>
        </w:rPr>
        <w:t xml:space="preserve">Le projet a été conduit en </w:t>
      </w:r>
      <w:r>
        <w:rPr>
          <w:b/>
          <w:i w:val="0"/>
        </w:rPr>
        <w:t>neuf incréments</w:t>
      </w:r>
      <w:r>
        <w:rPr>
          <w:b w:val="0"/>
          <w:i w:val="0"/>
        </w:rPr>
        <w:t>, chacun produisant une version utilisable : données et variables ; modèles ; service de notation ; intégration des opérateurs ; tableau de bord ; workers asynchrones ; supervision ; conteneurisation ; apprentissage continu. Chaque incrément s'est achevé par une évaluation. Les diagnostics ont conduit à des corrections successives, notamment sur les fuites d'information, la cohérence entre l'entraînement et la production, le surapprentissage et le choix des seuils.</w:t>
      </w:r>
    </w:p>
    <w:p>
      <w:pPr>
        <w:spacing w:after="120"/>
      </w:pPr>
      <w:r>
        <w:rPr>
          <w:b w:val="0"/>
          <w:i w:val="0"/>
        </w:rPr>
        <w:t>UML sert de langage de modélisation commun aux deux branches. Les diagrammes retenus et leur usage sont les suivants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Vue</w:t>
            </w:r>
          </w:p>
        </w:tc>
        <w:tc>
          <w:tcPr>
            <w:tcW w:type="dxa" w:w="3249"/>
            <w:shd w:val="clear" w:color="auto" w:fill="DCE6F7"/>
          </w:tcPr>
          <w:p>
            <w:r/>
            <w:r>
              <w:rPr>
                <w:b/>
                <w:i w:val="0"/>
                <w:sz w:val="18"/>
              </w:rPr>
              <w:t>Diagramme</w:t>
            </w:r>
          </w:p>
        </w:tc>
        <w:tc>
          <w:tcPr>
            <w:tcW w:type="dxa" w:w="3249"/>
            <w:shd w:val="clear" w:color="auto" w:fill="DCE6F7"/>
          </w:tcPr>
          <w:p>
            <w:r/>
            <w:r>
              <w:rPr>
                <w:b/>
                <w:i w:val="0"/>
                <w:sz w:val="18"/>
              </w:rPr>
              <w:t>Section</w:t>
            </w:r>
          </w:p>
        </w:tc>
      </w:tr>
      <w:tr>
        <w:tc>
          <w:tcPr>
            <w:tcW w:type="dxa" w:w="3249"/>
          </w:tcPr>
          <w:p>
            <w:r/>
            <w:r>
              <w:rPr>
                <w:b w:val="0"/>
                <w:i w:val="0"/>
                <w:sz w:val="18"/>
              </w:rPr>
              <w:t>Fonctionnelle</w:t>
            </w:r>
          </w:p>
        </w:tc>
        <w:tc>
          <w:tcPr>
            <w:tcW w:type="dxa" w:w="3249"/>
          </w:tcPr>
          <w:p>
            <w:r/>
            <w:r>
              <w:rPr>
                <w:b w:val="0"/>
                <w:i w:val="0"/>
                <w:sz w:val="18"/>
              </w:rPr>
              <w:t>Contexte, cas d'utilisation</w:t>
            </w:r>
          </w:p>
        </w:tc>
        <w:tc>
          <w:tcPr>
            <w:tcW w:type="dxa" w:w="3249"/>
          </w:tcPr>
          <w:p>
            <w:r/>
            <w:r>
              <w:rPr>
                <w:b w:val="0"/>
                <w:i w:val="0"/>
                <w:sz w:val="18"/>
              </w:rPr>
              <w:t>II.1.2, II.1.10</w:t>
            </w:r>
          </w:p>
        </w:tc>
      </w:tr>
      <w:tr>
        <w:tc>
          <w:tcPr>
            <w:tcW w:type="dxa" w:w="3249"/>
          </w:tcPr>
          <w:p>
            <w:r/>
            <w:r>
              <w:rPr>
                <w:b w:val="0"/>
                <w:i w:val="0"/>
                <w:sz w:val="18"/>
              </w:rPr>
              <w:t>Processus métier</w:t>
            </w:r>
          </w:p>
        </w:tc>
        <w:tc>
          <w:tcPr>
            <w:tcW w:type="dxa" w:w="3249"/>
          </w:tcPr>
          <w:p>
            <w:r/>
            <w:r>
              <w:rPr>
                <w:b w:val="0"/>
                <w:i w:val="0"/>
                <w:sz w:val="18"/>
              </w:rPr>
              <w:t>Activité (existant et cible)</w:t>
            </w:r>
          </w:p>
        </w:tc>
        <w:tc>
          <w:tcPr>
            <w:tcW w:type="dxa" w:w="3249"/>
          </w:tcPr>
          <w:p>
            <w:r/>
            <w:r>
              <w:rPr>
                <w:b w:val="0"/>
                <w:i w:val="0"/>
                <w:sz w:val="18"/>
              </w:rPr>
              <w:t>II.1.2, II.3.5</w:t>
            </w:r>
          </w:p>
        </w:tc>
      </w:tr>
      <w:tr>
        <w:tc>
          <w:tcPr>
            <w:tcW w:type="dxa" w:w="3249"/>
          </w:tcPr>
          <w:p>
            <w:r/>
            <w:r>
              <w:rPr>
                <w:b w:val="0"/>
                <w:i w:val="0"/>
                <w:sz w:val="18"/>
              </w:rPr>
              <w:t>Statique</w:t>
            </w:r>
          </w:p>
        </w:tc>
        <w:tc>
          <w:tcPr>
            <w:tcW w:type="dxa" w:w="3249"/>
          </w:tcPr>
          <w:p>
            <w:r/>
            <w:r>
              <w:rPr>
                <w:b w:val="0"/>
                <w:i w:val="0"/>
                <w:sz w:val="18"/>
              </w:rPr>
              <w:t>Packages, classes</w:t>
            </w:r>
          </w:p>
        </w:tc>
        <w:tc>
          <w:tcPr>
            <w:tcW w:type="dxa" w:w="3249"/>
          </w:tcPr>
          <w:p>
            <w:r/>
            <w:r>
              <w:rPr>
                <w:b w:val="0"/>
                <w:i w:val="0"/>
                <w:sz w:val="18"/>
              </w:rPr>
              <w:t>II.3.3, II.3.4</w:t>
            </w:r>
          </w:p>
        </w:tc>
      </w:tr>
      <w:tr>
        <w:tc>
          <w:tcPr>
            <w:tcW w:type="dxa" w:w="3249"/>
          </w:tcPr>
          <w:p>
            <w:r/>
            <w:r>
              <w:rPr>
                <w:b w:val="0"/>
                <w:i w:val="0"/>
                <w:sz w:val="18"/>
              </w:rPr>
              <w:t>Dynamique</w:t>
            </w:r>
          </w:p>
        </w:tc>
        <w:tc>
          <w:tcPr>
            <w:tcW w:type="dxa" w:w="3249"/>
          </w:tcPr>
          <w:p>
            <w:r/>
            <w:r>
              <w:rPr>
                <w:b w:val="0"/>
                <w:i w:val="0"/>
                <w:sz w:val="18"/>
              </w:rPr>
              <w:t>Séquence, états-transitions</w:t>
            </w:r>
          </w:p>
        </w:tc>
        <w:tc>
          <w:tcPr>
            <w:tcW w:type="dxa" w:w="3249"/>
          </w:tcPr>
          <w:p>
            <w:r/>
            <w:r>
              <w:rPr>
                <w:b w:val="0"/>
                <w:i w:val="0"/>
                <w:sz w:val="18"/>
              </w:rPr>
              <w:t>II.3.5</w:t>
            </w:r>
          </w:p>
        </w:tc>
      </w:tr>
      <w:tr>
        <w:tc>
          <w:tcPr>
            <w:tcW w:type="dxa" w:w="3249"/>
          </w:tcPr>
          <w:p>
            <w:r/>
            <w:r>
              <w:rPr>
                <w:b w:val="0"/>
                <w:i w:val="0"/>
                <w:sz w:val="18"/>
              </w:rPr>
              <w:t>Physique</w:t>
            </w:r>
          </w:p>
        </w:tc>
        <w:tc>
          <w:tcPr>
            <w:tcW w:type="dxa" w:w="3249"/>
          </w:tcPr>
          <w:p>
            <w:r/>
            <w:r>
              <w:rPr>
                <w:b w:val="0"/>
                <w:i w:val="0"/>
                <w:sz w:val="18"/>
              </w:rPr>
              <w:t>Composants, déploiement</w:t>
            </w:r>
          </w:p>
        </w:tc>
        <w:tc>
          <w:tcPr>
            <w:tcW w:type="dxa" w:w="3249"/>
          </w:tcPr>
          <w:p>
            <w:r/>
            <w:r>
              <w:rPr>
                <w:b w:val="0"/>
                <w:i w:val="0"/>
                <w:sz w:val="18"/>
              </w:rPr>
              <w:t>II.3.2, II.3.10</w:t>
            </w:r>
          </w:p>
        </w:tc>
      </w:tr>
    </w:tbl>
    <w:p/>
    <w:p>
      <w:pPr>
        <w:spacing w:after="120"/>
      </w:pPr>
      <w:r>
        <w:rPr>
          <w:b w:val="0"/>
          <w:i/>
        </w:rPr>
        <w:t>Tableau II.12 — Diagrammes UML utilisés.</w:t>
      </w:r>
    </w:p>
    <w:p>
      <w:pPr>
        <w:pStyle w:val="Heading3"/>
      </w:pPr>
      <w:r>
        <w:t>II.2.3 Constitution des données</w:t>
      </w:r>
    </w:p>
    <w:p>
      <w:pPr>
        <w:pStyle w:val="Heading3"/>
      </w:pPr>
      <w:r>
        <w:t>a) Justification du recours à des données simulées</w:t>
      </w:r>
    </w:p>
    <w:p>
      <w:pPr>
        <w:spacing w:after="120"/>
      </w:pPr>
      <w:r>
        <w:rPr>
          <w:b w:val="0"/>
          <w:i w:val="0"/>
        </w:rPr>
        <w:t xml:space="preserve">Les données transactionnelles des opérateurs sont confidentielles, au titre du secret bancaire et de la protection des données personnelles. Aucun jeu public ne couvre la RDC. Un </w:t>
      </w:r>
      <w:r>
        <w:rPr>
          <w:b/>
          <w:i w:val="0"/>
        </w:rPr>
        <w:t>générateur paramétré</w:t>
      </w:r>
      <w:r>
        <w:rPr>
          <w:b w:val="0"/>
          <w:i w:val="0"/>
        </w:rPr>
        <w:t xml:space="preserve"> a donc été conçu. Il reproduit les régularités connues du marché : opérateurs, provinces, agents, double monnaie, saisonnalité et typologies de fraude.</w:t>
      </w:r>
    </w:p>
    <w:p>
      <w:pPr>
        <w:spacing w:after="120"/>
      </w:pPr>
      <w:r>
        <w:rPr>
          <w:b w:val="0"/>
          <w:i w:val="0"/>
        </w:rPr>
        <w:t xml:space="preserve">Le recours à un simulateur a des précédents. C'est notamment le cas de </w:t>
      </w:r>
      <w:r>
        <w:rPr>
          <w:b/>
          <w:i w:val="0"/>
        </w:rPr>
        <w:t>PaySim</w:t>
      </w:r>
      <w:r>
        <w:rPr>
          <w:b w:val="0"/>
          <w:i w:val="0"/>
        </w:rPr>
        <w:t xml:space="preserve"> (Lopez-Rojas, Elmir et Axelsson, 2016), simulateur de transactions Mobile Money conçu pour la détection de fraude. La différence est que PaySim s'appuie sur un échantillon de transactions réelles agrégées, alors que le présent générateur repose entièrement sur des hypothèses paramétrées, faute d'un tel échantillon pour la RDC.</w:t>
      </w:r>
    </w:p>
    <w:p>
      <w:pPr>
        <w:pStyle w:val="Heading3"/>
      </w:pPr>
      <w:r>
        <w:t>b) Source et provenance</w:t>
      </w:r>
    </w:p>
    <w:p>
      <w:pPr>
        <w:spacing w:after="120"/>
      </w:pPr>
      <w:r>
        <w:rPr>
          <w:b w:val="0"/>
          <w:i w:val="0"/>
        </w:rPr>
        <w:t xml:space="preserve">Les données sont des </w:t>
      </w:r>
      <w:r>
        <w:rPr>
          <w:b/>
          <w:i w:val="0"/>
        </w:rPr>
        <w:t>données primaires synthétiques</w:t>
      </w:r>
      <w:r>
        <w:rPr>
          <w:b w:val="0"/>
          <w:i w:val="0"/>
        </w:rPr>
        <w:t>, produites par un générateur développé pour ce travail. Elles ne proviennent d'aucun opérateur, d'aucune banque ni d'aucune base publique, et ne contiennent aucune donnée personnelle réelle.</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Élément</w:t>
            </w:r>
          </w:p>
        </w:tc>
        <w:tc>
          <w:tcPr>
            <w:tcW w:type="dxa" w:w="4873"/>
            <w:shd w:val="clear" w:color="auto" w:fill="DCE6F7"/>
          </w:tcPr>
          <w:p>
            <w:r/>
            <w:r>
              <w:rPr>
                <w:b/>
                <w:i w:val="0"/>
                <w:sz w:val="18"/>
              </w:rPr>
              <w:t>Valeur</w:t>
            </w:r>
          </w:p>
        </w:tc>
      </w:tr>
      <w:tr>
        <w:tc>
          <w:tcPr>
            <w:tcW w:type="dxa" w:w="4873"/>
          </w:tcPr>
          <w:p>
            <w:r/>
            <w:r>
              <w:rPr>
                <w:b w:val="0"/>
                <w:i w:val="0"/>
                <w:sz w:val="18"/>
              </w:rPr>
              <w:t>Source</w:t>
            </w:r>
          </w:p>
        </w:tc>
        <w:tc>
          <w:tcPr>
            <w:tcW w:type="dxa" w:w="4873"/>
          </w:tcPr>
          <w:p>
            <w:r/>
            <w:r>
              <w:rPr>
                <w:b w:val="0"/>
                <w:i w:val="0"/>
                <w:sz w:val="18"/>
              </w:rPr>
              <w:t xml:space="preserve">Générateur du projet : </w:t>
            </w:r>
            <w:r>
              <w:rPr>
                <w:rFonts w:ascii="Consolas" w:hAnsi="Consolas"/>
                <w:b w:val="0"/>
                <w:i w:val="0"/>
                <w:color w:val="1F3A8A"/>
                <w:sz w:val="18"/>
              </w:rPr>
              <w:t>ml/generator/generate_synthetic_data.py</w:t>
            </w:r>
          </w:p>
        </w:tc>
      </w:tr>
      <w:tr>
        <w:tc>
          <w:tcPr>
            <w:tcW w:type="dxa" w:w="4873"/>
          </w:tcPr>
          <w:p>
            <w:r/>
            <w:r>
              <w:rPr>
                <w:b w:val="0"/>
                <w:i w:val="0"/>
                <w:sz w:val="18"/>
              </w:rPr>
              <w:t>Commande</w:t>
            </w:r>
          </w:p>
        </w:tc>
        <w:tc>
          <w:tcPr>
            <w:tcW w:type="dxa" w:w="4873"/>
          </w:tcPr>
          <w:p>
            <w:r/>
            <w:r>
              <w:rPr>
                <w:rFonts w:ascii="Consolas" w:hAnsi="Consolas"/>
                <w:b w:val="0"/>
                <w:i w:val="0"/>
                <w:color w:val="1F3A8A"/>
                <w:sz w:val="18"/>
              </w:rPr>
              <w:t>python ml/generator/generate_synthetic_data.py --multi-year</w:t>
            </w:r>
          </w:p>
        </w:tc>
      </w:tr>
      <w:tr>
        <w:tc>
          <w:tcPr>
            <w:tcW w:type="dxa" w:w="4873"/>
          </w:tcPr>
          <w:p>
            <w:r/>
            <w:r>
              <w:rPr>
                <w:b w:val="0"/>
                <w:i w:val="0"/>
                <w:sz w:val="18"/>
              </w:rPr>
              <w:t>Graine aléatoire</w:t>
            </w:r>
          </w:p>
        </w:tc>
        <w:tc>
          <w:tcPr>
            <w:tcW w:type="dxa" w:w="4873"/>
          </w:tcPr>
          <w:p>
            <w:r/>
            <w:r>
              <w:rPr>
                <w:b w:val="0"/>
                <w:i w:val="0"/>
                <w:sz w:val="18"/>
              </w:rPr>
              <w:t>42 : la génération est reproductible à l'identique</w:t>
            </w:r>
          </w:p>
        </w:tc>
      </w:tr>
      <w:tr>
        <w:tc>
          <w:tcPr>
            <w:tcW w:type="dxa" w:w="4873"/>
          </w:tcPr>
          <w:p>
            <w:r/>
            <w:r>
              <w:rPr>
                <w:b w:val="0"/>
                <w:i w:val="0"/>
                <w:sz w:val="18"/>
              </w:rPr>
              <w:t>Fichiers produits</w:t>
            </w:r>
          </w:p>
        </w:tc>
        <w:tc>
          <w:tcPr>
            <w:tcW w:type="dxa" w:w="4873"/>
          </w:tcPr>
          <w:p>
            <w:r/>
            <w:r>
              <w:rPr>
                <w:rFonts w:ascii="Consolas" w:hAnsi="Consolas"/>
                <w:b w:val="0"/>
                <w:i w:val="0"/>
                <w:color w:val="1F3A8A"/>
                <w:sz w:val="18"/>
              </w:rPr>
              <w:t>transactions.csv</w:t>
            </w:r>
            <w:r>
              <w:rPr>
                <w:b w:val="0"/>
                <w:i w:val="0"/>
                <w:sz w:val="18"/>
              </w:rPr>
              <w:t xml:space="preserve"> (631 968 lignes), </w:t>
            </w:r>
            <w:r>
              <w:rPr>
                <w:rFonts w:ascii="Consolas" w:hAnsi="Consolas"/>
                <w:b w:val="0"/>
                <w:i w:val="0"/>
                <w:color w:val="1F3A8A"/>
                <w:sz w:val="18"/>
              </w:rPr>
              <w:t>users.csv</w:t>
            </w:r>
            <w:r>
              <w:rPr>
                <w:b w:val="0"/>
                <w:i w:val="0"/>
                <w:sz w:val="18"/>
              </w:rPr>
              <w:t xml:space="preserve"> (500), </w:t>
            </w:r>
            <w:r>
              <w:rPr>
                <w:rFonts w:ascii="Consolas" w:hAnsi="Consolas"/>
                <w:b w:val="0"/>
                <w:i w:val="0"/>
                <w:color w:val="1F3A8A"/>
                <w:sz w:val="18"/>
              </w:rPr>
              <w:t>agents.csv</w:t>
            </w:r>
            <w:r>
              <w:rPr>
                <w:b w:val="0"/>
                <w:i w:val="0"/>
                <w:sz w:val="18"/>
              </w:rPr>
              <w:t xml:space="preserve"> (800), </w:t>
            </w:r>
            <w:r>
              <w:rPr>
                <w:rFonts w:ascii="Consolas" w:hAnsi="Consolas"/>
                <w:b w:val="0"/>
                <w:i w:val="0"/>
                <w:color w:val="1F3A8A"/>
                <w:sz w:val="18"/>
              </w:rPr>
              <w:t>merchants.csv</w:t>
            </w:r>
            <w:r>
              <w:rPr>
                <w:b w:val="0"/>
                <w:i w:val="0"/>
                <w:sz w:val="18"/>
              </w:rPr>
              <w:t xml:space="preserve">, </w:t>
            </w:r>
            <w:r>
              <w:rPr>
                <w:rFonts w:ascii="Consolas" w:hAnsi="Consolas"/>
                <w:b w:val="0"/>
                <w:i w:val="0"/>
                <w:color w:val="1F3A8A"/>
                <w:sz w:val="18"/>
              </w:rPr>
              <w:t>fraud_mapping.json</w:t>
            </w:r>
          </w:p>
        </w:tc>
      </w:tr>
      <w:tr>
        <w:tc>
          <w:tcPr>
            <w:tcW w:type="dxa" w:w="4873"/>
          </w:tcPr>
          <w:p>
            <w:r/>
            <w:r>
              <w:rPr>
                <w:b w:val="0"/>
                <w:i w:val="0"/>
                <w:sz w:val="18"/>
              </w:rPr>
              <w:t>Traçabilité</w:t>
            </w:r>
          </w:p>
        </w:tc>
        <w:tc>
          <w:tcPr>
            <w:tcW w:type="dxa" w:w="4873"/>
          </w:tcPr>
          <w:p>
            <w:r/>
            <w:r>
              <w:rPr>
                <w:rFonts w:ascii="Consolas" w:hAnsi="Consolas"/>
                <w:b w:val="0"/>
                <w:i w:val="0"/>
                <w:color w:val="1F3A8A"/>
                <w:sz w:val="18"/>
              </w:rPr>
              <w:t>ml/data/raw/generation_metadata.json</w:t>
            </w:r>
            <w:r>
              <w:rPr>
                <w:b w:val="0"/>
                <w:i w:val="0"/>
                <w:sz w:val="18"/>
              </w:rPr>
              <w:t xml:space="preserve"> : configuration et statistiques de la génération</w:t>
            </w:r>
          </w:p>
        </w:tc>
      </w:tr>
      <w:tr>
        <w:tc>
          <w:tcPr>
            <w:tcW w:type="dxa" w:w="4873"/>
          </w:tcPr>
          <w:p>
            <w:r/>
            <w:r>
              <w:rPr>
                <w:b w:val="0"/>
                <w:i w:val="0"/>
                <w:sz w:val="18"/>
              </w:rPr>
              <w:t>Dictionnaire des données</w:t>
            </w:r>
          </w:p>
        </w:tc>
        <w:tc>
          <w:tcPr>
            <w:tcW w:type="dxa" w:w="4873"/>
          </w:tcPr>
          <w:p>
            <w:r/>
            <w:r>
              <w:rPr>
                <w:rFonts w:ascii="Consolas" w:hAnsi="Consolas"/>
                <w:b w:val="0"/>
                <w:i w:val="0"/>
                <w:color w:val="1F3A8A"/>
                <w:sz w:val="18"/>
              </w:rPr>
              <w:t>docs/dictionnaire_donnees.md</w:t>
            </w:r>
          </w:p>
        </w:tc>
      </w:tr>
    </w:tbl>
    <w:p/>
    <w:p>
      <w:pPr>
        <w:spacing w:after="120"/>
      </w:pPr>
      <w:r>
        <w:rPr>
          <w:b w:val="0"/>
          <w:i/>
        </w:rPr>
        <w:t>Tableau II.13 — Provenance des données.</w:t>
      </w:r>
    </w:p>
    <w:p>
      <w:pPr>
        <w:pStyle w:val="Heading3"/>
      </w:pPr>
      <w:r>
        <w:t>c) Caractéristiques du jeu de données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Caractéristique</w:t>
            </w:r>
          </w:p>
        </w:tc>
        <w:tc>
          <w:tcPr>
            <w:tcW w:type="dxa" w:w="4873"/>
            <w:shd w:val="clear" w:color="auto" w:fill="DCE6F7"/>
          </w:tcPr>
          <w:p>
            <w:r/>
            <w:r>
              <w:rPr>
                <w:b/>
                <w:i w:val="0"/>
                <w:sz w:val="18"/>
              </w:rPr>
              <w:t>Valeur</w:t>
            </w:r>
          </w:p>
        </w:tc>
      </w:tr>
      <w:tr>
        <w:tc>
          <w:tcPr>
            <w:tcW w:type="dxa" w:w="4873"/>
          </w:tcPr>
          <w:p>
            <w:r/>
            <w:r>
              <w:rPr>
                <w:b w:val="0"/>
                <w:i w:val="0"/>
                <w:sz w:val="18"/>
              </w:rPr>
              <w:t>Période</w:t>
            </w:r>
          </w:p>
        </w:tc>
        <w:tc>
          <w:tcPr>
            <w:tcW w:type="dxa" w:w="4873"/>
          </w:tcPr>
          <w:p>
            <w:r/>
            <w:r>
              <w:rPr>
                <w:b w:val="0"/>
                <w:i w:val="0"/>
                <w:sz w:val="18"/>
              </w:rPr>
              <w:t>1ᵉʳ janvier 2019 → 31 décembre 2025</w:t>
            </w:r>
          </w:p>
        </w:tc>
      </w:tr>
      <w:tr>
        <w:tc>
          <w:tcPr>
            <w:tcW w:type="dxa" w:w="4873"/>
          </w:tcPr>
          <w:p>
            <w:r/>
            <w:r>
              <w:rPr>
                <w:b w:val="0"/>
                <w:i w:val="0"/>
                <w:sz w:val="18"/>
              </w:rPr>
              <w:t>Transactions</w:t>
            </w:r>
          </w:p>
        </w:tc>
        <w:tc>
          <w:tcPr>
            <w:tcW w:type="dxa" w:w="4873"/>
          </w:tcPr>
          <w:p>
            <w:r/>
            <w:r>
              <w:rPr>
                <w:b w:val="0"/>
                <w:i w:val="0"/>
                <w:sz w:val="18"/>
              </w:rPr>
              <w:t>631 968</w:t>
            </w:r>
          </w:p>
        </w:tc>
      </w:tr>
      <w:tr>
        <w:tc>
          <w:tcPr>
            <w:tcW w:type="dxa" w:w="4873"/>
          </w:tcPr>
          <w:p>
            <w:r/>
            <w:r>
              <w:rPr>
                <w:b w:val="0"/>
                <w:i w:val="0"/>
                <w:sz w:val="18"/>
              </w:rPr>
              <w:t>Utilisateurs</w:t>
            </w:r>
          </w:p>
        </w:tc>
        <w:tc>
          <w:tcPr>
            <w:tcW w:type="dxa" w:w="4873"/>
          </w:tcPr>
          <w:p>
            <w:r/>
            <w:r>
              <w:rPr>
                <w:b w:val="0"/>
                <w:i w:val="0"/>
                <w:sz w:val="18"/>
              </w:rPr>
              <w:t>500 (arrivées progressives, croissance d'environ 8 % par an)</w:t>
            </w:r>
          </w:p>
        </w:tc>
      </w:tr>
      <w:tr>
        <w:tc>
          <w:tcPr>
            <w:tcW w:type="dxa" w:w="4873"/>
          </w:tcPr>
          <w:p>
            <w:r/>
            <w:r>
              <w:rPr>
                <w:b w:val="0"/>
                <w:i w:val="0"/>
                <w:sz w:val="18"/>
              </w:rPr>
              <w:t>Fraudes</w:t>
            </w:r>
          </w:p>
        </w:tc>
        <w:tc>
          <w:tcPr>
            <w:tcW w:type="dxa" w:w="4873"/>
          </w:tcPr>
          <w:p>
            <w:r/>
            <w:r>
              <w:rPr>
                <w:b w:val="0"/>
                <w:i w:val="0"/>
                <w:sz w:val="18"/>
              </w:rPr>
              <w:t xml:space="preserve">8 426, soit </w:t>
            </w:r>
            <w:r>
              <w:rPr>
                <w:b/>
                <w:i w:val="0"/>
                <w:sz w:val="18"/>
              </w:rPr>
              <w:t>1,33 %</w:t>
            </w:r>
          </w:p>
        </w:tc>
      </w:tr>
      <w:tr>
        <w:tc>
          <w:tcPr>
            <w:tcW w:type="dxa" w:w="4873"/>
          </w:tcPr>
          <w:p>
            <w:r/>
            <w:r>
              <w:rPr>
                <w:b w:val="0"/>
                <w:i w:val="0"/>
                <w:sz w:val="18"/>
              </w:rPr>
              <w:t>Canaux</w:t>
            </w:r>
          </w:p>
        </w:tc>
        <w:tc>
          <w:tcPr>
            <w:tcW w:type="dxa" w:w="4873"/>
          </w:tcPr>
          <w:p>
            <w:r/>
            <w:r>
              <w:rPr>
                <w:b w:val="0"/>
                <w:i w:val="0"/>
                <w:sz w:val="18"/>
              </w:rPr>
              <w:t>Mobile Money : 598 515 ; Visa virtuelle : 33 453 (lancée en 2021)</w:t>
            </w:r>
          </w:p>
        </w:tc>
      </w:tr>
      <w:tr>
        <w:tc>
          <w:tcPr>
            <w:tcW w:type="dxa" w:w="4873"/>
          </w:tcPr>
          <w:p>
            <w:r/>
            <w:r>
              <w:rPr>
                <w:b w:val="0"/>
                <w:i w:val="0"/>
                <w:sz w:val="18"/>
              </w:rPr>
              <w:t>Opérateurs</w:t>
            </w:r>
          </w:p>
        </w:tc>
        <w:tc>
          <w:tcPr>
            <w:tcW w:type="dxa" w:w="4873"/>
          </w:tcPr>
          <w:p>
            <w:r/>
            <w:r>
              <w:rPr>
                <w:b w:val="0"/>
                <w:i w:val="0"/>
                <w:sz w:val="18"/>
              </w:rPr>
              <w:t>Vodacom : 319 549 ; Airtel : 180 649 ; Orange : 131 770</w:t>
            </w:r>
          </w:p>
        </w:tc>
      </w:tr>
      <w:tr>
        <w:tc>
          <w:tcPr>
            <w:tcW w:type="dxa" w:w="4873"/>
          </w:tcPr>
          <w:p>
            <w:r/>
            <w:r>
              <w:rPr>
                <w:b w:val="0"/>
                <w:i w:val="0"/>
                <w:sz w:val="18"/>
              </w:rPr>
              <w:t>Monnaies</w:t>
            </w:r>
          </w:p>
        </w:tc>
        <w:tc>
          <w:tcPr>
            <w:tcW w:type="dxa" w:w="4873"/>
          </w:tcPr>
          <w:p>
            <w:r/>
            <w:r>
              <w:rPr>
                <w:b w:val="0"/>
                <w:i w:val="0"/>
                <w:sz w:val="18"/>
              </w:rPr>
              <w:t>CDF et USD, taux de change par année</w:t>
            </w:r>
          </w:p>
        </w:tc>
      </w:tr>
    </w:tbl>
    <w:p/>
    <w:p>
      <w:pPr>
        <w:spacing w:after="120"/>
      </w:pPr>
      <w:r>
        <w:rPr>
          <w:b w:val="0"/>
          <w:i/>
        </w:rPr>
        <w:t>Tableau II.14 — Caractéristiques du jeu de données.</w:t>
      </w:r>
    </w:p>
    <w:p>
      <w:pPr>
        <w:spacing w:after="120"/>
      </w:pPr>
      <w:r>
        <w:rPr>
          <w:b w:val="0"/>
          <w:i w:val="0"/>
        </w:rPr>
        <w:t>Répartition des fraudes par typologie : échange de SIM 2 220, ingénierie sociale 1 850, fractionnement 1 334, prise de contrôle 1 112, fraude d'agent 888, carte non présente 406, test de carte 362, vidage par rechargement 254.</w:t>
      </w:r>
    </w:p>
    <w:p>
      <w:pPr>
        <w:pStyle w:val="Heading3"/>
      </w:pPr>
      <w:r>
        <w:t>d) Ce que le générateur modélise</w:t>
      </w:r>
    </w:p>
    <w:p>
      <w:pPr>
        <w:spacing w:after="120"/>
      </w:pPr>
      <w:r>
        <w:rPr>
          <w:b w:val="0"/>
          <w:i w:val="0"/>
        </w:rPr>
        <w:t xml:space="preserve">Les paramètres de simulation sont des </w:t>
      </w:r>
      <w:r>
        <w:rPr>
          <w:b/>
          <w:i w:val="0"/>
        </w:rPr>
        <w:t>hypothèses de l'auteur</w:t>
      </w:r>
      <w:r>
        <w:rPr>
          <w:b w:val="0"/>
          <w:i w:val="0"/>
        </w:rPr>
        <w:t>, choisies pour produire des ordres de grandeur plausibles ; ce ne sont pas des statistiques officielles. Le générateur reproduit :</w:t>
      </w:r>
    </w:p>
    <w:p>
      <w:pPr>
        <w:pStyle w:val="ListBullet"/>
      </w:pPr>
      <w:r>
        <w:rPr>
          <w:b w:val="0"/>
          <w:i w:val="0"/>
        </w:rPr>
        <w:t xml:space="preserve">des </w:t>
      </w:r>
      <w:r>
        <w:rPr>
          <w:b/>
          <w:i w:val="0"/>
        </w:rPr>
        <w:t>rythmes individuels</w:t>
      </w:r>
      <w:r>
        <w:rPr>
          <w:b w:val="0"/>
          <w:i w:val="0"/>
        </w:rPr>
        <w:t xml:space="preserve"> : heures d'activité propres à chaque client, cycles hebdomadaires, pics de fin de mois, frais scolaires de septembre, abonnements récurrents ;</w:t>
      </w:r>
    </w:p>
    <w:p>
      <w:pPr>
        <w:pStyle w:val="ListBullet"/>
      </w:pPr>
      <w:r>
        <w:rPr>
          <w:b w:val="0"/>
          <w:i w:val="0"/>
        </w:rPr>
        <w:t xml:space="preserve">des </w:t>
      </w:r>
      <w:r>
        <w:rPr>
          <w:b/>
          <w:i w:val="0"/>
        </w:rPr>
        <w:t>cas légitimes difficiles</w:t>
      </w:r>
      <w:r>
        <w:rPr>
          <w:b w:val="0"/>
          <w:i w:val="0"/>
        </w:rPr>
        <w:t xml:space="preserve"> : changement de téléphone (4 % des clients), voyage, usage nocturne, nouveau destinataire, montant inhabituel mais légitime ;</w:t>
      </w:r>
    </w:p>
    <w:p>
      <w:pPr>
        <w:pStyle w:val="ListBullet"/>
      </w:pPr>
      <w:r>
        <w:rPr>
          <w:b w:val="0"/>
          <w:i w:val="0"/>
        </w:rPr>
        <w:t xml:space="preserve">des </w:t>
      </w:r>
      <w:r>
        <w:rPr>
          <w:b/>
          <w:i w:val="0"/>
        </w:rPr>
        <w:t>déplacements réalistes</w:t>
      </w:r>
      <w:r>
        <w:rPr>
          <w:b w:val="0"/>
          <w:i w:val="0"/>
        </w:rPr>
        <w:t xml:space="preserve"> : la durée de trajet entre provinces est respectée ;</w:t>
      </w:r>
    </w:p>
    <w:p>
      <w:pPr>
        <w:pStyle w:val="ListBullet"/>
      </w:pPr>
      <w:r>
        <w:rPr>
          <w:b w:val="0"/>
          <w:i w:val="0"/>
        </w:rPr>
        <w:t xml:space="preserve">des </w:t>
      </w:r>
      <w:r>
        <w:rPr>
          <w:b/>
          <w:i w:val="0"/>
        </w:rPr>
        <w:t>fraudes par épisodes</w:t>
      </w:r>
      <w:r>
        <w:rPr>
          <w:b w:val="0"/>
          <w:i w:val="0"/>
        </w:rPr>
        <w:t>, sur des victimes dont le solde est réellement débité ; une fraude échoue si le solde est insuffisant ;</w:t>
      </w:r>
    </w:p>
    <w:p>
      <w:pPr>
        <w:pStyle w:val="ListBullet"/>
      </w:pPr>
      <w:r>
        <w:rPr>
          <w:b w:val="0"/>
          <w:i w:val="0"/>
        </w:rPr>
        <w:t xml:space="preserve">une </w:t>
      </w:r>
      <w:r>
        <w:rPr>
          <w:b/>
          <w:i w:val="0"/>
        </w:rPr>
        <w:t>évolution des fraudes dans le temps</w:t>
      </w:r>
      <w:r>
        <w:rPr>
          <w:b w:val="0"/>
          <w:i w:val="0"/>
        </w:rPr>
        <w:t xml:space="preserve"> (paramètres </w:t>
      </w:r>
      <w:r>
        <w:rPr>
          <w:rFonts w:ascii="Consolas" w:hAnsi="Consolas"/>
          <w:b w:val="0"/>
          <w:i w:val="0"/>
          <w:color w:val="1F3A8A"/>
          <w:sz w:val="18"/>
        </w:rPr>
        <w:t>FRAUD_TRENDS</w:t>
      </w:r>
      <w:r>
        <w:rPr>
          <w:b w:val="0"/>
          <w:i w:val="0"/>
        </w:rPr>
        <w:t>) : l'ingénierie sociale et le fractionnement progressent sur la période, ce qui permet de tester H5.</w:t>
      </w:r>
    </w:p>
    <w:p>
      <w:pPr>
        <w:pStyle w:val="Heading3"/>
      </w:pPr>
      <w:r>
        <w:t>e) Confrontation aux sources officielles</w:t>
      </w:r>
    </w:p>
    <w:p>
      <w:pPr>
        <w:spacing w:after="120"/>
      </w:pPr>
      <w:r>
        <w:rPr>
          <w:b w:val="0"/>
          <w:i w:val="0"/>
        </w:rPr>
        <w:t>Les paramètres ont été fixés avant d'être comparés, a posteriori, aux statistiques publiées par l'ARPTC, la BCC et la Banque mondiale :</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Indicateur</w:t>
            </w:r>
          </w:p>
        </w:tc>
        <w:tc>
          <w:tcPr>
            <w:tcW w:type="dxa" w:w="2436"/>
            <w:shd w:val="clear" w:color="auto" w:fill="DCE6F7"/>
          </w:tcPr>
          <w:p>
            <w:r/>
            <w:r>
              <w:rPr>
                <w:b/>
                <w:i w:val="0"/>
                <w:sz w:val="18"/>
              </w:rPr>
              <w:t>Générateur</w:t>
            </w:r>
          </w:p>
        </w:tc>
        <w:tc>
          <w:tcPr>
            <w:tcW w:type="dxa" w:w="2436"/>
            <w:shd w:val="clear" w:color="auto" w:fill="DCE6F7"/>
          </w:tcPr>
          <w:p>
            <w:r/>
            <w:r>
              <w:rPr>
                <w:b/>
                <w:i w:val="0"/>
                <w:sz w:val="18"/>
              </w:rPr>
              <w:t>Source officielle</w:t>
            </w:r>
          </w:p>
        </w:tc>
        <w:tc>
          <w:tcPr>
            <w:tcW w:type="dxa" w:w="2436"/>
            <w:shd w:val="clear" w:color="auto" w:fill="DCE6F7"/>
          </w:tcPr>
          <w:p>
            <w:r/>
            <w:r>
              <w:rPr>
                <w:b/>
                <w:i w:val="0"/>
                <w:sz w:val="18"/>
              </w:rPr>
              <w:t>Écart</w:t>
            </w:r>
          </w:p>
        </w:tc>
      </w:tr>
      <w:tr>
        <w:tc>
          <w:tcPr>
            <w:tcW w:type="dxa" w:w="2436"/>
          </w:tcPr>
          <w:p>
            <w:r/>
            <w:r>
              <w:rPr>
                <w:b w:val="0"/>
                <w:i w:val="0"/>
                <w:sz w:val="18"/>
              </w:rPr>
              <w:t>Clients par opérateur</w:t>
            </w:r>
          </w:p>
        </w:tc>
        <w:tc>
          <w:tcPr>
            <w:tcW w:type="dxa" w:w="2436"/>
          </w:tcPr>
          <w:p>
            <w:r/>
            <w:r>
              <w:rPr>
                <w:b w:val="0"/>
                <w:i w:val="0"/>
                <w:sz w:val="18"/>
              </w:rPr>
              <w:t>Vodacom 45 %, Airtel 32 %, Orange 23 %</w:t>
            </w:r>
          </w:p>
        </w:tc>
        <w:tc>
          <w:tcPr>
            <w:tcW w:type="dxa" w:w="2436"/>
          </w:tcPr>
          <w:p>
            <w:r/>
            <w:r>
              <w:rPr>
                <w:b w:val="0"/>
                <w:i w:val="0"/>
                <w:sz w:val="18"/>
              </w:rPr>
              <w:t>Abonnés actifs fin 2025 : 45 % / 33 % / 23 % (ARPTC)</w:t>
            </w:r>
          </w:p>
        </w:tc>
        <w:tc>
          <w:tcPr>
            <w:tcW w:type="dxa" w:w="2436"/>
          </w:tcPr>
          <w:p>
            <w:r/>
            <w:r>
              <w:rPr>
                <w:b w:val="0"/>
                <w:i w:val="0"/>
                <w:sz w:val="18"/>
              </w:rPr>
              <w:t>cohérent</w:t>
            </w:r>
          </w:p>
        </w:tc>
      </w:tr>
      <w:tr>
        <w:tc>
          <w:tcPr>
            <w:tcW w:type="dxa" w:w="2436"/>
          </w:tcPr>
          <w:p>
            <w:r/>
            <w:r>
              <w:rPr>
                <w:b w:val="0"/>
                <w:i w:val="0"/>
                <w:sz w:val="18"/>
              </w:rPr>
              <w:t>Provinces les plus actives</w:t>
            </w:r>
          </w:p>
        </w:tc>
        <w:tc>
          <w:tcPr>
            <w:tcW w:type="dxa" w:w="2436"/>
          </w:tcPr>
          <w:p>
            <w:r/>
            <w:r>
              <w:rPr>
                <w:b w:val="0"/>
                <w:i w:val="0"/>
                <w:sz w:val="18"/>
              </w:rPr>
              <w:t>Kinshasa, Haut-Katanga, Nord-Kivu</w:t>
            </w:r>
          </w:p>
        </w:tc>
        <w:tc>
          <w:tcPr>
            <w:tcW w:type="dxa" w:w="2436"/>
          </w:tcPr>
          <w:p>
            <w:r/>
            <w:r>
              <w:rPr>
                <w:b w:val="0"/>
                <w:i w:val="0"/>
                <w:sz w:val="18"/>
              </w:rPr>
              <w:t>Même classement des revenus Mobile Money, T1 2024 (ARPTC)</w:t>
            </w:r>
          </w:p>
        </w:tc>
        <w:tc>
          <w:tcPr>
            <w:tcW w:type="dxa" w:w="2436"/>
          </w:tcPr>
          <w:p>
            <w:r/>
            <w:r>
              <w:rPr>
                <w:b w:val="0"/>
                <w:i w:val="0"/>
                <w:sz w:val="18"/>
              </w:rPr>
              <w:t>même classement</w:t>
            </w:r>
          </w:p>
        </w:tc>
      </w:tr>
      <w:tr>
        <w:tc>
          <w:tcPr>
            <w:tcW w:type="dxa" w:w="2436"/>
          </w:tcPr>
          <w:p>
            <w:r/>
            <w:r>
              <w:rPr>
                <w:b w:val="0"/>
                <w:i w:val="0"/>
                <w:sz w:val="18"/>
              </w:rPr>
              <w:t>Taux USD/CDF 2019 à 2022</w:t>
            </w:r>
          </w:p>
        </w:tc>
        <w:tc>
          <w:tcPr>
            <w:tcW w:type="dxa" w:w="2436"/>
          </w:tcPr>
          <w:p>
            <w:r/>
            <w:r>
              <w:rPr>
                <w:b w:val="0"/>
                <w:i w:val="0"/>
                <w:sz w:val="18"/>
              </w:rPr>
              <w:t>1 650 ; 1 850 ; 1 990 ; 2 010</w:t>
            </w:r>
          </w:p>
        </w:tc>
        <w:tc>
          <w:tcPr>
            <w:tcW w:type="dxa" w:w="2436"/>
          </w:tcPr>
          <w:p>
            <w:r/>
            <w:r>
              <w:rPr>
                <w:b w:val="0"/>
                <w:i w:val="0"/>
                <w:sz w:val="18"/>
              </w:rPr>
              <w:t>1 647,8 ; 1 851,1 ; 1 989,4 ; 2 006,7 (Banque mondiale, d'après la BCC)</w:t>
            </w:r>
          </w:p>
        </w:tc>
        <w:tc>
          <w:tcPr>
            <w:tcW w:type="dxa" w:w="2436"/>
          </w:tcPr>
          <w:p>
            <w:r/>
            <w:r>
              <w:rPr>
                <w:b w:val="0"/>
                <w:i w:val="0"/>
                <w:sz w:val="18"/>
              </w:rPr>
              <w:t>moins de 0,2 %</w:t>
            </w:r>
          </w:p>
        </w:tc>
      </w:tr>
      <w:tr>
        <w:tc>
          <w:tcPr>
            <w:tcW w:type="dxa" w:w="2436"/>
          </w:tcPr>
          <w:p>
            <w:r/>
            <w:r>
              <w:rPr>
                <w:b w:val="0"/>
                <w:i w:val="0"/>
                <w:sz w:val="18"/>
              </w:rPr>
              <w:t>Taux USD/CDF 2023 et 2025</w:t>
            </w:r>
          </w:p>
        </w:tc>
        <w:tc>
          <w:tcPr>
            <w:tcW w:type="dxa" w:w="2436"/>
          </w:tcPr>
          <w:p>
            <w:r/>
            <w:r>
              <w:rPr>
                <w:b w:val="0"/>
                <w:i w:val="0"/>
                <w:sz w:val="18"/>
              </w:rPr>
              <w:t>2 450 ; 2 850</w:t>
            </w:r>
          </w:p>
        </w:tc>
        <w:tc>
          <w:tcPr>
            <w:tcW w:type="dxa" w:w="2436"/>
          </w:tcPr>
          <w:p>
            <w:r/>
            <w:r>
              <w:rPr>
                <w:b w:val="0"/>
                <w:i w:val="0"/>
                <w:sz w:val="18"/>
              </w:rPr>
              <w:t>2 340,0 ; 2 693,2</w:t>
            </w:r>
          </w:p>
        </w:tc>
        <w:tc>
          <w:tcPr>
            <w:tcW w:type="dxa" w:w="2436"/>
          </w:tcPr>
          <w:p>
            <w:r/>
            <w:r>
              <w:rPr>
                <w:b w:val="0"/>
                <w:i w:val="0"/>
                <w:sz w:val="18"/>
              </w:rPr>
              <w:t>+ 4,7 % ; + 5,8 %</w:t>
            </w:r>
          </w:p>
        </w:tc>
      </w:tr>
      <w:tr>
        <w:tc>
          <w:tcPr>
            <w:tcW w:type="dxa" w:w="2436"/>
          </w:tcPr>
          <w:p>
            <w:r/>
            <w:r>
              <w:rPr>
                <w:b w:val="0"/>
                <w:i w:val="0"/>
                <w:sz w:val="18"/>
              </w:rPr>
              <w:t>Taux de fraude</w:t>
            </w:r>
          </w:p>
        </w:tc>
        <w:tc>
          <w:tcPr>
            <w:tcW w:type="dxa" w:w="2436"/>
          </w:tcPr>
          <w:p>
            <w:r/>
            <w:r>
              <w:rPr>
                <w:b w:val="0"/>
                <w:i w:val="0"/>
                <w:sz w:val="18"/>
              </w:rPr>
              <w:t>1,24 % (Mobile Money)</w:t>
            </w:r>
          </w:p>
        </w:tc>
        <w:tc>
          <w:tcPr>
            <w:tcW w:type="dxa" w:w="2436"/>
          </w:tcPr>
          <w:p>
            <w:r/>
            <w:r>
              <w:rPr>
                <w:b w:val="0"/>
                <w:i w:val="0"/>
                <w:sz w:val="18"/>
              </w:rPr>
              <w:t>aucune statistique publique pour la RDC</w:t>
            </w:r>
          </w:p>
        </w:tc>
        <w:tc>
          <w:tcPr>
            <w:tcW w:type="dxa" w:w="2436"/>
          </w:tcPr>
          <w:p>
            <w:r/>
            <w:r>
              <w:rPr>
                <w:b w:val="0"/>
                <w:i w:val="0"/>
                <w:sz w:val="18"/>
              </w:rPr>
              <w:t>non vérifiable</w:t>
            </w:r>
          </w:p>
        </w:tc>
      </w:tr>
    </w:tbl>
    <w:p/>
    <w:p>
      <w:pPr>
        <w:spacing w:after="120"/>
      </w:pPr>
      <w:r>
        <w:rPr>
          <w:b w:val="0"/>
          <w:i/>
        </w:rPr>
        <w:t>Tableau II.15 — Confrontation du générateur aux sources officielles.</w:t>
      </w:r>
    </w:p>
    <w:p>
      <w:pPr>
        <w:spacing w:after="120"/>
      </w:pPr>
      <w:r>
        <w:rPr>
          <w:b w:val="0"/>
          <w:i w:val="0"/>
        </w:rPr>
        <w:t xml:space="preserve">La </w:t>
      </w:r>
      <w:r>
        <w:rPr>
          <w:b/>
          <w:i w:val="0"/>
        </w:rPr>
        <w:t>structure</w:t>
      </w:r>
      <w:r>
        <w:rPr>
          <w:b w:val="0"/>
          <w:i w:val="0"/>
        </w:rPr>
        <w:t xml:space="preserve"> du marché simulé est donc cohérente avec les statistiques officielles. En revanche, le </w:t>
      </w:r>
      <w:r>
        <w:rPr>
          <w:b/>
          <w:i w:val="0"/>
        </w:rPr>
        <w:t>taux de fraude</w:t>
      </w:r>
      <w:r>
        <w:rPr>
          <w:b w:val="0"/>
          <w:i w:val="0"/>
        </w:rPr>
        <w:t xml:space="preserve"> et la </w:t>
      </w:r>
      <w:r>
        <w:rPr>
          <w:b/>
          <w:i w:val="0"/>
        </w:rPr>
        <w:t>répartition des typologies</w:t>
      </w:r>
      <w:r>
        <w:rPr>
          <w:b w:val="0"/>
          <w:i w:val="0"/>
        </w:rPr>
        <w:t xml:space="preserve"> restent des hypothèses, qu'aucune donnée publique ne permet de vérifier pour la RDC.</w:t>
      </w:r>
    </w:p>
    <w:p>
      <w:pPr>
        <w:pStyle w:val="Heading3"/>
      </w:pPr>
      <w:r>
        <w:t>II.2.4 Préparation des données et ingénierie des variables</w:t>
      </w:r>
    </w:p>
    <w:p>
      <w:pPr>
        <w:pStyle w:val="Heading3"/>
      </w:pPr>
      <w:r>
        <w:t>a) Principe</w:t>
      </w:r>
    </w:p>
    <w:p>
      <w:pPr>
        <w:spacing w:after="120"/>
      </w:pPr>
      <w:r>
        <w:rPr>
          <w:b w:val="0"/>
          <w:i w:val="0"/>
        </w:rPr>
        <w:t xml:space="preserve">Le profilage comportemental repose sur une idée simple : une fraude se manifeste par une </w:t>
      </w:r>
      <w:r>
        <w:rPr>
          <w:b/>
          <w:i w:val="0"/>
        </w:rPr>
        <w:t>rupture des habitudes</w:t>
      </w:r>
      <w:r>
        <w:rPr>
          <w:b w:val="0"/>
          <w:i w:val="0"/>
        </w:rPr>
        <w:t xml:space="preserve"> du client. Chaque transaction est donc décrite par </w:t>
      </w:r>
      <w:r>
        <w:rPr>
          <w:b/>
          <w:i w:val="0"/>
        </w:rPr>
        <w:t>58 variables</w:t>
      </w:r>
      <w:r>
        <w:rPr>
          <w:b w:val="0"/>
          <w:i w:val="0"/>
        </w:rPr>
        <w:t>, qui mesurent l'écart entre l'opération courante et le comportement passé du client.</w:t>
      </w:r>
    </w:p>
    <w:p>
      <w:pPr>
        <w:spacing w:after="120"/>
      </w:pPr>
      <w:r>
        <w:rPr>
          <w:b w:val="0"/>
          <w:i w:val="0"/>
        </w:rPr>
        <w:t xml:space="preserve">Toutes les variables sont calculées </w:t>
      </w:r>
      <w:r>
        <w:rPr>
          <w:b/>
          <w:i w:val="0"/>
        </w:rPr>
        <w:t>uniquement à partir du passé</w:t>
      </w:r>
      <w:r>
        <w:rPr>
          <w:b w:val="0"/>
          <w:i w:val="0"/>
        </w:rPr>
        <w:t xml:space="preserve"> du client, par un rejeu chronologique des opérations. Aucune information future ne peut ainsi entrer dans le calcul, ce qui exclut toute fuite d'information (BT-13). Les </w:t>
      </w:r>
      <w:r>
        <w:rPr>
          <w:b/>
          <w:i w:val="0"/>
        </w:rPr>
        <w:t>mêmes fonctions</w:t>
      </w:r>
      <w:r>
        <w:rPr>
          <w:b w:val="0"/>
          <w:i w:val="0"/>
        </w:rPr>
        <w:t xml:space="preserve"> servent à l'entraînement et en production (BT-11).</w:t>
      </w:r>
    </w:p>
    <w:p>
      <w:pPr>
        <w:pStyle w:val="Heading3"/>
      </w:pPr>
      <w:r>
        <w:t>b) Familles de variables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Famille</w:t>
            </w:r>
          </w:p>
        </w:tc>
        <w:tc>
          <w:tcPr>
            <w:tcW w:type="dxa" w:w="3249"/>
            <w:shd w:val="clear" w:color="auto" w:fill="DCE6F7"/>
          </w:tcPr>
          <w:p>
            <w:r/>
            <w:r>
              <w:rPr>
                <w:b/>
                <w:i w:val="0"/>
                <w:sz w:val="18"/>
              </w:rPr>
              <w:t>Exemples</w:t>
            </w:r>
          </w:p>
        </w:tc>
        <w:tc>
          <w:tcPr>
            <w:tcW w:type="dxa" w:w="3249"/>
            <w:shd w:val="clear" w:color="auto" w:fill="DCE6F7"/>
          </w:tcPr>
          <w:p>
            <w:r/>
            <w:r>
              <w:rPr>
                <w:b/>
                <w:i w:val="0"/>
                <w:sz w:val="18"/>
              </w:rPr>
              <w:t>Ce qu'elle capte</w:t>
            </w:r>
          </w:p>
        </w:tc>
      </w:tr>
      <w:tr>
        <w:tc>
          <w:tcPr>
            <w:tcW w:type="dxa" w:w="3249"/>
          </w:tcPr>
          <w:p>
            <w:r/>
            <w:r>
              <w:rPr>
                <w:b/>
                <w:i w:val="0"/>
                <w:sz w:val="18"/>
              </w:rPr>
              <w:t>Montants</w:t>
            </w:r>
          </w:p>
        </w:tc>
        <w:tc>
          <w:tcPr>
            <w:tcW w:type="dxa" w:w="3249"/>
          </w:tcPr>
          <w:p>
            <w:r/>
            <w:r>
              <w:rPr>
                <w:b w:val="0"/>
                <w:i w:val="0"/>
                <w:sz w:val="18"/>
              </w:rPr>
              <w:t>écart au montant habituel, rapport au montant moyen, part du solde, vidage, montant / plafond KYC</w:t>
            </w:r>
          </w:p>
        </w:tc>
        <w:tc>
          <w:tcPr>
            <w:tcW w:type="dxa" w:w="3249"/>
          </w:tcPr>
          <w:p>
            <w:r/>
            <w:r>
              <w:rPr>
                <w:b w:val="0"/>
                <w:i w:val="0"/>
                <w:sz w:val="18"/>
              </w:rPr>
              <w:t>rupture des habitudes de dépense</w:t>
            </w:r>
          </w:p>
        </w:tc>
      </w:tr>
      <w:tr>
        <w:tc>
          <w:tcPr>
            <w:tcW w:type="dxa" w:w="3249"/>
          </w:tcPr>
          <w:p>
            <w:r/>
            <w:r>
              <w:rPr>
                <w:b/>
                <w:i w:val="0"/>
                <w:sz w:val="18"/>
              </w:rPr>
              <w:t>Fréquentielles</w:t>
            </w:r>
          </w:p>
        </w:tc>
        <w:tc>
          <w:tcPr>
            <w:tcW w:type="dxa" w:w="3249"/>
          </w:tcPr>
          <w:p>
            <w:r/>
            <w:r>
              <w:rPr>
                <w:b w:val="0"/>
                <w:i w:val="0"/>
                <w:sz w:val="18"/>
              </w:rPr>
              <w:t>nombre d'opérations sur 1 h, 24 h et 7 j ; somme débitée sur 24 h ; délai depuis l'opération précédente</w:t>
            </w:r>
          </w:p>
        </w:tc>
        <w:tc>
          <w:tcPr>
            <w:tcW w:type="dxa" w:w="3249"/>
          </w:tcPr>
          <w:p>
            <w:r/>
            <w:r>
              <w:rPr>
                <w:b w:val="0"/>
                <w:i w:val="0"/>
                <w:sz w:val="18"/>
              </w:rPr>
              <w:t>vélocité anormale (vidage, salves)</w:t>
            </w:r>
          </w:p>
        </w:tc>
      </w:tr>
      <w:tr>
        <w:tc>
          <w:tcPr>
            <w:tcW w:type="dxa" w:w="3249"/>
          </w:tcPr>
          <w:p>
            <w:r/>
            <w:r>
              <w:rPr>
                <w:b/>
                <w:i w:val="0"/>
                <w:sz w:val="18"/>
              </w:rPr>
              <w:t>Contextuelles</w:t>
            </w:r>
          </w:p>
        </w:tc>
        <w:tc>
          <w:tcPr>
            <w:tcW w:type="dxa" w:w="3249"/>
          </w:tcPr>
          <w:p>
            <w:r/>
            <w:r>
              <w:rPr>
                <w:b w:val="0"/>
                <w:i w:val="0"/>
                <w:sz w:val="18"/>
              </w:rPr>
              <w:t>nouvel appareil, nouvel agent, nouvelle province, nouveau destinataire, destinataire lié à de nombreux clients, adresse IP étrangère</w:t>
            </w:r>
          </w:p>
        </w:tc>
        <w:tc>
          <w:tcPr>
            <w:tcW w:type="dxa" w:w="3249"/>
          </w:tcPr>
          <w:p>
            <w:r/>
            <w:r>
              <w:rPr>
                <w:b w:val="0"/>
                <w:i w:val="0"/>
                <w:sz w:val="18"/>
              </w:rPr>
              <w:t>rupture de contexte</w:t>
            </w:r>
          </w:p>
        </w:tc>
      </w:tr>
      <w:tr>
        <w:tc>
          <w:tcPr>
            <w:tcW w:type="dxa" w:w="3249"/>
          </w:tcPr>
          <w:p>
            <w:r/>
            <w:r>
              <w:rPr>
                <w:b/>
                <w:i w:val="0"/>
                <w:sz w:val="18"/>
              </w:rPr>
              <w:t>Temporelles</w:t>
            </w:r>
          </w:p>
        </w:tc>
        <w:tc>
          <w:tcPr>
            <w:tcW w:type="dxa" w:w="3249"/>
          </w:tcPr>
          <w:p>
            <w:r/>
            <w:r>
              <w:rPr>
                <w:b w:val="0"/>
                <w:i w:val="0"/>
                <w:sz w:val="18"/>
              </w:rPr>
              <w:t>heure cyclique, nuit inhabituelle, écart à l'heure habituelle, jour de la semaine</w:t>
            </w:r>
          </w:p>
        </w:tc>
        <w:tc>
          <w:tcPr>
            <w:tcW w:type="dxa" w:w="3249"/>
          </w:tcPr>
          <w:p>
            <w:r/>
            <w:r>
              <w:rPr>
                <w:b w:val="0"/>
                <w:i w:val="0"/>
                <w:sz w:val="18"/>
              </w:rPr>
              <w:t>rupture des horaires</w:t>
            </w:r>
          </w:p>
        </w:tc>
      </w:tr>
      <w:tr>
        <w:tc>
          <w:tcPr>
            <w:tcW w:type="dxa" w:w="3249"/>
          </w:tcPr>
          <w:p>
            <w:r/>
            <w:r>
              <w:rPr>
                <w:b w:val="0"/>
                <w:i w:val="0"/>
                <w:sz w:val="18"/>
              </w:rPr>
              <w:t>Socle</w:t>
            </w:r>
          </w:p>
        </w:tc>
        <w:tc>
          <w:tcPr>
            <w:tcW w:type="dxa" w:w="3249"/>
          </w:tcPr>
          <w:p>
            <w:r/>
            <w:r>
              <w:rPr>
                <w:b w:val="0"/>
                <w:i w:val="0"/>
                <w:sz w:val="18"/>
              </w:rPr>
              <w:t>type d'opération, canal d'accès, ancienneté, niveau KYC</w:t>
            </w:r>
          </w:p>
        </w:tc>
        <w:tc>
          <w:tcPr>
            <w:tcW w:type="dxa" w:w="3249"/>
          </w:tcPr>
          <w:p>
            <w:r/>
            <w:r>
              <w:rPr>
                <w:b w:val="0"/>
                <w:i w:val="0"/>
                <w:sz w:val="18"/>
              </w:rPr>
              <w:t>contexte de l'opération</w:t>
            </w:r>
          </w:p>
        </w:tc>
      </w:tr>
      <w:tr>
        <w:tc>
          <w:tcPr>
            <w:tcW w:type="dxa" w:w="3249"/>
          </w:tcPr>
          <w:p>
            <w:r/>
            <w:r>
              <w:rPr>
                <w:b/>
                <w:i w:val="0"/>
                <w:sz w:val="18"/>
              </w:rPr>
              <w:t>Physiques</w:t>
            </w:r>
            <w:r>
              <w:rPr>
                <w:b w:val="0"/>
                <w:i w:val="0"/>
                <w:sz w:val="18"/>
              </w:rPr>
              <w:t xml:space="preserve"> (hors entrée du modèle)</w:t>
            </w:r>
          </w:p>
        </w:tc>
        <w:tc>
          <w:tcPr>
            <w:tcW w:type="dxa" w:w="3249"/>
          </w:tcPr>
          <w:p>
            <w:r/>
            <w:r>
              <w:rPr>
                <w:b w:val="0"/>
                <w:i w:val="0"/>
                <w:sz w:val="18"/>
              </w:rPr>
              <w:t>infaisabilité du déplacement, déficit de conservation, vitesse de vidage</w:t>
            </w:r>
          </w:p>
        </w:tc>
        <w:tc>
          <w:tcPr>
            <w:tcW w:type="dxa" w:w="3249"/>
          </w:tcPr>
          <w:p>
            <w:r/>
            <w:r>
              <w:rPr>
                <w:b w:val="0"/>
                <w:i w:val="0"/>
                <w:sz w:val="18"/>
              </w:rPr>
              <w:t>lois que la fraude ne peut contourner</w:t>
            </w:r>
          </w:p>
        </w:tc>
      </w:tr>
    </w:tbl>
    <w:p/>
    <w:p>
      <w:pPr>
        <w:spacing w:after="120"/>
      </w:pPr>
      <w:r>
        <w:rPr>
          <w:b w:val="0"/>
          <w:i/>
        </w:rPr>
        <w:t>Tableau II.16 — Familles de variables comportementales.</w:t>
      </w:r>
    </w:p>
    <w:p>
      <w:pPr>
        <w:pStyle w:val="Heading3"/>
      </w:pPr>
      <w:r>
        <w:t>c) Formulation des principales variables</w:t>
      </w:r>
    </w:p>
    <w:p>
      <w:pPr>
        <w:spacing w:after="120"/>
      </w:pPr>
      <w:r>
        <w:rPr>
          <w:b w:val="0"/>
          <w:i w:val="0"/>
        </w:rPr>
        <w:t xml:space="preserve">Soit </w:t>
      </w:r>
      <m:oMath>
        <m:r>
          <m:t>u</m:t>
        </m:r>
      </m:oMath>
      <w:r>
        <w:rPr>
          <w:b w:val="0"/>
          <w:i w:val="0"/>
        </w:rPr>
        <w:t xml:space="preserve"> un client, </w:t>
      </w:r>
      <m:oMath>
        <m:sSub>
          <m:e>
            <m:r>
              <m:t>a</m:t>
            </m:r>
          </m:e>
          <m:sub>
            <m:r>
              <m:t>t</m:t>
            </m:r>
          </m:sub>
        </m:sSub>
      </m:oMath>
      <w:r>
        <w:rPr>
          <w:b w:val="0"/>
          <w:i w:val="0"/>
        </w:rPr>
        <w:t xml:space="preserve"> le montant en USD de l'opération à l'instant </w:t>
      </w:r>
      <m:oMath>
        <m:r>
          <m:t>t</m:t>
        </m:r>
      </m:oMath>
      <w:r>
        <w:rPr>
          <w:b w:val="0"/>
          <w:i w:val="0"/>
        </w:rPr>
        <w:t xml:space="preserve">, </w:t>
      </w:r>
      <m:oMath>
        <m:sSub>
          <m:e>
            <m:r>
              <m:t>n</m:t>
            </m:r>
          </m:e>
          <m:sub>
            <m:r>
              <m:t>u</m:t>
            </m:r>
          </m:sub>
        </m:sSub>
      </m:oMath>
      <w:r>
        <w:rPr>
          <w:b w:val="0"/>
          <w:i w:val="0"/>
        </w:rPr>
        <w:t xml:space="preserve"> le nombre d'opérations passées du client et </w:t>
      </w:r>
      <m:oMath>
        <m:sSub>
          <m:e>
            <m:r>
              <m:t>B</m:t>
            </m:r>
          </m:e>
          <m:sub>
            <m:r>
              <m:t>t</m:t>
            </m:r>
          </m:sub>
        </m:sSub>
      </m:oMath>
      <w:r>
        <w:rPr>
          <w:b w:val="0"/>
          <w:i w:val="0"/>
        </w:rPr>
        <w:t xml:space="preserve"> son solde avant l'opération.</w:t>
      </w:r>
    </w:p>
    <w:p>
      <w:pPr>
        <w:spacing w:after="120"/>
      </w:pPr>
      <w:r>
        <w:rPr>
          <w:b/>
          <w:i w:val="0"/>
        </w:rPr>
        <w:t>Écart au montant habituel.</w:t>
      </w:r>
      <w:r>
        <w:rPr>
          <w:b w:val="0"/>
          <w:i w:val="0"/>
        </w:rPr>
        <w:t xml:space="preserve"> On travaille sur le logarithme des montants, car leur distribution est très asymétrique :</w:t>
      </w:r>
    </w:p>
    <w:p>
      <w:pPr>
        <w:jc w:val="center"/>
      </w:pPr>
      <m:oMath>
        <m:sSub>
          <m:e>
            <m:r>
              <m:t>μ</m:t>
            </m:r>
          </m:e>
          <m:sub>
            <m:r>
              <m:t>u</m:t>
            </m:r>
          </m:sub>
        </m:sSub>
        <m:r>
          <m:t>=</m:t>
        </m:r>
        <m:f>
          <m:fPr>
            <m:type m:val="bar"/>
          </m:fPr>
          <m:num>
            <m:r>
              <m:t>1</m:t>
            </m:r>
          </m:num>
          <m:den>
            <m:sSub>
              <m:e>
                <m:r>
                  <m:t>n</m:t>
                </m:r>
              </m:e>
              <m:sub>
                <m:r>
                  <m:t>u</m:t>
                </m:r>
              </m:sub>
            </m:sSub>
          </m:den>
        </m:f>
        <m:nary>
          <m:naryPr>
            <m:chr m:val="∑"/>
            <m:limLoc m:val="subSup"/>
            <m:grow m:val="1"/>
            <m:subHide m:val="off"/>
            <m:supHide m:val="off"/>
          </m:naryPr>
          <m:sub>
            <m:r>
              <m:t>i=1</m:t>
            </m:r>
          </m:sub>
          <m:sup>
            <m:sSub>
              <m:e>
                <m:r>
                  <m:t>n</m:t>
                </m:r>
              </m:e>
              <m:sub>
                <m:r>
                  <m:t>u</m:t>
                </m:r>
              </m:sub>
            </m:sSub>
          </m:sup>
          <m:e>
            <m:r>
              <m:rPr>
                <m:sty m:val="p"/>
              </m:rPr>
              <m:t>ln</m:t>
            </m:r>
            <m:r>
              <m:t>(1+</m:t>
            </m:r>
          </m:e>
        </m:nary>
        <m:sSub>
          <m:e>
            <m:r>
              <m:t>a</m:t>
            </m:r>
          </m:e>
          <m:sub>
            <m:r>
              <m:t>i</m:t>
            </m:r>
          </m:sub>
        </m:sSub>
        <m:r>
          <m:t>),</m:t>
        </m:r>
        <m:sSub>
          <m:e>
            <m:r>
              <m:t>z</m:t>
            </m:r>
          </m:e>
          <m:sub>
            <m:r>
              <m:rPr>
                <m:nor/>
              </m:rPr>
              <m:t>montant</m:t>
            </m:r>
          </m:sub>
        </m:sSub>
        <m:r>
          <m:t>=</m:t>
        </m:r>
        <m:r>
          <m:rPr>
            <m:sty m:val="p"/>
          </m:rPr>
          <m:t>clip</m:t>
        </m:r>
        <m:d>
          <m:dPr>
            <m:sepChr m:val=""/>
          </m:dPr>
          <m:e>
            <m:f>
              <m:fPr>
                <m:type m:val="bar"/>
              </m:fPr>
              <m:num>
                <m:r>
                  <m:rPr>
                    <m:sty m:val="p"/>
                  </m:rPr>
                  <m:t>ln</m:t>
                </m:r>
                <m:r>
                  <m:t>(1+</m:t>
                </m:r>
                <m:sSub>
                  <m:e>
                    <m:r>
                      <m:t>a</m:t>
                    </m:r>
                  </m:e>
                  <m:sub>
                    <m:r>
                      <m:t>t</m:t>
                    </m:r>
                  </m:sub>
                </m:sSub>
                <m:r>
                  <m:t>)−</m:t>
                </m:r>
                <m:sSub>
                  <m:e>
                    <m:r>
                      <m:t>μ</m:t>
                    </m:r>
                  </m:e>
                  <m:sub>
                    <m:r>
                      <m:t>u</m:t>
                    </m:r>
                  </m:sub>
                </m:sSub>
              </m:num>
              <m:den>
                <m:sSub>
                  <m:e>
                    <m:r>
                      <m:t>s</m:t>
                    </m:r>
                  </m:e>
                  <m:sub>
                    <m:r>
                      <m:t>u</m:t>
                    </m:r>
                  </m:sub>
                </m:sSub>
              </m:den>
            </m:f>
            <m:r>
              <m:t>,</m:t>
            </m:r>
            <m:r>
              <m:t>−</m:t>
            </m:r>
            <m:r>
              <m:t>10</m:t>
            </m:r>
            <m:r>
              <m:t>,</m:t>
            </m:r>
            <m:r>
              <m:t>10</m:t>
            </m:r>
          </m:e>
        </m:d>
      </m:oMath>
    </w:p>
    <w:p>
      <w:pPr>
        <w:spacing w:after="120"/>
      </w:pPr>
      <w:r>
        <w:rPr>
          <w:b w:val="0"/>
          <w:i w:val="0"/>
        </w:rPr>
        <w:t xml:space="preserve">où </w:t>
      </w:r>
      <m:oMath>
        <m:sSub>
          <m:e>
            <m:r>
              <m:t>s</m:t>
            </m:r>
          </m:e>
          <m:sub>
            <m:r>
              <m:t>u</m:t>
            </m:r>
          </m:sub>
        </m:sSub>
      </m:oMath>
      <w:r>
        <w:rPr>
          <w:b w:val="0"/>
          <w:i w:val="0"/>
        </w:rPr>
        <w:t xml:space="preserve"> est l'écart-type correspondant, augmenté de 0,25 pour éviter les divisions par un écart nul chez les clients très réguliers.</w:t>
      </w:r>
    </w:p>
    <w:p>
      <w:pPr>
        <w:spacing w:after="120"/>
      </w:pPr>
      <w:r>
        <w:rPr>
          <w:b/>
          <w:i w:val="0"/>
        </w:rPr>
        <w:t>Vélocité.</w:t>
      </w:r>
      <w:r>
        <w:rPr>
          <w:b w:val="0"/>
          <w:i w:val="0"/>
        </w:rPr>
        <w:t xml:space="preserve"> Pour une fenêtre </w:t>
      </w:r>
      <m:oMath>
        <m:r>
          <m:t>Δ∈{1</m:t>
        </m:r>
        <m:r>
          <m:rPr>
            <m:sty m:val="p"/>
          </m:rPr>
          <m:t> h</m:t>
        </m:r>
        <m:r>
          <m:t>,</m:t>
        </m:r>
        <m:r>
          <m:rPr>
            <m:sty m:val="p"/>
          </m:rPr>
          <m:t> </m:t>
        </m:r>
        <m:r>
          <m:t>24</m:t>
        </m:r>
        <m:r>
          <m:rPr>
            <m:sty m:val="p"/>
          </m:rPr>
          <m:t> h</m:t>
        </m:r>
        <m:r>
          <m:t>,</m:t>
        </m:r>
        <m:r>
          <m:rPr>
            <m:sty m:val="p"/>
          </m:rPr>
          <m:t> </m:t>
        </m:r>
        <m:r>
          <m:t>7</m:t>
        </m:r>
        <m:r>
          <m:rPr>
            <m:sty m:val="p"/>
          </m:rPr>
          <m:t> j</m:t>
        </m:r>
        <m:r>
          <m:t>}</m:t>
        </m:r>
      </m:oMath>
      <w:r>
        <w:rPr>
          <w:b w:val="0"/>
          <w:i w:val="0"/>
        </w:rPr>
        <w:t xml:space="preserve">, </w:t>
      </w:r>
      <m:oMath>
        <m:sSub>
          <m:e>
            <m:r>
              <m:t>N</m:t>
            </m:r>
          </m:e>
          <m:sub>
            <m:r>
              <m:t>Δ</m:t>
            </m:r>
          </m:sub>
        </m:sSub>
        <m:r>
          <m:t>(t)</m:t>
        </m:r>
      </m:oMath>
      <w:r>
        <w:rPr>
          <w:b w:val="0"/>
          <w:i w:val="0"/>
        </w:rPr>
        <w:t xml:space="preserve"> est le nombre d'opérations du client dans l'intervalle </w:t>
      </w:r>
      <m:oMath>
        <m:r>
          <m:t>]t−Δ,t]</m:t>
        </m:r>
      </m:oMath>
      <w:r>
        <w:rPr>
          <w:b w:val="0"/>
          <w:i w:val="0"/>
        </w:rPr>
        <w:t>.</w:t>
      </w:r>
    </w:p>
    <w:p>
      <w:pPr>
        <w:spacing w:after="120"/>
      </w:pPr>
      <w:r>
        <w:rPr>
          <w:b/>
          <w:i w:val="0"/>
        </w:rPr>
        <w:t>Nouveauté du contexte.</w:t>
      </w:r>
      <w:r>
        <w:rPr>
          <w:b w:val="0"/>
          <w:i w:val="0"/>
        </w:rPr>
        <w:t xml:space="preserve"> La variable « nouvel appareil » vaut 1 si le client a déjà un historique et que l'appareil </w:t>
      </w:r>
      <m:oMath>
        <m:sSub>
          <m:e>
            <m:r>
              <m:t>d</m:t>
            </m:r>
          </m:e>
          <m:sub>
            <m:r>
              <m:t>t</m:t>
            </m:r>
          </m:sub>
        </m:sSub>
      </m:oMath>
      <w:r>
        <w:rPr>
          <w:b w:val="0"/>
          <w:i w:val="0"/>
        </w:rPr>
        <w:t xml:space="preserve"> n'appartient pas à l'ensemble </w:t>
      </w:r>
      <m:oMath>
        <m:sSub>
          <m:e>
            <m:r>
              <m:t>D</m:t>
            </m:r>
          </m:e>
          <m:sub>
            <m:r>
              <m:t>u</m:t>
            </m:r>
          </m:sub>
        </m:sSub>
      </m:oMath>
      <w:r>
        <w:rPr>
          <w:b w:val="0"/>
          <w:i w:val="0"/>
        </w:rPr>
        <w:t xml:space="preserve"> de ses appareils connus. Le même principe s'applique à la province, à l'agent et au destinataire.</w:t>
      </w:r>
    </w:p>
    <w:p>
      <w:pPr>
        <w:spacing w:after="120"/>
      </w:pPr>
      <w:r>
        <w:rPr>
          <w:b/>
          <w:i w:val="0"/>
        </w:rPr>
        <w:t>Horaires.</w:t>
      </w:r>
      <w:r>
        <w:rPr>
          <w:b w:val="0"/>
          <w:i w:val="0"/>
        </w:rPr>
        <w:t xml:space="preserve"> L'heure est représentée sur un cercle, pour que 23 h et 0 h soient voisines : </w:t>
      </w:r>
      <m:oMath>
        <m:sSub>
          <m:e>
            <m:r>
              <m:t>θ</m:t>
            </m:r>
          </m:e>
          <m:sub>
            <m:r>
              <m:t>t</m:t>
            </m:r>
          </m:sub>
        </m:sSub>
        <m:r>
          <m:t>=2π</m:t>
        </m:r>
        <m:sSub>
          <m:e>
            <m:r>
              <m:t>h</m:t>
            </m:r>
          </m:e>
          <m:sub>
            <m:r>
              <m:t>t</m:t>
            </m:r>
          </m:sub>
        </m:sSub>
        <m:r>
          <m:t>/24</m:t>
        </m:r>
      </m:oMath>
      <w:r>
        <w:rPr>
          <w:b w:val="0"/>
          <w:i w:val="0"/>
        </w:rPr>
        <w:t xml:space="preserve">, codée par </w:t>
      </w:r>
      <m:oMath>
        <m:d>
          <m:dPr>
            <m:sepChr m:val=","/>
          </m:dPr>
          <m:e>
            <m:r>
              <m:rPr>
                <m:sty m:val="p"/>
              </m:rPr>
              <m:t>sin</m:t>
            </m:r>
            <m:sSub>
              <m:e>
                <m:r>
                  <m:t>θ</m:t>
                </m:r>
              </m:e>
              <m:sub>
                <m:r>
                  <m:t>t</m:t>
                </m:r>
              </m:sub>
            </m:sSub>
          </m:e>
          <m:e>
            <m:r>
              <m:rPr>
                <m:sty m:val="p"/>
              </m:rPr>
              <m:t> </m:t>
            </m:r>
            <m:r>
              <m:rPr>
                <m:sty m:val="p"/>
              </m:rPr>
              <m:t>cos</m:t>
            </m:r>
            <m:sSub>
              <m:e>
                <m:r>
                  <m:t>θ</m:t>
                </m:r>
              </m:e>
              <m:sub>
                <m:r>
                  <m:t>t</m:t>
                </m:r>
              </m:sub>
            </m:sSub>
          </m:e>
        </m:d>
      </m:oMath>
      <w:r>
        <w:rPr>
          <w:b w:val="0"/>
          <w:i w:val="0"/>
        </w:rPr>
        <w:t xml:space="preserve">. L'écart à l'heure habituelle utilise la moyenne circulaire des heures passées, pondérée par la régularité </w:t>
      </w:r>
      <m:oMath>
        <m:r>
          <m:t>R</m:t>
        </m:r>
      </m:oMath>
      <w:r>
        <w:rPr>
          <w:b w:val="0"/>
          <w:i w:val="0"/>
        </w:rPr>
        <w:t xml:space="preserve"> du client.</w:t>
      </w:r>
    </w:p>
    <w:p>
      <w:pPr>
        <w:spacing w:after="120"/>
      </w:pPr>
      <w:r>
        <w:rPr>
          <w:b/>
          <w:i w:val="0"/>
        </w:rPr>
        <w:t>Normalisation.</w:t>
      </w:r>
      <w:r>
        <w:rPr>
          <w:b w:val="0"/>
          <w:i w:val="0"/>
        </w:rPr>
        <w:t xml:space="preserve"> Chaque variable est centrée et réduite :</w:t>
      </w:r>
    </w:p>
    <w:p>
      <w:pPr>
        <w:jc w:val="center"/>
      </w:pPr>
      <m:oMath>
        <m:sSub>
          <m:e>
            <m:limUpp>
              <m:e>
                <m:r>
                  <m:t>x</m:t>
                </m:r>
              </m:e>
              <m:lim>
                <m:r>
                  <m:t>~</m:t>
                </m:r>
              </m:lim>
            </m:limUpp>
          </m:e>
          <m:sub>
            <m:r>
              <m:t>j</m:t>
            </m:r>
          </m:sub>
        </m:sSub>
        <m:r>
          <m:t>=</m:t>
        </m:r>
        <m:r>
          <m:rPr>
            <m:sty m:val="p"/>
          </m:rPr>
          <m:t>clip</m:t>
        </m:r>
        <m:d>
          <m:dPr>
            <m:sepChr m:val=""/>
          </m:dPr>
          <m:e>
            <m:f>
              <m:fPr>
                <m:type m:val="bar"/>
              </m:fPr>
              <m:num>
                <m:sSub>
                  <m:e>
                    <m:r>
                      <m:t>x</m:t>
                    </m:r>
                  </m:e>
                  <m:sub>
                    <m:r>
                      <m:t>j</m:t>
                    </m:r>
                  </m:sub>
                </m:sSub>
                <m:r>
                  <m:t>−</m:t>
                </m:r>
                <m:sSub>
                  <m:e>
                    <m:r>
                      <m:t>m</m:t>
                    </m:r>
                  </m:e>
                  <m:sub>
                    <m:r>
                      <m:t>j</m:t>
                    </m:r>
                  </m:sub>
                </m:sSub>
              </m:num>
              <m:den>
                <m:sSub>
                  <m:e>
                    <m:r>
                      <m:t>σ</m:t>
                    </m:r>
                  </m:e>
                  <m:sub>
                    <m:r>
                      <m:t>j</m:t>
                    </m:r>
                  </m:sub>
                </m:sSub>
              </m:den>
            </m:f>
            <m:r>
              <m:t>,</m:t>
            </m:r>
            <m:r>
              <m:t>−</m:t>
            </m:r>
            <m:r>
              <m:t>10</m:t>
            </m:r>
            <m:r>
              <m:t>,</m:t>
            </m:r>
            <m:r>
              <m:t>10</m:t>
            </m:r>
          </m:e>
        </m:d>
      </m:oMath>
    </w:p>
    <w:p>
      <w:pPr>
        <w:spacing w:after="120"/>
      </w:pPr>
      <w:r>
        <w:rPr>
          <w:b w:val="0"/>
          <w:i w:val="0"/>
        </w:rPr>
        <w:t xml:space="preserve">où </w:t>
      </w:r>
      <m:oMath>
        <m:sSub>
          <m:e>
            <m:r>
              <m:t>m</m:t>
            </m:r>
          </m:e>
          <m:sub>
            <m:r>
              <m:t>j</m:t>
            </m:r>
          </m:sub>
        </m:sSub>
      </m:oMath>
      <w:r>
        <w:rPr>
          <w:b w:val="0"/>
          <w:i w:val="0"/>
        </w:rPr>
        <w:t xml:space="preserve"> et </w:t>
      </w:r>
      <m:oMath>
        <m:sSub>
          <m:e>
            <m:r>
              <m:t>σ</m:t>
            </m:r>
          </m:e>
          <m:sub>
            <m:r>
              <m:t>j</m:t>
            </m:r>
          </m:sub>
        </m:sSub>
      </m:oMath>
      <w:r>
        <w:rPr>
          <w:b w:val="0"/>
          <w:i w:val="0"/>
        </w:rPr>
        <w:t xml:space="preserve"> sont estimés </w:t>
      </w:r>
      <w:r>
        <w:rPr>
          <w:b/>
          <w:i w:val="0"/>
        </w:rPr>
        <w:t>sur la seule période d'entraînement</w:t>
      </w:r>
      <w:r>
        <w:rPr>
          <w:b w:val="0"/>
          <w:i w:val="0"/>
        </w:rPr>
        <w:t xml:space="preserve">. L'ensemble des formules figure dans </w:t>
      </w:r>
      <w:r>
        <w:rPr>
          <w:rFonts w:ascii="Consolas" w:hAnsi="Consolas"/>
          <w:b w:val="0"/>
          <w:i w:val="0"/>
          <w:color w:val="1F3A8A"/>
          <w:sz w:val="18"/>
        </w:rPr>
        <w:t>docs/formules_mathematiques.md</w:t>
      </w:r>
      <w:r>
        <w:rPr>
          <w:b w:val="0"/>
          <w:i w:val="0"/>
        </w:rPr>
        <w:t>.</w:t>
      </w:r>
    </w:p>
    <w:p>
      <w:pPr>
        <w:pStyle w:val="Heading3"/>
      </w:pPr>
      <w:r>
        <w:t>II.2.5 Découpage temporel</w:t>
      </w:r>
    </w:p>
    <w:p>
      <w:pPr>
        <w:spacing w:after="120"/>
      </w:pPr>
      <w:r>
        <w:rPr>
          <w:b w:val="0"/>
          <w:i w:val="0"/>
        </w:rPr>
        <w:t xml:space="preserve">Un découpage aléatoire des données serait irréaliste : il mélangerait passé et futur et laisserait fuir les tendances futures dans l'entraînement. Le découpage est donc </w:t>
      </w:r>
      <w:r>
        <w:rPr>
          <w:b/>
          <w:i w:val="0"/>
        </w:rPr>
        <w:t>chronologique</w:t>
      </w:r>
      <w:r>
        <w:rPr>
          <w:b w:val="0"/>
          <w:i w:val="0"/>
        </w:rPr>
        <w:t>, comme en situation réelle, où l'on apprend sur le passé pour décider sur l'avenir.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Tranche</w:t>
            </w:r>
          </w:p>
        </w:tc>
        <w:tc>
          <w:tcPr>
            <w:tcW w:type="dxa" w:w="3249"/>
            <w:shd w:val="clear" w:color="auto" w:fill="DCE6F7"/>
          </w:tcPr>
          <w:p>
            <w:r/>
            <w:r>
              <w:rPr>
                <w:b/>
                <w:i w:val="0"/>
                <w:sz w:val="18"/>
              </w:rPr>
              <w:t>Période</w:t>
            </w:r>
          </w:p>
        </w:tc>
        <w:tc>
          <w:tcPr>
            <w:tcW w:type="dxa" w:w="3249"/>
            <w:shd w:val="clear" w:color="auto" w:fill="DCE6F7"/>
          </w:tcPr>
          <w:p>
            <w:r/>
            <w:r>
              <w:rPr>
                <w:b/>
                <w:i w:val="0"/>
                <w:sz w:val="18"/>
              </w:rPr>
              <w:t>Usage</w:t>
            </w:r>
          </w:p>
        </w:tc>
      </w:tr>
      <w:tr>
        <w:tc>
          <w:tcPr>
            <w:tcW w:type="dxa" w:w="3249"/>
          </w:tcPr>
          <w:p>
            <w:r/>
            <w:r>
              <w:rPr>
                <w:b w:val="0"/>
                <w:i w:val="0"/>
                <w:sz w:val="18"/>
              </w:rPr>
              <w:t>Entraînement</w:t>
            </w:r>
          </w:p>
        </w:tc>
        <w:tc>
          <w:tcPr>
            <w:tcW w:type="dxa" w:w="3249"/>
          </w:tcPr>
          <w:p>
            <w:r/>
            <w:r>
              <w:rPr>
                <w:b w:val="0"/>
                <w:i w:val="0"/>
                <w:sz w:val="18"/>
              </w:rPr>
              <w:t>01/2019 → 02/03/2023</w:t>
            </w:r>
          </w:p>
        </w:tc>
        <w:tc>
          <w:tcPr>
            <w:tcW w:type="dxa" w:w="3249"/>
          </w:tcPr>
          <w:p>
            <w:r/>
            <w:r>
              <w:rPr>
                <w:b w:val="0"/>
                <w:i w:val="0"/>
                <w:sz w:val="18"/>
              </w:rPr>
              <w:t>apprentissage des modèles</w:t>
            </w:r>
          </w:p>
        </w:tc>
      </w:tr>
      <w:tr>
        <w:tc>
          <w:tcPr>
            <w:tcW w:type="dxa" w:w="3249"/>
          </w:tcPr>
          <w:p>
            <w:r/>
            <w:r>
              <w:rPr>
                <w:b w:val="0"/>
                <w:i w:val="0"/>
                <w:sz w:val="18"/>
              </w:rPr>
              <w:t>Arrêt précoce</w:t>
            </w:r>
          </w:p>
        </w:tc>
        <w:tc>
          <w:tcPr>
            <w:tcW w:type="dxa" w:w="3249"/>
          </w:tcPr>
          <w:p>
            <w:r/>
            <w:r>
              <w:rPr>
                <w:b w:val="0"/>
                <w:i w:val="0"/>
                <w:sz w:val="18"/>
              </w:rPr>
              <w:t>02/03/2023 → 25/11/2023</w:t>
            </w:r>
          </w:p>
        </w:tc>
        <w:tc>
          <w:tcPr>
            <w:tcW w:type="dxa" w:w="3249"/>
          </w:tcPr>
          <w:p>
            <w:r/>
            <w:r>
              <w:rPr>
                <w:b w:val="0"/>
                <w:i w:val="0"/>
                <w:sz w:val="18"/>
              </w:rPr>
              <w:t>arrêt de l'apprentissage, détection du surapprentissage</w:t>
            </w:r>
          </w:p>
        </w:tc>
      </w:tr>
      <w:tr>
        <w:tc>
          <w:tcPr>
            <w:tcW w:type="dxa" w:w="3249"/>
          </w:tcPr>
          <w:p>
            <w:r/>
            <w:r>
              <w:rPr>
                <w:b w:val="0"/>
                <w:i w:val="0"/>
                <w:sz w:val="18"/>
              </w:rPr>
              <w:t>Validation</w:t>
            </w:r>
          </w:p>
        </w:tc>
        <w:tc>
          <w:tcPr>
            <w:tcW w:type="dxa" w:w="3249"/>
          </w:tcPr>
          <w:p>
            <w:r/>
            <w:r>
              <w:rPr>
                <w:b w:val="0"/>
                <w:i w:val="0"/>
                <w:sz w:val="18"/>
              </w:rPr>
              <w:t>25/11/2023 → 13/12/2024</w:t>
            </w:r>
          </w:p>
        </w:tc>
        <w:tc>
          <w:tcPr>
            <w:tcW w:type="dxa" w:w="3249"/>
          </w:tcPr>
          <w:p>
            <w:r/>
            <w:r>
              <w:rPr>
                <w:b w:val="0"/>
                <w:i w:val="0"/>
                <w:sz w:val="18"/>
              </w:rPr>
              <w:t>choix du seuil, calibrage de la combinaison des modèles</w:t>
            </w:r>
          </w:p>
        </w:tc>
      </w:tr>
      <w:tr>
        <w:tc>
          <w:tcPr>
            <w:tcW w:type="dxa" w:w="3249"/>
          </w:tcPr>
          <w:p>
            <w:r/>
            <w:r>
              <w:rPr>
                <w:b/>
                <w:i w:val="0"/>
                <w:sz w:val="18"/>
              </w:rPr>
              <w:t>Test</w:t>
            </w:r>
          </w:p>
        </w:tc>
        <w:tc>
          <w:tcPr>
            <w:tcW w:type="dxa" w:w="3249"/>
          </w:tcPr>
          <w:p>
            <w:r/>
            <w:r>
              <w:rPr>
                <w:b w:val="0"/>
                <w:i w:val="0"/>
                <w:sz w:val="18"/>
              </w:rPr>
              <w:t>13/12/2024 → 31/12/2025</w:t>
            </w:r>
          </w:p>
        </w:tc>
        <w:tc>
          <w:tcPr>
            <w:tcW w:type="dxa" w:w="3249"/>
          </w:tcPr>
          <w:p>
            <w:r/>
            <w:r>
              <w:rPr>
                <w:b w:val="0"/>
                <w:i w:val="0"/>
                <w:sz w:val="18"/>
              </w:rPr>
              <w:t>évaluation finale sur 183 240 transactions jamais vues, dont 2 437 fraudes</w:t>
            </w:r>
          </w:p>
        </w:tc>
      </w:tr>
    </w:tbl>
    <w:p/>
    <w:p>
      <w:pPr>
        <w:spacing w:after="120"/>
      </w:pPr>
      <w:r>
        <w:rPr>
          <w:b w:val="0"/>
          <w:i/>
        </w:rPr>
        <w:t>Tableau II.17 — Découpage temporel des données.</w:t>
      </w:r>
    </w:p>
    <w:p>
      <w:pPr>
        <w:pStyle w:val="Heading3"/>
      </w:pPr>
      <w:r>
        <w:t>II.2.6 Modèles comparés</w:t>
      </w:r>
    </w:p>
    <w:p>
      <w:pPr>
        <w:spacing w:after="120"/>
      </w:pPr>
      <w:r>
        <w:rPr>
          <w:b w:val="0"/>
          <w:i w:val="0"/>
        </w:rPr>
        <w:t>Pour éprouver les hypothèses H1 et H3, plusieurs familles de modèles sont comparées, des plus simples aux plus élaborées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Famille</w:t>
            </w:r>
          </w:p>
        </w:tc>
        <w:tc>
          <w:tcPr>
            <w:tcW w:type="dxa" w:w="3249"/>
            <w:shd w:val="clear" w:color="auto" w:fill="DCE6F7"/>
          </w:tcPr>
          <w:p>
            <w:r/>
            <w:r>
              <w:rPr>
                <w:b/>
                <w:i w:val="0"/>
                <w:sz w:val="18"/>
              </w:rPr>
              <w:t>Modèle</w:t>
            </w:r>
          </w:p>
        </w:tc>
        <w:tc>
          <w:tcPr>
            <w:tcW w:type="dxa" w:w="3249"/>
            <w:shd w:val="clear" w:color="auto" w:fill="DCE6F7"/>
          </w:tcPr>
          <w:p>
            <w:r/>
            <w:r>
              <w:rPr>
                <w:b/>
                <w:i w:val="0"/>
                <w:sz w:val="18"/>
              </w:rPr>
              <w:t>Rôle dans l'étude</w:t>
            </w:r>
          </w:p>
        </w:tc>
      </w:tr>
      <w:tr>
        <w:tc>
          <w:tcPr>
            <w:tcW w:type="dxa" w:w="3249"/>
          </w:tcPr>
          <w:p>
            <w:r/>
            <w:r>
              <w:rPr>
                <w:b w:val="0"/>
                <w:i w:val="0"/>
                <w:sz w:val="18"/>
              </w:rPr>
              <w:t>Règles statiques</w:t>
            </w:r>
          </w:p>
        </w:tc>
        <w:tc>
          <w:tcPr>
            <w:tcW w:type="dxa" w:w="3249"/>
          </w:tcPr>
          <w:p>
            <w:r/>
            <w:r>
              <w:rPr>
                <w:b w:val="0"/>
                <w:i w:val="0"/>
                <w:sz w:val="18"/>
              </w:rPr>
              <w:t>Règles métier à seuils fixes</w:t>
            </w:r>
          </w:p>
        </w:tc>
        <w:tc>
          <w:tcPr>
            <w:tcW w:type="dxa" w:w="3249"/>
          </w:tcPr>
          <w:p>
            <w:r/>
            <w:r>
              <w:rPr>
                <w:b w:val="0"/>
                <w:i w:val="0"/>
                <w:sz w:val="18"/>
              </w:rPr>
              <w:t>référence : pratique actuelle du secteur</w:t>
            </w:r>
          </w:p>
        </w:tc>
      </w:tr>
      <w:tr>
        <w:tc>
          <w:tcPr>
            <w:tcW w:type="dxa" w:w="3249"/>
          </w:tcPr>
          <w:p>
            <w:r/>
            <w:r>
              <w:rPr>
                <w:b w:val="0"/>
                <w:i w:val="0"/>
                <w:sz w:val="18"/>
              </w:rPr>
              <w:t>Statique appris</w:t>
            </w:r>
          </w:p>
        </w:tc>
        <w:tc>
          <w:tcPr>
            <w:tcW w:type="dxa" w:w="3249"/>
          </w:tcPr>
          <w:p>
            <w:r/>
            <w:r>
              <w:rPr>
                <w:b w:val="0"/>
                <w:i w:val="0"/>
                <w:sz w:val="18"/>
              </w:rPr>
              <w:t>XGBoost limité aux variables sans historique</w:t>
            </w:r>
          </w:p>
        </w:tc>
        <w:tc>
          <w:tcPr>
            <w:tcW w:type="dxa" w:w="3249"/>
          </w:tcPr>
          <w:p>
            <w:r/>
            <w:r>
              <w:rPr>
                <w:b w:val="0"/>
                <w:i w:val="0"/>
                <w:sz w:val="18"/>
              </w:rPr>
              <w:t>isole l'apport du profilage (H1)</w:t>
            </w:r>
          </w:p>
        </w:tc>
      </w:tr>
      <w:tr>
        <w:tc>
          <w:tcPr>
            <w:tcW w:type="dxa" w:w="3249"/>
          </w:tcPr>
          <w:p>
            <w:r/>
            <w:r>
              <w:rPr>
                <w:b w:val="0"/>
                <w:i w:val="0"/>
                <w:sz w:val="18"/>
              </w:rPr>
              <w:t>Linéaire</w:t>
            </w:r>
          </w:p>
        </w:tc>
        <w:tc>
          <w:tcPr>
            <w:tcW w:type="dxa" w:w="3249"/>
          </w:tcPr>
          <w:p>
            <w:r/>
            <w:r>
              <w:rPr>
                <w:b w:val="0"/>
                <w:i w:val="0"/>
                <w:sz w:val="18"/>
              </w:rPr>
              <w:t>Régression logistique</w:t>
            </w:r>
          </w:p>
        </w:tc>
        <w:tc>
          <w:tcPr>
            <w:tcW w:type="dxa" w:w="3249"/>
          </w:tcPr>
          <w:p>
            <w:r/>
            <w:r>
              <w:rPr>
                <w:b w:val="0"/>
                <w:i w:val="0"/>
                <w:sz w:val="18"/>
              </w:rPr>
              <w:t>référence interprétable</w:t>
            </w:r>
          </w:p>
        </w:tc>
      </w:tr>
      <w:tr>
        <w:tc>
          <w:tcPr>
            <w:tcW w:type="dxa" w:w="3249"/>
          </w:tcPr>
          <w:p>
            <w:r/>
            <w:r>
              <w:rPr>
                <w:b w:val="0"/>
                <w:i w:val="0"/>
                <w:sz w:val="18"/>
              </w:rPr>
              <w:t>Ensembles d'arbres</w:t>
            </w:r>
          </w:p>
        </w:tc>
        <w:tc>
          <w:tcPr>
            <w:tcW w:type="dxa" w:w="3249"/>
          </w:tcPr>
          <w:p>
            <w:r/>
            <w:r>
              <w:rPr>
                <w:b w:val="0"/>
                <w:i w:val="0"/>
                <w:sz w:val="18"/>
              </w:rPr>
              <w:t>Random Forest, XGBoost</w:t>
            </w:r>
          </w:p>
        </w:tc>
        <w:tc>
          <w:tcPr>
            <w:tcW w:type="dxa" w:w="3249"/>
          </w:tcPr>
          <w:p>
            <w:r/>
            <w:r>
              <w:rPr>
                <w:b w:val="0"/>
                <w:i w:val="0"/>
                <w:sz w:val="18"/>
              </w:rPr>
              <w:t>modèles tabulaires de référence</w:t>
            </w:r>
          </w:p>
        </w:tc>
      </w:tr>
      <w:tr>
        <w:tc>
          <w:tcPr>
            <w:tcW w:type="dxa" w:w="3249"/>
          </w:tcPr>
          <w:p>
            <w:r/>
            <w:r>
              <w:rPr>
                <w:b w:val="0"/>
                <w:i w:val="0"/>
                <w:sz w:val="18"/>
              </w:rPr>
              <w:t>Détection d'anomalies</w:t>
            </w:r>
          </w:p>
        </w:tc>
        <w:tc>
          <w:tcPr>
            <w:tcW w:type="dxa" w:w="3249"/>
          </w:tcPr>
          <w:p>
            <w:r/>
            <w:r>
              <w:rPr>
                <w:b w:val="0"/>
                <w:i w:val="0"/>
                <w:sz w:val="18"/>
              </w:rPr>
              <w:t>Isolation Forest, autoencodeur</w:t>
            </w:r>
          </w:p>
        </w:tc>
        <w:tc>
          <w:tcPr>
            <w:tcW w:type="dxa" w:w="3249"/>
          </w:tcPr>
          <w:p>
            <w:r/>
            <w:r>
              <w:rPr>
                <w:b w:val="0"/>
                <w:i w:val="0"/>
                <w:sz w:val="18"/>
              </w:rPr>
              <w:t>apprentissage sans étiquette</w:t>
            </w:r>
          </w:p>
        </w:tc>
      </w:tr>
      <w:tr>
        <w:tc>
          <w:tcPr>
            <w:tcW w:type="dxa" w:w="3249"/>
          </w:tcPr>
          <w:p>
            <w:r/>
            <w:r>
              <w:rPr>
                <w:b w:val="0"/>
                <w:i w:val="0"/>
                <w:sz w:val="18"/>
              </w:rPr>
              <w:t>Séquentiel</w:t>
            </w:r>
          </w:p>
        </w:tc>
        <w:tc>
          <w:tcPr>
            <w:tcW w:type="dxa" w:w="3249"/>
          </w:tcPr>
          <w:p>
            <w:r/>
            <w:r>
              <w:rPr>
                <w:b w:val="0"/>
                <w:i w:val="0"/>
                <w:sz w:val="18"/>
              </w:rPr>
              <w:t>LSTM avec attention sur les 10 dernières opérations</w:t>
            </w:r>
          </w:p>
        </w:tc>
        <w:tc>
          <w:tcPr>
            <w:tcW w:type="dxa" w:w="3249"/>
          </w:tcPr>
          <w:p>
            <w:r/>
            <w:r>
              <w:rPr>
                <w:b w:val="0"/>
                <w:i w:val="0"/>
                <w:sz w:val="18"/>
              </w:rPr>
              <w:t>dynamique du comportement</w:t>
            </w:r>
          </w:p>
        </w:tc>
      </w:tr>
      <w:tr>
        <w:tc>
          <w:tcPr>
            <w:tcW w:type="dxa" w:w="3249"/>
          </w:tcPr>
          <w:p>
            <w:r/>
            <w:r>
              <w:rPr>
                <w:b/>
                <w:i w:val="0"/>
                <w:sz w:val="18"/>
              </w:rPr>
              <w:t>Hybride (proposé)</w:t>
            </w:r>
          </w:p>
        </w:tc>
        <w:tc>
          <w:tcPr>
            <w:tcW w:type="dxa" w:w="3249"/>
          </w:tcPr>
          <w:p>
            <w:r/>
            <w:r>
              <w:rPr>
                <w:b w:val="0"/>
                <w:i w:val="0"/>
                <w:sz w:val="18"/>
              </w:rPr>
              <w:t>XGBoost + LSTM-attention + autoencodeur, combinés par empilement</w:t>
            </w:r>
          </w:p>
        </w:tc>
        <w:tc>
          <w:tcPr>
            <w:tcW w:type="dxa" w:w="3249"/>
          </w:tcPr>
          <w:p>
            <w:r/>
            <w:r>
              <w:rPr>
                <w:b w:val="0"/>
                <w:i w:val="0"/>
                <w:sz w:val="18"/>
              </w:rPr>
              <w:t>combine profil instantané, séquence et anomalie</w:t>
            </w:r>
          </w:p>
        </w:tc>
      </w:tr>
      <w:tr>
        <w:tc>
          <w:tcPr>
            <w:tcW w:type="dxa" w:w="3249"/>
          </w:tcPr>
          <w:p>
            <w:r/>
            <w:r>
              <w:rPr>
                <w:b w:val="0"/>
                <w:i w:val="0"/>
                <w:sz w:val="18"/>
              </w:rPr>
              <w:t>Second étage</w:t>
            </w:r>
          </w:p>
        </w:tc>
        <w:tc>
          <w:tcPr>
            <w:tcW w:type="dxa" w:w="3249"/>
          </w:tcPr>
          <w:p>
            <w:r/>
            <w:r>
              <w:rPr>
                <w:b w:val="0"/>
                <w:i w:val="0"/>
                <w:sz w:val="18"/>
              </w:rPr>
              <w:t>XGBoost multiclasse restreint par canal</w:t>
            </w:r>
          </w:p>
        </w:tc>
        <w:tc>
          <w:tcPr>
            <w:tcW w:type="dxa" w:w="3249"/>
          </w:tcPr>
          <w:p>
            <w:r/>
            <w:r>
              <w:rPr>
                <w:b w:val="0"/>
                <w:i w:val="0"/>
                <w:sz w:val="18"/>
              </w:rPr>
              <w:t>type de fraude (8 classes)</w:t>
            </w:r>
          </w:p>
        </w:tc>
      </w:tr>
    </w:tbl>
    <w:p/>
    <w:p>
      <w:pPr>
        <w:spacing w:after="120"/>
      </w:pPr>
      <w:r>
        <w:rPr>
          <w:b w:val="0"/>
          <w:i/>
        </w:rPr>
        <w:t>Tableau II.18 — Modèles comparés.</w:t>
      </w:r>
    </w:p>
    <w:p>
      <w:pPr>
        <w:spacing w:after="120"/>
      </w:pPr>
      <w:r>
        <w:rPr>
          <w:b/>
          <w:i w:val="0"/>
        </w:rPr>
        <w:t>Gestion du déséquilibre des classes.</w:t>
      </w:r>
      <w:r>
        <w:rPr>
          <w:b w:val="0"/>
          <w:i w:val="0"/>
        </w:rPr>
        <w:t xml:space="preserve"> Avec 1,3 % de fraudes, un modèle qui déclarerait toutes les opérations légitimes aurait 98,7 % d'exactitude, tout en étant inutile. Les fraudes sont donc pondérées dans la fonction de perte (poids </w:t>
      </w:r>
      <m:oMath>
        <m:f>
          <m:fPr>
            <m:type m:val="lin"/>
          </m:fPr>
          <m:num>
            <m:sSup>
              <m:e>
                <m:r>
                  <m:t>N</m:t>
                </m:r>
              </m:e>
              <m:sup>
                <m:r>
                  <m:t>−</m:t>
                </m:r>
              </m:sup>
            </m:sSup>
          </m:num>
          <m:den>
            <m:sSup>
              <m:e>
                <m:r>
                  <m:t>N</m:t>
                </m:r>
              </m:e>
              <m:sup>
                <m:r>
                  <m:t>+</m:t>
                </m:r>
              </m:sup>
            </m:sSup>
          </m:den>
        </m:f>
      </m:oMath>
      <w:r>
        <w:rPr>
          <w:b w:val="0"/>
          <w:i w:val="0"/>
        </w:rPr>
        <w:t xml:space="preserve"> pour XGBoost) et les opérations légitimes sont sous-échantillonnées à chaque époque pour le LSTM.</w:t>
      </w:r>
    </w:p>
    <w:p>
      <w:pPr>
        <w:spacing w:after="120"/>
      </w:pPr>
      <w:r>
        <w:rPr>
          <w:b/>
          <w:i w:val="0"/>
        </w:rPr>
        <w:t>Mesures contre le surapprentissage :</w:t>
      </w:r>
    </w:p>
    <w:p>
      <w:pPr>
        <w:pStyle w:val="ListBullet"/>
      </w:pPr>
      <w:r>
        <w:rPr>
          <w:b w:val="0"/>
          <w:i w:val="0"/>
        </w:rPr>
        <w:t>arrêt précoce sur une tranche distincte de la validation ;</w:t>
      </w:r>
    </w:p>
    <w:p>
      <w:pPr>
        <w:pStyle w:val="ListBullet"/>
      </w:pPr>
      <w:r>
        <w:rPr>
          <w:b w:val="0"/>
          <w:i w:val="0"/>
        </w:rPr>
        <w:t>abandon aléatoire de neurones (</w:t>
      </w:r>
      <w:r>
        <w:rPr>
          <w:b w:val="0"/>
          <w:i/>
        </w:rPr>
        <w:t>dropout</w:t>
      </w:r>
      <w:r>
        <w:rPr>
          <w:b w:val="0"/>
          <w:i w:val="0"/>
        </w:rPr>
        <w:t>) de 0,2 ;</w:t>
      </w:r>
    </w:p>
    <w:p>
      <w:pPr>
        <w:pStyle w:val="ListBullet"/>
      </w:pPr>
      <w:r>
        <w:rPr>
          <w:b w:val="0"/>
          <w:i w:val="0"/>
        </w:rPr>
        <w:t xml:space="preserve">régularisation L2 (AdamW pour le LSTM, paramètres </w:t>
      </w:r>
      <m:oMath>
        <m:r>
          <m:t>λ</m:t>
        </m:r>
      </m:oMath>
      <w:r>
        <w:rPr>
          <w:b w:val="0"/>
          <w:i w:val="0"/>
        </w:rPr>
        <w:t xml:space="preserve"> et </w:t>
      </w:r>
      <m:oMath>
        <m:r>
          <m:t>γ</m:t>
        </m:r>
      </m:oMath>
      <w:r>
        <w:rPr>
          <w:b w:val="0"/>
          <w:i w:val="0"/>
        </w:rPr>
        <w:t xml:space="preserve"> pour XGBoost) ;</w:t>
      </w:r>
    </w:p>
    <w:p>
      <w:pPr>
        <w:pStyle w:val="ListBullet"/>
      </w:pPr>
      <w:r>
        <w:rPr>
          <w:b w:val="0"/>
          <w:i w:val="0"/>
        </w:rPr>
        <w:t>découpage temporel ;</w:t>
      </w:r>
    </w:p>
    <w:p>
      <w:pPr>
        <w:pStyle w:val="ListBullet"/>
      </w:pPr>
      <w:r>
        <w:rPr>
          <w:b w:val="0"/>
          <w:i w:val="0"/>
        </w:rPr>
        <w:t>diagnostic automatique de l'écart de PR-AUC entre entraînement et validation, qui bloque la promotion d'un modèle si cet écart dépasse 0,05.</w:t>
      </w:r>
    </w:p>
    <w:p>
      <w:pPr>
        <w:pStyle w:val="Heading3"/>
      </w:pPr>
      <w:r>
        <w:t>II.2.7 Métriques et tests statistiques</w:t>
      </w:r>
    </w:p>
    <w:p>
      <w:pPr>
        <w:pStyle w:val="Heading3"/>
      </w:pPr>
      <w:r>
        <w:t>a) Métriques</w:t>
      </w:r>
    </w:p>
    <w:p>
      <w:pPr>
        <w:spacing w:after="120"/>
      </w:pPr>
      <w:r>
        <w:rPr>
          <w:b w:val="0"/>
          <w:i w:val="0"/>
        </w:rPr>
        <w:t xml:space="preserve">Avec 1,3 % de fraudes, la courbe ROC est trompeuse : son aire reste élevée même lorsque le modèle produit beaucoup de fausses alertes. La métrique principale est donc la </w:t>
      </w:r>
      <w:r>
        <w:rPr>
          <w:b/>
          <w:i w:val="0"/>
        </w:rPr>
        <w:t>PR-AUC</w:t>
      </w:r>
      <w:r>
        <w:rPr>
          <w:b w:val="0"/>
          <w:i w:val="0"/>
        </w:rPr>
        <w:t>, aire sous la courbe précision-rappel, qui se concentre sur la classe minoritaire.</w:t>
      </w:r>
    </w:p>
    <w:p>
      <w:pPr>
        <w:spacing w:after="120"/>
      </w:pPr>
      <w:r>
        <w:rPr>
          <w:b w:val="0"/>
          <w:i w:val="0"/>
        </w:rPr>
        <w:t xml:space="preserve">On note </w:t>
      </w:r>
      <m:oMath>
        <m:r>
          <m:t>VP</m:t>
        </m:r>
      </m:oMath>
      <w:r>
        <w:rPr>
          <w:b w:val="0"/>
          <w:i w:val="0"/>
        </w:rPr>
        <w:t xml:space="preserve"> les vrais positifs (fraudes détectées), </w:t>
      </w:r>
      <m:oMath>
        <m:r>
          <m:t>FP</m:t>
        </m:r>
      </m:oMath>
      <w:r>
        <w:rPr>
          <w:b w:val="0"/>
          <w:i w:val="0"/>
        </w:rPr>
        <w:t xml:space="preserve"> les faux positifs (fausses alertes), </w:t>
      </w:r>
      <m:oMath>
        <m:r>
          <m:t>FN</m:t>
        </m:r>
      </m:oMath>
      <w:r>
        <w:rPr>
          <w:b w:val="0"/>
          <w:i w:val="0"/>
        </w:rPr>
        <w:t xml:space="preserve"> les faux négatifs (fraudes manquées) et </w:t>
      </w:r>
      <m:oMath>
        <m:r>
          <m:t>VN</m:t>
        </m:r>
      </m:oMath>
      <w:r>
        <w:rPr>
          <w:b w:val="0"/>
          <w:i w:val="0"/>
        </w:rPr>
        <w:t xml:space="preserve"> les vrais négatifs.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Métrique</w:t>
            </w:r>
          </w:p>
        </w:tc>
        <w:tc>
          <w:tcPr>
            <w:tcW w:type="dxa" w:w="3249"/>
            <w:shd w:val="clear" w:color="auto" w:fill="DCE6F7"/>
          </w:tcPr>
          <w:p>
            <w:r/>
            <w:r>
              <w:rPr>
                <w:b/>
                <w:i w:val="0"/>
                <w:sz w:val="18"/>
              </w:rPr>
              <w:t>Définition</w:t>
            </w:r>
          </w:p>
        </w:tc>
        <w:tc>
          <w:tcPr>
            <w:tcW w:type="dxa" w:w="3249"/>
            <w:shd w:val="clear" w:color="auto" w:fill="DCE6F7"/>
          </w:tcPr>
          <w:p>
            <w:r/>
            <w:r>
              <w:rPr>
                <w:b/>
                <w:i w:val="0"/>
                <w:sz w:val="18"/>
              </w:rPr>
              <w:t>Lecture métier</w:t>
            </w:r>
          </w:p>
        </w:tc>
      </w:tr>
      <w:tr>
        <w:tc>
          <w:tcPr>
            <w:tcW w:type="dxa" w:w="3249"/>
          </w:tcPr>
          <w:p>
            <w:r/>
            <w:r>
              <w:rPr>
                <w:b w:val="0"/>
                <w:i w:val="0"/>
                <w:sz w:val="18"/>
              </w:rPr>
              <w:t>PR-AUC</w:t>
            </w:r>
          </w:p>
        </w:tc>
        <w:tc>
          <w:tcPr>
            <w:tcW w:type="dxa" w:w="3249"/>
          </w:tcPr>
          <w:p>
            <w:r/>
            <w:r>
              <w:rPr>
                <w:b w:val="0"/>
                <w:i w:val="0"/>
                <w:sz w:val="18"/>
              </w:rPr>
              <w:t>aire sous la courbe précision-rappel</w:t>
            </w:r>
          </w:p>
        </w:tc>
        <w:tc>
          <w:tcPr>
            <w:tcW w:type="dxa" w:w="3249"/>
          </w:tcPr>
          <w:p>
            <w:r/>
            <w:r>
              <w:rPr>
                <w:b w:val="0"/>
                <w:i w:val="0"/>
                <w:sz w:val="18"/>
              </w:rPr>
              <w:t>qualité du classement des opérations</w:t>
            </w:r>
          </w:p>
        </w:tc>
      </w:tr>
      <w:tr>
        <w:tc>
          <w:tcPr>
            <w:tcW w:type="dxa" w:w="3249"/>
          </w:tcPr>
          <w:p>
            <w:r/>
            <w:r>
              <w:rPr>
                <w:b w:val="0"/>
                <w:i w:val="0"/>
                <w:sz w:val="18"/>
              </w:rPr>
              <w:t>Rappel</w:t>
            </w:r>
          </w:p>
        </w:tc>
        <w:tc>
          <w:tcPr>
            <w:tcW w:type="dxa" w:w="3249"/>
          </w:tcPr>
          <w:p>
            <w:r/>
            <m:oMath>
              <m:r>
                <m:t>VP/(VP+FN)</m:t>
              </m:r>
            </m:oMath>
          </w:p>
        </w:tc>
        <w:tc>
          <w:tcPr>
            <w:tcW w:type="dxa" w:w="3249"/>
          </w:tcPr>
          <w:p>
            <w:r/>
            <w:r>
              <w:rPr>
                <w:b w:val="0"/>
                <w:i w:val="0"/>
                <w:sz w:val="18"/>
              </w:rPr>
              <w:t>part des fraudes interceptées</w:t>
            </w:r>
          </w:p>
        </w:tc>
      </w:tr>
      <w:tr>
        <w:tc>
          <w:tcPr>
            <w:tcW w:type="dxa" w:w="3249"/>
          </w:tcPr>
          <w:p>
            <w:r/>
            <w:r>
              <w:rPr>
                <w:b w:val="0"/>
                <w:i w:val="0"/>
                <w:sz w:val="18"/>
              </w:rPr>
              <w:t>Précision</w:t>
            </w:r>
          </w:p>
        </w:tc>
        <w:tc>
          <w:tcPr>
            <w:tcW w:type="dxa" w:w="3249"/>
          </w:tcPr>
          <w:p>
            <w:r/>
            <m:oMath>
              <m:r>
                <m:t>VP/(VP+FP)</m:t>
              </m:r>
            </m:oMath>
          </w:p>
        </w:tc>
        <w:tc>
          <w:tcPr>
            <w:tcW w:type="dxa" w:w="3249"/>
          </w:tcPr>
          <w:p>
            <w:r/>
            <w:r>
              <w:rPr>
                <w:b w:val="0"/>
                <w:i w:val="0"/>
                <w:sz w:val="18"/>
              </w:rPr>
              <w:t>part des alertes justifiées</w:t>
            </w:r>
          </w:p>
        </w:tc>
      </w:tr>
      <w:tr>
        <w:tc>
          <w:tcPr>
            <w:tcW w:type="dxa" w:w="3249"/>
          </w:tcPr>
          <w:p>
            <w:r/>
            <w:r>
              <w:rPr>
                <w:b w:val="0"/>
                <w:i w:val="0"/>
                <w:sz w:val="18"/>
              </w:rPr>
              <w:t>F1</w:t>
            </w:r>
          </w:p>
        </w:tc>
        <w:tc>
          <w:tcPr>
            <w:tcW w:type="dxa" w:w="3249"/>
          </w:tcPr>
          <w:p>
            <w:r/>
            <m:oMath>
              <m:r>
                <m:t>2PR/(P+R)</m:t>
              </m:r>
            </m:oMath>
          </w:p>
        </w:tc>
        <w:tc>
          <w:tcPr>
            <w:tcW w:type="dxa" w:w="3249"/>
          </w:tcPr>
          <w:p>
            <w:r/>
            <w:r>
              <w:rPr>
                <w:b w:val="0"/>
                <w:i w:val="0"/>
                <w:sz w:val="18"/>
              </w:rPr>
              <w:t>compromis au seuil retenu</w:t>
            </w:r>
          </w:p>
        </w:tc>
      </w:tr>
      <w:tr>
        <w:tc>
          <w:tcPr>
            <w:tcW w:type="dxa" w:w="3249"/>
          </w:tcPr>
          <w:p>
            <w:r/>
            <w:r>
              <w:rPr>
                <w:b w:val="0"/>
                <w:i w:val="0"/>
                <w:sz w:val="18"/>
              </w:rPr>
              <w:t>Taux de faux positifs</w:t>
            </w:r>
          </w:p>
        </w:tc>
        <w:tc>
          <w:tcPr>
            <w:tcW w:type="dxa" w:w="3249"/>
          </w:tcPr>
          <w:p>
            <w:r/>
            <m:oMath>
              <m:r>
                <m:t>FP/(FP+VN)</m:t>
              </m:r>
            </m:oMath>
          </w:p>
        </w:tc>
        <w:tc>
          <w:tcPr>
            <w:tcW w:type="dxa" w:w="3249"/>
          </w:tcPr>
          <w:p>
            <w:r/>
            <w:r>
              <w:rPr>
                <w:b w:val="0"/>
                <w:i w:val="0"/>
                <w:sz w:val="18"/>
              </w:rPr>
              <w:t>clients honnêtes dérangés</w:t>
            </w:r>
          </w:p>
        </w:tc>
      </w:tr>
      <w:tr>
        <w:tc>
          <w:tcPr>
            <w:tcW w:type="dxa" w:w="3249"/>
          </w:tcPr>
          <w:p>
            <w:r/>
            <w:r>
              <w:rPr>
                <w:b w:val="0"/>
                <w:i w:val="0"/>
                <w:sz w:val="18"/>
              </w:rPr>
              <w:t>Rappel à 1 % de faux positifs</w:t>
            </w:r>
          </w:p>
        </w:tc>
        <w:tc>
          <w:tcPr>
            <w:tcW w:type="dxa" w:w="3249"/>
          </w:tcPr>
          <w:p>
            <w:r/>
            <w:r>
              <w:rPr>
                <w:b w:val="0"/>
                <w:i w:val="0"/>
                <w:sz w:val="18"/>
              </w:rPr>
              <w:t>rappel quand 1 % des légitimes sont alertés</w:t>
            </w:r>
          </w:p>
        </w:tc>
        <w:tc>
          <w:tcPr>
            <w:tcW w:type="dxa" w:w="3249"/>
          </w:tcPr>
          <w:p>
            <w:r/>
            <w:r>
              <w:rPr>
                <w:b w:val="0"/>
                <w:i w:val="0"/>
                <w:sz w:val="18"/>
              </w:rPr>
              <w:t>performance à budget d'alertes fixé</w:t>
            </w:r>
          </w:p>
        </w:tc>
      </w:tr>
    </w:tbl>
    <w:p/>
    <w:p>
      <w:pPr>
        <w:spacing w:after="120"/>
      </w:pPr>
      <w:r>
        <w:rPr>
          <w:b w:val="0"/>
          <w:i/>
        </w:rPr>
        <w:t>Tableau II.19 — Métriques d'évaluation.</w:t>
      </w:r>
    </w:p>
    <w:p>
      <w:pPr>
        <w:spacing w:after="120"/>
      </w:pPr>
      <w:r>
        <w:rPr>
          <w:b w:val="0"/>
          <w:i w:val="0"/>
        </w:rPr>
        <w:t xml:space="preserve">Le seuil de décision </w:t>
      </w:r>
      <m:oMath>
        <m:sSup>
          <m:e>
            <m:r>
              <m:t>τ</m:t>
            </m:r>
          </m:e>
          <m:sup>
            <m:r>
              <m:t>*</m:t>
            </m:r>
          </m:sup>
        </m:sSup>
      </m:oMath>
      <w:r>
        <w:rPr>
          <w:b w:val="0"/>
          <w:i w:val="0"/>
        </w:rPr>
        <w:t xml:space="preserve"> est celui qui maximise le F1 </w:t>
      </w:r>
      <w:r>
        <w:rPr>
          <w:b/>
          <w:i w:val="0"/>
        </w:rPr>
        <w:t>sur la validation</w:t>
      </w:r>
      <w:r>
        <w:rPr>
          <w:b w:val="0"/>
          <w:i w:val="0"/>
        </w:rPr>
        <w:t xml:space="preserve"> ; il n'est jamais choisi sur le test.</w:t>
      </w:r>
    </w:p>
    <w:p>
      <w:pPr>
        <w:pStyle w:val="Heading3"/>
      </w:pPr>
      <w:r>
        <w:t>b) Tests statistiques</w:t>
      </w:r>
    </w:p>
    <w:p>
      <w:pPr>
        <w:spacing w:after="120"/>
      </w:pPr>
      <w:r>
        <w:rPr>
          <w:b w:val="0"/>
          <w:i w:val="0"/>
        </w:rPr>
        <w:t>Une différence de performance n'a de valeur que si elle n'est pas due au hasard. Trois outils sont employés :</w:t>
      </w:r>
    </w:p>
    <w:p>
      <w:pPr>
        <w:pStyle w:val="ListBullet"/>
      </w:pPr>
      <w:r>
        <w:rPr>
          <w:b/>
          <w:i w:val="0"/>
        </w:rPr>
        <w:t>Intervalles de confiance à 95 % par bootstrap apparié par usager.</w:t>
      </w:r>
      <w:r>
        <w:rPr>
          <w:b w:val="0"/>
          <w:i w:val="0"/>
        </w:rPr>
        <w:t xml:space="preserve"> On rééchantillonne les clients, et non les transactions, car les opérations d'un même client sont corrélées. Les deux modèles comparés sont évalués sur le même rééchantillon, ce qui donne un écart apparié.</w:t>
      </w:r>
    </w:p>
    <w:p>
      <w:pPr>
        <w:pStyle w:val="ListBullet"/>
      </w:pPr>
      <w:r>
        <w:rPr>
          <w:b/>
          <w:i w:val="0"/>
        </w:rPr>
        <w:t>Test de McNemar exact</w:t>
      </w:r>
      <w:r>
        <w:rPr>
          <w:b w:val="0"/>
          <w:i w:val="0"/>
        </w:rPr>
        <w:t>, qui compare les erreurs de deux modèles sur les mêmes opérations, au seuil opérationnel.</w:t>
      </w:r>
    </w:p>
    <w:p>
      <w:pPr>
        <w:pStyle w:val="ListBullet"/>
      </w:pPr>
      <w:r>
        <w:rPr>
          <w:b/>
          <w:i w:val="0"/>
        </w:rPr>
        <w:t>Variance selon la graine</w:t>
      </w:r>
      <w:r>
        <w:rPr>
          <w:b w:val="0"/>
          <w:i w:val="0"/>
        </w:rPr>
        <w:t xml:space="preserve"> : les entraînements sont répétés avec plusieurs graines aléatoires.</w:t>
      </w:r>
    </w:p>
    <w:p>
      <w:pPr>
        <w:spacing w:after="120"/>
      </w:pPr>
      <w:r>
        <w:rPr>
          <w:b w:val="0"/>
          <w:i w:val="0"/>
        </w:rPr>
        <w:t xml:space="preserve">Une différence est déclarée </w:t>
      </w:r>
      <w:r>
        <w:rPr>
          <w:b/>
          <w:i w:val="0"/>
        </w:rPr>
        <w:t>significative</w:t>
      </w:r>
      <w:r>
        <w:rPr>
          <w:b w:val="0"/>
          <w:i w:val="0"/>
        </w:rPr>
        <w:t xml:space="preserve"> si l'intervalle de confiance de l'écart exclut 0.</w:t>
      </w:r>
    </w:p>
    <w:p>
      <w:pPr>
        <w:pStyle w:val="Heading3"/>
      </w:pPr>
      <w:r>
        <w:t>II.2.8 Protocole expérimental par hypothèse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Hyp.</w:t>
            </w:r>
          </w:p>
        </w:tc>
        <w:tc>
          <w:tcPr>
            <w:tcW w:type="dxa" w:w="3249"/>
            <w:shd w:val="clear" w:color="auto" w:fill="DCE6F7"/>
          </w:tcPr>
          <w:p>
            <w:r/>
            <w:r>
              <w:rPr>
                <w:b/>
                <w:i w:val="0"/>
                <w:sz w:val="18"/>
              </w:rPr>
              <w:t>Expérience</w:t>
            </w:r>
          </w:p>
        </w:tc>
        <w:tc>
          <w:tcPr>
            <w:tcW w:type="dxa" w:w="3249"/>
            <w:shd w:val="clear" w:color="auto" w:fill="DCE6F7"/>
          </w:tcPr>
          <w:p>
            <w:r/>
            <w:r>
              <w:rPr>
                <w:b/>
                <w:i w:val="0"/>
                <w:sz w:val="18"/>
              </w:rPr>
              <w:t>Critère de confirmation</w:t>
            </w:r>
          </w:p>
        </w:tc>
      </w:tr>
      <w:tr>
        <w:tc>
          <w:tcPr>
            <w:tcW w:type="dxa" w:w="3249"/>
          </w:tcPr>
          <w:p>
            <w:r/>
            <w:r>
              <w:rPr>
                <w:b w:val="0"/>
                <w:i w:val="0"/>
                <w:sz w:val="18"/>
              </w:rPr>
              <w:t>H1</w:t>
            </w:r>
          </w:p>
        </w:tc>
        <w:tc>
          <w:tcPr>
            <w:tcW w:type="dxa" w:w="3249"/>
          </w:tcPr>
          <w:p>
            <w:r/>
            <w:r>
              <w:rPr>
                <w:b w:val="0"/>
                <w:i w:val="0"/>
                <w:sz w:val="18"/>
              </w:rPr>
              <w:t>Modèle de profilage (toutes variables) contre modèle statique appris et règles métier</w:t>
            </w:r>
          </w:p>
        </w:tc>
        <w:tc>
          <w:tcPr>
            <w:tcW w:type="dxa" w:w="3249"/>
          </w:tcPr>
          <w:p>
            <w:r/>
            <w:r>
              <w:rPr>
                <w:b w:val="0"/>
                <w:i w:val="0"/>
                <w:sz w:val="18"/>
              </w:rPr>
              <w:t>écart de PR-AUC significatif ; McNemar p &lt; 0,05</w:t>
            </w:r>
          </w:p>
        </w:tc>
      </w:tr>
      <w:tr>
        <w:tc>
          <w:tcPr>
            <w:tcW w:type="dxa" w:w="3249"/>
          </w:tcPr>
          <w:p>
            <w:r/>
            <w:r>
              <w:rPr>
                <w:b w:val="0"/>
                <w:i w:val="0"/>
                <w:sz w:val="18"/>
              </w:rPr>
              <w:t>H2</w:t>
            </w:r>
          </w:p>
        </w:tc>
        <w:tc>
          <w:tcPr>
            <w:tcW w:type="dxa" w:w="3249"/>
          </w:tcPr>
          <w:p>
            <w:r/>
            <w:r>
              <w:rPr>
                <w:b w:val="0"/>
                <w:i w:val="0"/>
                <w:sz w:val="18"/>
              </w:rPr>
              <w:t>Ablation (retrait de chaque famille de variables), ajout (socle + une famille), AUC univariées</w:t>
            </w:r>
          </w:p>
        </w:tc>
        <w:tc>
          <w:tcPr>
            <w:tcW w:type="dxa" w:w="3249"/>
          </w:tcPr>
          <w:p>
            <w:r/>
            <w:r>
              <w:rPr>
                <w:b w:val="0"/>
                <w:i w:val="0"/>
                <w:sz w:val="18"/>
              </w:rPr>
              <w:t>retrait dégradant significativement, ou ajout améliorant nettement</w:t>
            </w:r>
          </w:p>
        </w:tc>
      </w:tr>
      <w:tr>
        <w:tc>
          <w:tcPr>
            <w:tcW w:type="dxa" w:w="3249"/>
          </w:tcPr>
          <w:p>
            <w:r/>
            <w:r>
              <w:rPr>
                <w:b w:val="0"/>
                <w:i w:val="0"/>
                <w:sz w:val="18"/>
              </w:rPr>
              <w:t>H3</w:t>
            </w:r>
          </w:p>
        </w:tc>
        <w:tc>
          <w:tcPr>
            <w:tcW w:type="dxa" w:w="3249"/>
          </w:tcPr>
          <w:p>
            <w:r/>
            <w:r>
              <w:rPr>
                <w:b w:val="0"/>
                <w:i w:val="0"/>
                <w:sz w:val="18"/>
              </w:rPr>
              <w:t>Comparaison XGBoost, Random Forest, régression logistique, Isolation Forest, règles ; composantes et hybride</w:t>
            </w:r>
          </w:p>
        </w:tc>
        <w:tc>
          <w:tcPr>
            <w:tcW w:type="dxa" w:w="3249"/>
          </w:tcPr>
          <w:p>
            <w:r/>
            <w:r>
              <w:rPr>
                <w:b w:val="0"/>
                <w:i w:val="0"/>
                <w:sz w:val="18"/>
              </w:rPr>
              <w:t>écarts significatifs entre familles</w:t>
            </w:r>
          </w:p>
        </w:tc>
      </w:tr>
      <w:tr>
        <w:tc>
          <w:tcPr>
            <w:tcW w:type="dxa" w:w="3249"/>
          </w:tcPr>
          <w:p>
            <w:r/>
            <w:r>
              <w:rPr>
                <w:b w:val="0"/>
                <w:i w:val="0"/>
                <w:sz w:val="18"/>
              </w:rPr>
              <w:t>H4</w:t>
            </w:r>
          </w:p>
        </w:tc>
        <w:tc>
          <w:tcPr>
            <w:tcW w:type="dxa" w:w="3249"/>
          </w:tcPr>
          <w:p>
            <w:r/>
            <w:r>
              <w:rPr>
                <w:b w:val="0"/>
                <w:i w:val="0"/>
                <w:sz w:val="18"/>
              </w:rPr>
              <w:t>Entraînement sur le Mobile Money seul puis évaluation sur Visa ; variantes avec 5 % et 20 % de données Visa ; sens inverse</w:t>
            </w:r>
          </w:p>
        </w:tc>
        <w:tc>
          <w:tcPr>
            <w:tcW w:type="dxa" w:w="3249"/>
          </w:tcPr>
          <w:p>
            <w:r/>
            <w:r>
              <w:rPr>
                <w:b w:val="0"/>
                <w:i w:val="0"/>
                <w:sz w:val="18"/>
              </w:rPr>
              <w:t>PR-AUC élevée sur Visa sans données Visa</w:t>
            </w:r>
          </w:p>
        </w:tc>
      </w:tr>
      <w:tr>
        <w:tc>
          <w:tcPr>
            <w:tcW w:type="dxa" w:w="3249"/>
          </w:tcPr>
          <w:p>
            <w:r/>
            <w:r>
              <w:rPr>
                <w:b w:val="0"/>
                <w:i w:val="0"/>
                <w:sz w:val="18"/>
              </w:rPr>
              <w:t>H5</w:t>
            </w:r>
          </w:p>
        </w:tc>
        <w:tc>
          <w:tcPr>
            <w:tcW w:type="dxa" w:w="3249"/>
          </w:tcPr>
          <w:p>
            <w:r/>
            <w:r>
              <w:rPr>
                <w:b w:val="0"/>
                <w:i w:val="0"/>
                <w:sz w:val="18"/>
              </w:rPr>
              <w:t>Modèle figé (entraîné sur 2019-2021) contre modèle mis à jour (cumulatif, ou glissant sur 3 ans), évalués chaque année de 2022 à 2025</w:t>
            </w:r>
          </w:p>
        </w:tc>
        <w:tc>
          <w:tcPr>
            <w:tcW w:type="dxa" w:w="3249"/>
          </w:tcPr>
          <w:p>
            <w:r/>
            <w:r>
              <w:rPr>
                <w:b w:val="0"/>
                <w:i w:val="0"/>
                <w:sz w:val="18"/>
              </w:rPr>
              <w:t>modèle mis à jour significativement meilleur, écart croissant avec le temps</w:t>
            </w:r>
          </w:p>
        </w:tc>
      </w:tr>
    </w:tbl>
    <w:p/>
    <w:p>
      <w:pPr>
        <w:spacing w:after="120"/>
      </w:pPr>
      <w:r>
        <w:rPr>
          <w:b w:val="0"/>
          <w:i/>
        </w:rPr>
        <w:t>Tableau II.20 — Protocole expérimental.</w:t>
      </w:r>
    </w:p>
    <w:p>
      <w:pPr>
        <w:pStyle w:val="Heading3"/>
      </w:pPr>
      <w:r>
        <w:t>II.2.9 Étude comparative des méthodes d'apprentissage et choix du modèle</w:t>
      </w:r>
    </w:p>
    <w:p>
      <w:pPr>
        <w:spacing w:after="120"/>
      </w:pPr>
      <w:r>
        <w:rPr>
          <w:b w:val="0"/>
          <w:i w:val="0"/>
        </w:rPr>
        <w:t xml:space="preserve">Un travail scientifique ne peut pas se contenter d'affirmer qu'un modèle est le meilleur : il doit le </w:t>
      </w:r>
      <w:r>
        <w:rPr>
          <w:b/>
          <w:i w:val="0"/>
        </w:rPr>
        <w:t>démontrer</w:t>
      </w:r>
      <w:r>
        <w:rPr>
          <w:b w:val="0"/>
          <w:i w:val="0"/>
        </w:rPr>
        <w:t>, en comparant plusieurs méthodes dans les mêmes conditions, selon des critères fixés à l'avance, puis justifier le choix. Cette section présente cette comparaison. Elle procède en six temps : les méthodes candidates, les critères de choix, les résultats mesurés, la significativité des écarts, l'analyse complète des métriques et des graphiques, puis la décision.</w:t>
      </w:r>
    </w:p>
    <w:p>
      <w:pPr>
        <w:spacing w:after="120"/>
      </w:pPr>
      <w:r>
        <w:rPr>
          <w:b w:val="0"/>
          <w:i w:val="0"/>
        </w:rPr>
        <w:t xml:space="preserve">Tous les chiffres de cette section sont </w:t>
      </w:r>
      <w:r>
        <w:rPr>
          <w:b/>
          <w:i w:val="0"/>
        </w:rPr>
        <w:t>reproductibles</w:t>
      </w:r>
      <w:r>
        <w:rPr>
          <w:b w:val="0"/>
          <w:i w:val="0"/>
        </w:rPr>
        <w:t xml:space="preserve">. Ils sont produits par le script </w:t>
      </w:r>
      <w:r>
        <w:rPr>
          <w:rFonts w:ascii="Consolas" w:hAnsi="Consolas"/>
          <w:b w:val="0"/>
          <w:i w:val="0"/>
          <w:color w:val="1F3A8A"/>
          <w:sz w:val="18"/>
        </w:rPr>
        <w:t>ml/training/model_selection.py</w:t>
      </w:r>
      <w:r>
        <w:rPr>
          <w:b w:val="0"/>
          <w:i w:val="0"/>
        </w:rPr>
        <w:t xml:space="preserve"> (commande </w:t>
      </w:r>
      <w:r>
        <w:rPr>
          <w:rFonts w:ascii="Consolas" w:hAnsi="Consolas"/>
          <w:b w:val="0"/>
          <w:i w:val="0"/>
          <w:color w:val="1F3A8A"/>
          <w:sz w:val="18"/>
        </w:rPr>
        <w:t>python -m ml.training.model_selection</w:t>
      </w:r>
      <w:r>
        <w:rPr>
          <w:b w:val="0"/>
          <w:i w:val="0"/>
        </w:rPr>
        <w:t xml:space="preserve">), qui réutilise les prédictions de l'entraînement et génère le rapport </w:t>
      </w:r>
      <w:r>
        <w:rPr>
          <w:rFonts w:ascii="Consolas" w:hAnsi="Consolas"/>
          <w:b w:val="0"/>
          <w:i w:val="0"/>
          <w:color w:val="1F3A8A"/>
          <w:sz w:val="18"/>
        </w:rPr>
        <w:t>ml/reports/model_selection.md</w:t>
      </w:r>
      <w:r>
        <w:rPr>
          <w:b w:val="0"/>
          <w:i w:val="0"/>
        </w:rPr>
        <w:t xml:space="preserve"> ainsi que les figures. La même comparaison est consultable dans le tableau de bord du système, sur la carte « Comparaison des méthodes d'apprentissage ».</w:t>
      </w:r>
    </w:p>
    <w:p>
      <w:pPr>
        <w:pStyle w:val="Heading3"/>
      </w:pPr>
      <w:r>
        <w:t>a) Les méthodes candidates</w:t>
      </w:r>
    </w:p>
    <w:p>
      <w:pPr>
        <w:spacing w:after="120"/>
      </w:pPr>
      <w:r>
        <w:rPr>
          <w:b w:val="0"/>
          <w:i w:val="0"/>
        </w:rPr>
        <w:t xml:space="preserve">Huit méthodes, représentatives des grandes familles de l'apprentissage automatique appliqué à la fraude, ont été mises en concurrence. Leur principe et leurs forces et faiblesses </w:t>
      </w:r>
      <w:r>
        <w:rPr>
          <w:b w:val="0"/>
          <w:i/>
        </w:rPr>
        <w:t>a priori</w:t>
      </w:r>
      <w:r>
        <w:rPr>
          <w:b w:val="0"/>
          <w:i w:val="0"/>
        </w:rPr>
        <w:t xml:space="preserve"> sont résumés ci-dessous.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CE6F7"/>
          </w:tcPr>
          <w:p>
            <w:r/>
            <w:r>
              <w:rPr>
                <w:b/>
                <w:i w:val="0"/>
                <w:sz w:val="18"/>
              </w:rPr>
              <w:t>Méthode</w:t>
            </w:r>
          </w:p>
        </w:tc>
        <w:tc>
          <w:tcPr>
            <w:tcW w:type="dxa" w:w="1949"/>
            <w:shd w:val="clear" w:color="auto" w:fill="DCE6F7"/>
          </w:tcPr>
          <w:p>
            <w:r/>
            <w:r>
              <w:rPr>
                <w:b/>
                <w:i w:val="0"/>
                <w:sz w:val="18"/>
              </w:rPr>
              <w:t>Famille</w:t>
            </w:r>
          </w:p>
        </w:tc>
        <w:tc>
          <w:tcPr>
            <w:tcW w:type="dxa" w:w="1949"/>
            <w:shd w:val="clear" w:color="auto" w:fill="DCE6F7"/>
          </w:tcPr>
          <w:p>
            <w:r/>
            <w:r>
              <w:rPr>
                <w:b/>
                <w:i w:val="0"/>
                <w:sz w:val="18"/>
              </w:rPr>
              <w:t>Principe</w:t>
            </w:r>
          </w:p>
        </w:tc>
        <w:tc>
          <w:tcPr>
            <w:tcW w:type="dxa" w:w="1949"/>
            <w:shd w:val="clear" w:color="auto" w:fill="DCE6F7"/>
          </w:tcPr>
          <w:p>
            <w:r/>
            <w:r>
              <w:rPr>
                <w:b/>
                <w:i w:val="0"/>
                <w:sz w:val="18"/>
              </w:rPr>
              <w:t>Forces attendues</w:t>
            </w:r>
          </w:p>
        </w:tc>
        <w:tc>
          <w:tcPr>
            <w:tcW w:type="dxa" w:w="1949"/>
            <w:shd w:val="clear" w:color="auto" w:fill="DCE6F7"/>
          </w:tcPr>
          <w:p>
            <w:r/>
            <w:r>
              <w:rPr>
                <w:b/>
                <w:i w:val="0"/>
                <w:sz w:val="18"/>
              </w:rPr>
              <w:t>Faiblesses attendues</w:t>
            </w:r>
          </w:p>
        </w:tc>
      </w:tr>
      <w:tr>
        <w:tc>
          <w:tcPr>
            <w:tcW w:type="dxa" w:w="1949"/>
          </w:tcPr>
          <w:p>
            <w:r/>
            <w:r>
              <w:rPr>
                <w:b w:val="0"/>
                <w:i w:val="0"/>
                <w:sz w:val="18"/>
              </w:rPr>
              <w:t>Règles métier</w:t>
            </w:r>
          </w:p>
        </w:tc>
        <w:tc>
          <w:tcPr>
            <w:tcW w:type="dxa" w:w="1949"/>
          </w:tcPr>
          <w:p>
            <w:r/>
            <w:r>
              <w:rPr>
                <w:b w:val="0"/>
                <w:i w:val="0"/>
                <w:sz w:val="18"/>
              </w:rPr>
              <w:t>Système expert</w:t>
            </w:r>
          </w:p>
        </w:tc>
        <w:tc>
          <w:tcPr>
            <w:tcW w:type="dxa" w:w="1949"/>
          </w:tcPr>
          <w:p>
            <w:r/>
            <w:r>
              <w:rPr>
                <w:b w:val="0"/>
                <w:i w:val="0"/>
                <w:sz w:val="18"/>
              </w:rPr>
              <w:t>Seuils fixes (montant, plafond, liste noire)</w:t>
            </w:r>
          </w:p>
        </w:tc>
        <w:tc>
          <w:tcPr>
            <w:tcW w:type="dxa" w:w="1949"/>
          </w:tcPr>
          <w:p>
            <w:r/>
            <w:r>
              <w:rPr>
                <w:b w:val="0"/>
                <w:i w:val="0"/>
                <w:sz w:val="18"/>
              </w:rPr>
              <w:t>Simple, transparent, auditable</w:t>
            </w:r>
          </w:p>
        </w:tc>
        <w:tc>
          <w:tcPr>
            <w:tcW w:type="dxa" w:w="1949"/>
          </w:tcPr>
          <w:p>
            <w:r/>
            <w:r>
              <w:rPr>
                <w:b w:val="0"/>
                <w:i w:val="0"/>
                <w:sz w:val="18"/>
              </w:rPr>
              <w:t>Ignore l'individu, facile à contourner</w:t>
            </w:r>
          </w:p>
        </w:tc>
      </w:tr>
      <w:tr>
        <w:tc>
          <w:tcPr>
            <w:tcW w:type="dxa" w:w="1949"/>
          </w:tcPr>
          <w:p>
            <w:r/>
            <w:r>
              <w:rPr>
                <w:b w:val="0"/>
                <w:i w:val="0"/>
                <w:sz w:val="18"/>
              </w:rPr>
              <w:t>Régression logistique</w:t>
            </w:r>
          </w:p>
        </w:tc>
        <w:tc>
          <w:tcPr>
            <w:tcW w:type="dxa" w:w="1949"/>
          </w:tcPr>
          <w:p>
            <w:r/>
            <w:r>
              <w:rPr>
                <w:b w:val="0"/>
                <w:i w:val="0"/>
                <w:sz w:val="18"/>
              </w:rPr>
              <w:t>Linéaire supervisée</w:t>
            </w:r>
          </w:p>
        </w:tc>
        <w:tc>
          <w:tcPr>
            <w:tcW w:type="dxa" w:w="1949"/>
          </w:tcPr>
          <w:p>
            <w:r/>
            <w:r>
              <w:rPr>
                <w:b w:val="0"/>
                <w:i w:val="0"/>
                <w:sz w:val="18"/>
              </w:rPr>
              <w:t>Combinaison linéaire des variables passée dans une sigmoïde</w:t>
            </w:r>
          </w:p>
        </w:tc>
        <w:tc>
          <w:tcPr>
            <w:tcW w:type="dxa" w:w="1949"/>
          </w:tcPr>
          <w:p>
            <w:r/>
            <w:r>
              <w:rPr>
                <w:b w:val="0"/>
                <w:i w:val="0"/>
                <w:sz w:val="18"/>
              </w:rPr>
              <w:t>Interprétable, rapide</w:t>
            </w:r>
          </w:p>
        </w:tc>
        <w:tc>
          <w:tcPr>
            <w:tcW w:type="dxa" w:w="1949"/>
          </w:tcPr>
          <w:p>
            <w:r/>
            <w:r>
              <w:rPr>
                <w:b w:val="0"/>
                <w:i w:val="0"/>
                <w:sz w:val="18"/>
              </w:rPr>
              <w:t>Ne capte pas les interactions non linéaires</w:t>
            </w:r>
          </w:p>
        </w:tc>
      </w:tr>
      <w:tr>
        <w:tc>
          <w:tcPr>
            <w:tcW w:type="dxa" w:w="1949"/>
          </w:tcPr>
          <w:p>
            <w:r/>
            <w:r>
              <w:rPr>
                <w:b w:val="0"/>
                <w:i w:val="0"/>
                <w:sz w:val="18"/>
              </w:rPr>
              <w:t>Random Forest</w:t>
            </w:r>
          </w:p>
        </w:tc>
        <w:tc>
          <w:tcPr>
            <w:tcW w:type="dxa" w:w="1949"/>
          </w:tcPr>
          <w:p>
            <w:r/>
            <w:r>
              <w:rPr>
                <w:b w:val="0"/>
                <w:i w:val="0"/>
                <w:sz w:val="18"/>
              </w:rPr>
              <w:t>Ensemble d'arbres (</w:t>
            </w:r>
            <w:r>
              <w:rPr>
                <w:b w:val="0"/>
                <w:i/>
                <w:sz w:val="18"/>
              </w:rPr>
              <w:t>bagging</w:t>
            </w:r>
            <w:r>
              <w:rPr>
                <w:b w:val="0"/>
                <w:i w:val="0"/>
                <w:sz w:val="18"/>
              </w:rPr>
              <w:t>)</w:t>
            </w:r>
          </w:p>
        </w:tc>
        <w:tc>
          <w:tcPr>
            <w:tcW w:type="dxa" w:w="1949"/>
          </w:tcPr>
          <w:p>
            <w:r/>
            <w:r>
              <w:rPr>
                <w:b w:val="0"/>
                <w:i w:val="0"/>
                <w:sz w:val="18"/>
              </w:rPr>
              <w:t>Moyenne de nombreux arbres appris sur des échantillons différents</w:t>
            </w:r>
          </w:p>
        </w:tc>
        <w:tc>
          <w:tcPr>
            <w:tcW w:type="dxa" w:w="1949"/>
          </w:tcPr>
          <w:p>
            <w:r/>
            <w:r>
              <w:rPr>
                <w:b w:val="0"/>
                <w:i w:val="0"/>
                <w:sz w:val="18"/>
              </w:rPr>
              <w:t>Robuste, peu de réglages</w:t>
            </w:r>
          </w:p>
        </w:tc>
        <w:tc>
          <w:tcPr>
            <w:tcW w:type="dxa" w:w="1949"/>
          </w:tcPr>
          <w:p>
            <w:r/>
            <w:r>
              <w:rPr>
                <w:b w:val="0"/>
                <w:i w:val="0"/>
                <w:sz w:val="18"/>
              </w:rPr>
              <w:t xml:space="preserve">Moins précis que le </w:t>
            </w:r>
            <w:r>
              <w:rPr>
                <w:b w:val="0"/>
                <w:i/>
                <w:sz w:val="18"/>
              </w:rPr>
              <w:t>boosting</w:t>
            </w:r>
            <w:r>
              <w:rPr>
                <w:b w:val="0"/>
                <w:i w:val="0"/>
                <w:sz w:val="18"/>
              </w:rPr>
              <w:t>, explication plus lourde</w:t>
            </w:r>
          </w:p>
        </w:tc>
      </w:tr>
      <w:tr>
        <w:tc>
          <w:tcPr>
            <w:tcW w:type="dxa" w:w="1949"/>
          </w:tcPr>
          <w:p>
            <w:r/>
            <w:r>
              <w:rPr>
                <w:b w:val="0"/>
                <w:i w:val="0"/>
                <w:sz w:val="18"/>
              </w:rPr>
              <w:t>XGBoost</w:t>
            </w:r>
          </w:p>
        </w:tc>
        <w:tc>
          <w:tcPr>
            <w:tcW w:type="dxa" w:w="1949"/>
          </w:tcPr>
          <w:p>
            <w:r/>
            <w:r>
              <w:rPr>
                <w:b w:val="0"/>
                <w:i w:val="0"/>
                <w:sz w:val="18"/>
              </w:rPr>
              <w:t>Ensemble d'arbres (</w:t>
            </w:r>
            <w:r>
              <w:rPr>
                <w:b w:val="0"/>
                <w:i/>
                <w:sz w:val="18"/>
              </w:rPr>
              <w:t>boosting</w:t>
            </w:r>
            <w:r>
              <w:rPr>
                <w:b w:val="0"/>
                <w:i w:val="0"/>
                <w:sz w:val="18"/>
              </w:rPr>
              <w:t>)</w:t>
            </w:r>
          </w:p>
        </w:tc>
        <w:tc>
          <w:tcPr>
            <w:tcW w:type="dxa" w:w="1949"/>
          </w:tcPr>
          <w:p>
            <w:r/>
            <w:r>
              <w:rPr>
                <w:b w:val="0"/>
                <w:i w:val="0"/>
                <w:sz w:val="18"/>
              </w:rPr>
              <w:t>Arbres ajoutés successivement pour corriger les erreurs des précédents</w:t>
            </w:r>
          </w:p>
        </w:tc>
        <w:tc>
          <w:tcPr>
            <w:tcW w:type="dxa" w:w="1949"/>
          </w:tcPr>
          <w:p>
            <w:r/>
            <w:r>
              <w:rPr>
                <w:b w:val="0"/>
                <w:i w:val="0"/>
                <w:sz w:val="18"/>
              </w:rPr>
              <w:t>État de l'art sur données tabulaires ; TreeSHAP exact</w:t>
            </w:r>
          </w:p>
        </w:tc>
        <w:tc>
          <w:tcPr>
            <w:tcW w:type="dxa" w:w="1949"/>
          </w:tcPr>
          <w:p>
            <w:r/>
            <w:r>
              <w:rPr>
                <w:b w:val="0"/>
                <w:i w:val="0"/>
                <w:sz w:val="18"/>
              </w:rPr>
              <w:t>Ne voit que l'opération courante, pas la séquence</w:t>
            </w:r>
          </w:p>
        </w:tc>
      </w:tr>
      <w:tr>
        <w:tc>
          <w:tcPr>
            <w:tcW w:type="dxa" w:w="1949"/>
          </w:tcPr>
          <w:p>
            <w:r/>
            <w:r>
              <w:rPr>
                <w:b w:val="0"/>
                <w:i w:val="0"/>
                <w:sz w:val="18"/>
              </w:rPr>
              <w:t>Isolation Forest</w:t>
            </w:r>
          </w:p>
        </w:tc>
        <w:tc>
          <w:tcPr>
            <w:tcW w:type="dxa" w:w="1949"/>
          </w:tcPr>
          <w:p>
            <w:r/>
            <w:r>
              <w:rPr>
                <w:b w:val="0"/>
                <w:i w:val="0"/>
                <w:sz w:val="18"/>
              </w:rPr>
              <w:t>Détection d'anomalies non supervisée</w:t>
            </w:r>
          </w:p>
        </w:tc>
        <w:tc>
          <w:tcPr>
            <w:tcW w:type="dxa" w:w="1949"/>
          </w:tcPr>
          <w:p>
            <w:r/>
            <w:r>
              <w:rPr>
                <w:b w:val="0"/>
                <w:i w:val="0"/>
                <w:sz w:val="18"/>
              </w:rPr>
              <w:t>Isole les points rares par partitions aléatoires</w:t>
            </w:r>
          </w:p>
        </w:tc>
        <w:tc>
          <w:tcPr>
            <w:tcW w:type="dxa" w:w="1949"/>
          </w:tcPr>
          <w:p>
            <w:r/>
            <w:r>
              <w:rPr>
                <w:b w:val="0"/>
                <w:i w:val="0"/>
                <w:sz w:val="18"/>
              </w:rPr>
              <w:t>Sans étiquette, détecte l'inédit</w:t>
            </w:r>
          </w:p>
        </w:tc>
        <w:tc>
          <w:tcPr>
            <w:tcW w:type="dxa" w:w="1949"/>
          </w:tcPr>
          <w:p>
            <w:r/>
            <w:r>
              <w:rPr>
                <w:b w:val="0"/>
                <w:i w:val="0"/>
                <w:sz w:val="18"/>
              </w:rPr>
              <w:t>Une anomalie n'est pas toujours une fraude</w:t>
            </w:r>
          </w:p>
        </w:tc>
      </w:tr>
      <w:tr>
        <w:tc>
          <w:tcPr>
            <w:tcW w:type="dxa" w:w="1949"/>
          </w:tcPr>
          <w:p>
            <w:r/>
            <w:r>
              <w:rPr>
                <w:b w:val="0"/>
                <w:i w:val="0"/>
                <w:sz w:val="18"/>
              </w:rPr>
              <w:t>Autoencodeur</w:t>
            </w:r>
          </w:p>
        </w:tc>
        <w:tc>
          <w:tcPr>
            <w:tcW w:type="dxa" w:w="1949"/>
          </w:tcPr>
          <w:p>
            <w:r/>
            <w:r>
              <w:rPr>
                <w:b w:val="0"/>
                <w:i w:val="0"/>
                <w:sz w:val="18"/>
              </w:rPr>
              <w:t>Réseau de neurones non supervisé</w:t>
            </w:r>
          </w:p>
        </w:tc>
        <w:tc>
          <w:tcPr>
            <w:tcW w:type="dxa" w:w="1949"/>
          </w:tcPr>
          <w:p>
            <w:r/>
            <w:r>
              <w:rPr>
                <w:b w:val="0"/>
                <w:i w:val="0"/>
                <w:sz w:val="18"/>
              </w:rPr>
              <w:t>Apprend à reconstruire les opérations légitimes ; l'erreur de reconstruction mesure l'anomalie</w:t>
            </w:r>
          </w:p>
        </w:tc>
        <w:tc>
          <w:tcPr>
            <w:tcW w:type="dxa" w:w="1949"/>
          </w:tcPr>
          <w:p>
            <w:r/>
            <w:r>
              <w:rPr>
                <w:b w:val="0"/>
                <w:i w:val="0"/>
                <w:sz w:val="18"/>
              </w:rPr>
              <w:t>Sans étiquette de fraude, détecte l'inédit</w:t>
            </w:r>
          </w:p>
        </w:tc>
        <w:tc>
          <w:tcPr>
            <w:tcW w:type="dxa" w:w="1949"/>
          </w:tcPr>
          <w:p>
            <w:r/>
            <w:r>
              <w:rPr>
                <w:b w:val="0"/>
                <w:i w:val="0"/>
                <w:sz w:val="18"/>
              </w:rPr>
              <w:t>Aveugle aux fraudes qui imitent le comportement normal</w:t>
            </w:r>
          </w:p>
        </w:tc>
      </w:tr>
      <w:tr>
        <w:tc>
          <w:tcPr>
            <w:tcW w:type="dxa" w:w="1949"/>
          </w:tcPr>
          <w:p>
            <w:r/>
            <w:r>
              <w:rPr>
                <w:b w:val="0"/>
                <w:i w:val="0"/>
                <w:sz w:val="18"/>
              </w:rPr>
              <w:t>LSTM avec attention</w:t>
            </w:r>
          </w:p>
        </w:tc>
        <w:tc>
          <w:tcPr>
            <w:tcW w:type="dxa" w:w="1949"/>
          </w:tcPr>
          <w:p>
            <w:r/>
            <w:r>
              <w:rPr>
                <w:b w:val="0"/>
                <w:i w:val="0"/>
                <w:sz w:val="18"/>
              </w:rPr>
              <w:t>Réseau récurrent supervisé</w:t>
            </w:r>
          </w:p>
        </w:tc>
        <w:tc>
          <w:tcPr>
            <w:tcW w:type="dxa" w:w="1949"/>
          </w:tcPr>
          <w:p>
            <w:r/>
            <w:r>
              <w:rPr>
                <w:b w:val="0"/>
                <w:i w:val="0"/>
                <w:sz w:val="18"/>
              </w:rPr>
              <w:t>Lit la séquence des 10 dernières opérations</w:t>
            </w:r>
          </w:p>
        </w:tc>
        <w:tc>
          <w:tcPr>
            <w:tcW w:type="dxa" w:w="1949"/>
          </w:tcPr>
          <w:p>
            <w:r/>
            <w:r>
              <w:rPr>
                <w:b w:val="0"/>
                <w:i w:val="0"/>
                <w:sz w:val="18"/>
              </w:rPr>
              <w:t>Capte la dynamique (escalade, salves)</w:t>
            </w:r>
          </w:p>
        </w:tc>
        <w:tc>
          <w:tcPr>
            <w:tcW w:type="dxa" w:w="1949"/>
          </w:tcPr>
          <w:p>
            <w:r/>
            <w:r>
              <w:rPr>
                <w:b w:val="0"/>
                <w:i w:val="0"/>
                <w:sz w:val="18"/>
              </w:rPr>
              <w:t>Plus coûteux, explication moins directe</w:t>
            </w:r>
          </w:p>
        </w:tc>
      </w:tr>
      <w:tr>
        <w:tc>
          <w:tcPr>
            <w:tcW w:type="dxa" w:w="1949"/>
          </w:tcPr>
          <w:p>
            <w:r/>
            <w:r>
              <w:rPr>
                <w:b/>
                <w:i w:val="0"/>
                <w:sz w:val="18"/>
              </w:rPr>
              <w:t>Hybride</w:t>
            </w:r>
          </w:p>
        </w:tc>
        <w:tc>
          <w:tcPr>
            <w:tcW w:type="dxa" w:w="1949"/>
          </w:tcPr>
          <w:p>
            <w:r/>
            <w:r>
              <w:rPr>
                <w:b w:val="0"/>
                <w:i w:val="0"/>
                <w:sz w:val="18"/>
              </w:rPr>
              <w:t>Empilement (</w:t>
            </w:r>
            <w:r>
              <w:rPr>
                <w:b w:val="0"/>
                <w:i/>
                <w:sz w:val="18"/>
              </w:rPr>
              <w:t>stacking</w:t>
            </w:r>
            <w:r>
              <w:rPr>
                <w:b w:val="0"/>
                <w:i w:val="0"/>
                <w:sz w:val="18"/>
              </w:rPr>
              <w:t>)</w:t>
            </w:r>
          </w:p>
        </w:tc>
        <w:tc>
          <w:tcPr>
            <w:tcW w:type="dxa" w:w="1949"/>
          </w:tcPr>
          <w:p>
            <w:r/>
            <w:r>
              <w:rPr>
                <w:b w:val="0"/>
                <w:i w:val="0"/>
                <w:sz w:val="18"/>
              </w:rPr>
              <w:t>Combine XGBoost, LSTM et autoencodeur par une régression logistique</w:t>
            </w:r>
          </w:p>
        </w:tc>
        <w:tc>
          <w:tcPr>
            <w:tcW w:type="dxa" w:w="1949"/>
          </w:tcPr>
          <w:p>
            <w:r/>
            <w:r>
              <w:rPr>
                <w:b w:val="0"/>
                <w:i w:val="0"/>
                <w:sz w:val="18"/>
              </w:rPr>
              <w:t>Cumule les forces des trois</w:t>
            </w:r>
          </w:p>
        </w:tc>
        <w:tc>
          <w:tcPr>
            <w:tcW w:type="dxa" w:w="1949"/>
          </w:tcPr>
          <w:p>
            <w:r/>
            <w:r>
              <w:rPr>
                <w:b w:val="0"/>
                <w:i w:val="0"/>
                <w:sz w:val="18"/>
              </w:rPr>
              <w:t>Plus complexe à entraîner et à maintenir</w:t>
            </w:r>
          </w:p>
        </w:tc>
      </w:tr>
    </w:tbl>
    <w:p/>
    <w:p>
      <w:pPr>
        <w:spacing w:after="120"/>
      </w:pPr>
      <w:r>
        <w:rPr>
          <w:b w:val="0"/>
          <w:i/>
        </w:rPr>
        <w:t>Tableau II.21 — Méthodes d'apprentissage comparées.</w:t>
      </w:r>
    </w:p>
    <w:p>
      <w:pPr>
        <w:spacing w:after="120"/>
      </w:pPr>
      <w:r>
        <w:rPr>
          <w:b w:val="0"/>
          <w:i w:val="0"/>
        </w:rPr>
        <w:t xml:space="preserve">Toutes les méthodes sont entraînées sur les mêmes données, avec les mêmes 58 variables, et évaluées sur le </w:t>
      </w:r>
      <w:r>
        <w:rPr>
          <w:b/>
          <w:i w:val="0"/>
        </w:rPr>
        <w:t>même jeu de test</w:t>
      </w:r>
      <w:r>
        <w:rPr>
          <w:b w:val="0"/>
          <w:i w:val="0"/>
        </w:rPr>
        <w:t xml:space="preserve"> (13/12/2024 → 31/12/2025 : 183 240 transactions dont 2 437 fraudes, jamais vues pendant l'apprentissage). Le seuil de chaque modèle est fixé sur la validation. La comparaison est donc équitable.</w:t>
      </w:r>
    </w:p>
    <w:p>
      <w:pPr>
        <w:pStyle w:val="Heading3"/>
      </w:pPr>
      <w:r>
        <w:t>b) Les critères de choix</w:t>
      </w:r>
    </w:p>
    <w:p>
      <w:pPr>
        <w:spacing w:after="120"/>
      </w:pPr>
      <w:r>
        <w:rPr>
          <w:b w:val="0"/>
          <w:i w:val="0"/>
        </w:rPr>
        <w:t xml:space="preserve">Les critères ont été fixés </w:t>
      </w:r>
      <w:r>
        <w:rPr>
          <w:b/>
          <w:i w:val="0"/>
        </w:rPr>
        <w:t>avant</w:t>
      </w:r>
      <w:r>
        <w:rPr>
          <w:b w:val="0"/>
          <w:i w:val="0"/>
        </w:rPr>
        <w:t xml:space="preserve"> l'expérimentation, à partir des besoins de la section 1. Chacun reçoit un poids qui traduit son importance pour le métier.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Critère</w:t>
            </w:r>
          </w:p>
        </w:tc>
        <w:tc>
          <w:tcPr>
            <w:tcW w:type="dxa" w:w="2436"/>
            <w:shd w:val="clear" w:color="auto" w:fill="DCE6F7"/>
          </w:tcPr>
          <w:p>
            <w:r/>
            <w:r>
              <w:rPr>
                <w:b/>
                <w:i w:val="0"/>
                <w:sz w:val="18"/>
              </w:rPr>
              <w:t>Poids</w:t>
            </w:r>
          </w:p>
        </w:tc>
        <w:tc>
          <w:tcPr>
            <w:tcW w:type="dxa" w:w="2436"/>
            <w:shd w:val="clear" w:color="auto" w:fill="DCE6F7"/>
          </w:tcPr>
          <w:p>
            <w:r/>
            <w:r>
              <w:rPr>
                <w:b/>
                <w:i w:val="0"/>
                <w:sz w:val="18"/>
              </w:rPr>
              <w:t>Mesure</w:t>
            </w:r>
          </w:p>
        </w:tc>
        <w:tc>
          <w:tcPr>
            <w:tcW w:type="dxa" w:w="2436"/>
            <w:shd w:val="clear" w:color="auto" w:fill="DCE6F7"/>
          </w:tcPr>
          <w:p>
            <w:r/>
            <w:r>
              <w:rPr>
                <w:b/>
                <w:i w:val="0"/>
                <w:sz w:val="18"/>
              </w:rPr>
              <w:t>Besoin lié</w:t>
            </w:r>
          </w:p>
        </w:tc>
      </w:tr>
      <w:tr>
        <w:tc>
          <w:tcPr>
            <w:tcW w:type="dxa" w:w="2436"/>
          </w:tcPr>
          <w:p>
            <w:r/>
            <w:r>
              <w:rPr>
                <w:b w:val="0"/>
                <w:i w:val="0"/>
                <w:sz w:val="18"/>
              </w:rPr>
              <w:t>Performance de détection</w:t>
            </w:r>
          </w:p>
        </w:tc>
        <w:tc>
          <w:tcPr>
            <w:tcW w:type="dxa" w:w="2436"/>
          </w:tcPr>
          <w:p>
            <w:r/>
            <w:r>
              <w:rPr>
                <w:b w:val="0"/>
                <w:i w:val="0"/>
                <w:sz w:val="18"/>
              </w:rPr>
              <w:t>30 %</w:t>
            </w:r>
          </w:p>
        </w:tc>
        <w:tc>
          <w:tcPr>
            <w:tcW w:type="dxa" w:w="2436"/>
          </w:tcPr>
          <w:p>
            <w:r/>
            <w:r>
              <w:rPr>
                <w:b w:val="0"/>
                <w:i w:val="0"/>
                <w:sz w:val="18"/>
              </w:rPr>
              <w:t>PR-AUC sur le test</w:t>
            </w:r>
          </w:p>
        </w:tc>
        <w:tc>
          <w:tcPr>
            <w:tcW w:type="dxa" w:w="2436"/>
          </w:tcPr>
          <w:p>
            <w:r/>
            <w:r>
              <w:rPr>
                <w:b w:val="0"/>
                <w:i w:val="0"/>
                <w:sz w:val="18"/>
              </w:rPr>
              <w:t>BM-01, BM-02</w:t>
            </w:r>
          </w:p>
        </w:tc>
      </w:tr>
      <w:tr>
        <w:tc>
          <w:tcPr>
            <w:tcW w:type="dxa" w:w="2436"/>
          </w:tcPr>
          <w:p>
            <w:r/>
            <w:r>
              <w:rPr>
                <w:b w:val="0"/>
                <w:i w:val="0"/>
                <w:sz w:val="18"/>
              </w:rPr>
              <w:t>Qualité au seuil opérationnel</w:t>
            </w:r>
          </w:p>
        </w:tc>
        <w:tc>
          <w:tcPr>
            <w:tcW w:type="dxa" w:w="2436"/>
          </w:tcPr>
          <w:p>
            <w:r/>
            <w:r>
              <w:rPr>
                <w:b w:val="0"/>
                <w:i w:val="0"/>
                <w:sz w:val="18"/>
              </w:rPr>
              <w:t>20 %</w:t>
            </w:r>
          </w:p>
        </w:tc>
        <w:tc>
          <w:tcPr>
            <w:tcW w:type="dxa" w:w="2436"/>
          </w:tcPr>
          <w:p>
            <w:r/>
            <w:r>
              <w:rPr>
                <w:b w:val="0"/>
                <w:i w:val="0"/>
                <w:sz w:val="18"/>
              </w:rPr>
              <w:t>F1, fausses alertes, fraudes manquées</w:t>
            </w:r>
          </w:p>
        </w:tc>
        <w:tc>
          <w:tcPr>
            <w:tcW w:type="dxa" w:w="2436"/>
          </w:tcPr>
          <w:p>
            <w:r/>
            <w:r>
              <w:rPr>
                <w:b w:val="0"/>
                <w:i w:val="0"/>
                <w:sz w:val="18"/>
              </w:rPr>
              <w:t>BM-04</w:t>
            </w:r>
          </w:p>
        </w:tc>
      </w:tr>
      <w:tr>
        <w:tc>
          <w:tcPr>
            <w:tcW w:type="dxa" w:w="2436"/>
          </w:tcPr>
          <w:p>
            <w:r/>
            <w:r>
              <w:rPr>
                <w:b w:val="0"/>
                <w:i w:val="0"/>
                <w:sz w:val="18"/>
              </w:rPr>
              <w:t>Explicabilité</w:t>
            </w:r>
          </w:p>
        </w:tc>
        <w:tc>
          <w:tcPr>
            <w:tcW w:type="dxa" w:w="2436"/>
          </w:tcPr>
          <w:p>
            <w:r/>
            <w:r>
              <w:rPr>
                <w:b w:val="0"/>
                <w:i w:val="0"/>
                <w:sz w:val="18"/>
              </w:rPr>
              <w:t>15 %</w:t>
            </w:r>
          </w:p>
        </w:tc>
        <w:tc>
          <w:tcPr>
            <w:tcW w:type="dxa" w:w="2436"/>
          </w:tcPr>
          <w:p>
            <w:r/>
            <w:r>
              <w:rPr>
                <w:b w:val="0"/>
                <w:i w:val="0"/>
                <w:sz w:val="18"/>
              </w:rPr>
              <w:t>Possibilité d'expliquer chaque décision à l'analyste et au régulateur</w:t>
            </w:r>
          </w:p>
        </w:tc>
        <w:tc>
          <w:tcPr>
            <w:tcW w:type="dxa" w:w="2436"/>
          </w:tcPr>
          <w:p>
            <w:r/>
            <w:r>
              <w:rPr>
                <w:b w:val="0"/>
                <w:i w:val="0"/>
                <w:sz w:val="18"/>
              </w:rPr>
              <w:t>BM-06, BT-14</w:t>
            </w:r>
          </w:p>
        </w:tc>
      </w:tr>
      <w:tr>
        <w:tc>
          <w:tcPr>
            <w:tcW w:type="dxa" w:w="2436"/>
          </w:tcPr>
          <w:p>
            <w:r/>
            <w:r>
              <w:rPr>
                <w:b w:val="0"/>
                <w:i w:val="0"/>
                <w:sz w:val="18"/>
              </w:rPr>
              <w:t>Temps réel et simplicité</w:t>
            </w:r>
          </w:p>
        </w:tc>
        <w:tc>
          <w:tcPr>
            <w:tcW w:type="dxa" w:w="2436"/>
          </w:tcPr>
          <w:p>
            <w:r/>
            <w:r>
              <w:rPr>
                <w:b w:val="0"/>
                <w:i w:val="0"/>
                <w:sz w:val="18"/>
              </w:rPr>
              <w:t>15 %</w:t>
            </w:r>
          </w:p>
        </w:tc>
        <w:tc>
          <w:tcPr>
            <w:tcW w:type="dxa" w:w="2436"/>
          </w:tcPr>
          <w:p>
            <w:r/>
            <w:r>
              <w:rPr>
                <w:b w:val="0"/>
                <w:i w:val="0"/>
                <w:sz w:val="18"/>
              </w:rPr>
              <w:t>Latence d'inférence, coût d'entraînement et de maintenance</w:t>
            </w:r>
          </w:p>
        </w:tc>
        <w:tc>
          <w:tcPr>
            <w:tcW w:type="dxa" w:w="2436"/>
          </w:tcPr>
          <w:p>
            <w:r/>
            <w:r>
              <w:rPr>
                <w:b w:val="0"/>
                <w:i w:val="0"/>
                <w:sz w:val="18"/>
              </w:rPr>
              <w:t>BT-01</w:t>
            </w:r>
          </w:p>
        </w:tc>
      </w:tr>
      <w:tr>
        <w:tc>
          <w:tcPr>
            <w:tcW w:type="dxa" w:w="2436"/>
          </w:tcPr>
          <w:p>
            <w:r/>
            <w:r>
              <w:rPr>
                <w:b w:val="0"/>
                <w:i w:val="0"/>
                <w:sz w:val="18"/>
              </w:rPr>
              <w:t>Prise en compte de la dynamique</w:t>
            </w:r>
          </w:p>
        </w:tc>
        <w:tc>
          <w:tcPr>
            <w:tcW w:type="dxa" w:w="2436"/>
          </w:tcPr>
          <w:p>
            <w:r/>
            <w:r>
              <w:rPr>
                <w:b w:val="0"/>
                <w:i w:val="0"/>
                <w:sz w:val="18"/>
              </w:rPr>
              <w:t>10 %</w:t>
            </w:r>
          </w:p>
        </w:tc>
        <w:tc>
          <w:tcPr>
            <w:tcW w:type="dxa" w:w="2436"/>
          </w:tcPr>
          <w:p>
            <w:r/>
            <w:r>
              <w:rPr>
                <w:b w:val="0"/>
                <w:i w:val="0"/>
                <w:sz w:val="18"/>
              </w:rPr>
              <w:t>Capacité à lire la séquence des opérations</w:t>
            </w:r>
          </w:p>
        </w:tc>
        <w:tc>
          <w:tcPr>
            <w:tcW w:type="dxa" w:w="2436"/>
          </w:tcPr>
          <w:p>
            <w:r/>
            <w:r>
              <w:rPr>
                <w:b w:val="0"/>
                <w:i w:val="0"/>
                <w:sz w:val="18"/>
              </w:rPr>
              <w:t>BM-02</w:t>
            </w:r>
          </w:p>
        </w:tc>
      </w:tr>
      <w:tr>
        <w:tc>
          <w:tcPr>
            <w:tcW w:type="dxa" w:w="2436"/>
          </w:tcPr>
          <w:p>
            <w:r/>
            <w:r>
              <w:rPr>
                <w:b w:val="0"/>
                <w:i w:val="0"/>
                <w:sz w:val="18"/>
              </w:rPr>
              <w:t>Détection de fraudes inédites</w:t>
            </w:r>
          </w:p>
        </w:tc>
        <w:tc>
          <w:tcPr>
            <w:tcW w:type="dxa" w:w="2436"/>
          </w:tcPr>
          <w:p>
            <w:r/>
            <w:r>
              <w:rPr>
                <w:b w:val="0"/>
                <w:i w:val="0"/>
                <w:sz w:val="18"/>
              </w:rPr>
              <w:t>10 %</w:t>
            </w:r>
          </w:p>
        </w:tc>
        <w:tc>
          <w:tcPr>
            <w:tcW w:type="dxa" w:w="2436"/>
          </w:tcPr>
          <w:p>
            <w:r/>
            <w:r>
              <w:rPr>
                <w:b w:val="0"/>
                <w:i w:val="0"/>
                <w:sz w:val="18"/>
              </w:rPr>
              <w:t>Capacité à signaler un comportement jamais vu, sans étiquette</w:t>
            </w:r>
          </w:p>
        </w:tc>
        <w:tc>
          <w:tcPr>
            <w:tcW w:type="dxa" w:w="2436"/>
          </w:tcPr>
          <w:p>
            <w:r/>
            <w:r>
              <w:rPr>
                <w:b w:val="0"/>
                <w:i w:val="0"/>
                <w:sz w:val="18"/>
              </w:rPr>
              <w:t>BM-15, BM-16, BT-19</w:t>
            </w:r>
          </w:p>
        </w:tc>
      </w:tr>
    </w:tbl>
    <w:p/>
    <w:p>
      <w:pPr>
        <w:spacing w:after="120"/>
      </w:pPr>
      <w:r>
        <w:rPr>
          <w:b w:val="0"/>
          <w:i/>
        </w:rPr>
        <w:t>Tableau II.22 — Critères de choix et pondération.</w:t>
      </w:r>
    </w:p>
    <w:p>
      <w:pPr>
        <w:spacing w:after="120"/>
      </w:pPr>
      <w:r>
        <w:rPr>
          <w:b w:val="0"/>
          <w:i w:val="0"/>
        </w:rPr>
        <w:t>La performance de détection pèse le plus, car c'est la raison d'être du système. Mais un modèle très performant, impossible à expliquer ou trop lent pour décider avant l'exécution, ne serait pas utilisable en RDC, sous le contrôle de la BCC.</w:t>
      </w:r>
    </w:p>
    <w:p>
      <w:pPr>
        <w:pStyle w:val="Heading3"/>
      </w:pPr>
      <w:r>
        <w:t>c) Résultats mesurés sur le test</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DCE6F7"/>
          </w:tcPr>
          <w:p>
            <w:r/>
            <w:r>
              <w:rPr>
                <w:b/>
                <w:i w:val="0"/>
                <w:sz w:val="18"/>
              </w:rPr>
              <w:t>Méthode</w:t>
            </w:r>
          </w:p>
        </w:tc>
        <w:tc>
          <w:tcPr>
            <w:tcW w:type="dxa" w:w="1392"/>
            <w:shd w:val="clear" w:color="auto" w:fill="DCE6F7"/>
          </w:tcPr>
          <w:p>
            <w:r/>
            <w:r>
              <w:rPr>
                <w:b/>
                <w:i w:val="0"/>
                <w:sz w:val="18"/>
              </w:rPr>
              <w:t>PR-AUC</w:t>
            </w:r>
          </w:p>
        </w:tc>
        <w:tc>
          <w:tcPr>
            <w:tcW w:type="dxa" w:w="1392"/>
            <w:shd w:val="clear" w:color="auto" w:fill="DCE6F7"/>
          </w:tcPr>
          <w:p>
            <w:r/>
            <w:r>
              <w:rPr>
                <w:b/>
                <w:i w:val="0"/>
                <w:sz w:val="18"/>
              </w:rPr>
              <w:t>ROC-AUC</w:t>
            </w:r>
          </w:p>
        </w:tc>
        <w:tc>
          <w:tcPr>
            <w:tcW w:type="dxa" w:w="1392"/>
            <w:shd w:val="clear" w:color="auto" w:fill="DCE6F7"/>
          </w:tcPr>
          <w:p>
            <w:r/>
            <w:r>
              <w:rPr>
                <w:b/>
                <w:i w:val="0"/>
                <w:sz w:val="18"/>
              </w:rPr>
              <w:t>Précision</w:t>
            </w:r>
          </w:p>
        </w:tc>
        <w:tc>
          <w:tcPr>
            <w:tcW w:type="dxa" w:w="1392"/>
            <w:shd w:val="clear" w:color="auto" w:fill="DCE6F7"/>
          </w:tcPr>
          <w:p>
            <w:r/>
            <w:r>
              <w:rPr>
                <w:b/>
                <w:i w:val="0"/>
                <w:sz w:val="18"/>
              </w:rPr>
              <w:t>Rappel</w:t>
            </w:r>
          </w:p>
        </w:tc>
        <w:tc>
          <w:tcPr>
            <w:tcW w:type="dxa" w:w="1392"/>
            <w:shd w:val="clear" w:color="auto" w:fill="DCE6F7"/>
          </w:tcPr>
          <w:p>
            <w:r/>
            <w:r>
              <w:rPr>
                <w:b/>
                <w:i w:val="0"/>
                <w:sz w:val="18"/>
              </w:rPr>
              <w:t>F1</w:t>
            </w:r>
          </w:p>
        </w:tc>
        <w:tc>
          <w:tcPr>
            <w:tcW w:type="dxa" w:w="1392"/>
            <w:shd w:val="clear" w:color="auto" w:fill="DCE6F7"/>
          </w:tcPr>
          <w:p>
            <w:r/>
            <w:r>
              <w:rPr>
                <w:b/>
                <w:i w:val="0"/>
                <w:sz w:val="18"/>
              </w:rPr>
              <w:t>Taux de faux positifs</w:t>
            </w:r>
          </w:p>
        </w:tc>
      </w:tr>
      <w:tr>
        <w:tc>
          <w:tcPr>
            <w:tcW w:type="dxa" w:w="1392"/>
          </w:tcPr>
          <w:p>
            <w:r/>
            <w:r>
              <w:rPr>
                <w:b/>
                <w:i w:val="0"/>
                <w:sz w:val="18"/>
              </w:rPr>
              <w:t>Hybride</w:t>
            </w:r>
          </w:p>
        </w:tc>
        <w:tc>
          <w:tcPr>
            <w:tcW w:type="dxa" w:w="1392"/>
          </w:tcPr>
          <w:p>
            <w:r/>
            <w:r>
              <w:rPr>
                <w:b/>
                <w:i w:val="0"/>
                <w:sz w:val="18"/>
              </w:rPr>
              <w:t>0,9955</w:t>
            </w:r>
          </w:p>
        </w:tc>
        <w:tc>
          <w:tcPr>
            <w:tcW w:type="dxa" w:w="1392"/>
          </w:tcPr>
          <w:p>
            <w:r/>
            <w:r>
              <w:rPr>
                <w:b w:val="0"/>
                <w:i w:val="0"/>
                <w:sz w:val="18"/>
              </w:rPr>
              <w:t>0,9999</w:t>
            </w:r>
          </w:p>
        </w:tc>
        <w:tc>
          <w:tcPr>
            <w:tcW w:type="dxa" w:w="1392"/>
          </w:tcPr>
          <w:p>
            <w:r/>
            <w:r>
              <w:rPr>
                <w:b/>
                <w:i w:val="0"/>
                <w:sz w:val="18"/>
              </w:rPr>
              <w:t>0,951</w:t>
            </w:r>
          </w:p>
        </w:tc>
        <w:tc>
          <w:tcPr>
            <w:tcW w:type="dxa" w:w="1392"/>
          </w:tcPr>
          <w:p>
            <w:r/>
            <w:r>
              <w:rPr>
                <w:b/>
                <w:i w:val="0"/>
                <w:sz w:val="18"/>
              </w:rPr>
              <w:t>0,978</w:t>
            </w:r>
          </w:p>
        </w:tc>
        <w:tc>
          <w:tcPr>
            <w:tcW w:type="dxa" w:w="1392"/>
          </w:tcPr>
          <w:p>
            <w:r/>
            <w:r>
              <w:rPr>
                <w:b/>
                <w:i w:val="0"/>
                <w:sz w:val="18"/>
              </w:rPr>
              <w:t>0,964</w:t>
            </w:r>
          </w:p>
        </w:tc>
        <w:tc>
          <w:tcPr>
            <w:tcW w:type="dxa" w:w="1392"/>
          </w:tcPr>
          <w:p>
            <w:r/>
            <w:r>
              <w:rPr>
                <w:b w:val="0"/>
                <w:i w:val="0"/>
                <w:sz w:val="18"/>
              </w:rPr>
              <w:t>0,067 %</w:t>
            </w:r>
          </w:p>
        </w:tc>
      </w:tr>
      <w:tr>
        <w:tc>
          <w:tcPr>
            <w:tcW w:type="dxa" w:w="1392"/>
          </w:tcPr>
          <w:p>
            <w:r/>
            <w:r>
              <w:rPr>
                <w:b w:val="0"/>
                <w:i w:val="0"/>
                <w:sz w:val="18"/>
              </w:rPr>
              <w:t>XGBoost seul</w:t>
            </w:r>
          </w:p>
        </w:tc>
        <w:tc>
          <w:tcPr>
            <w:tcW w:type="dxa" w:w="1392"/>
          </w:tcPr>
          <w:p>
            <w:r/>
            <w:r>
              <w:rPr>
                <w:b w:val="0"/>
                <w:i w:val="0"/>
                <w:sz w:val="18"/>
              </w:rPr>
              <w:t>0,9895</w:t>
            </w:r>
          </w:p>
        </w:tc>
        <w:tc>
          <w:tcPr>
            <w:tcW w:type="dxa" w:w="1392"/>
          </w:tcPr>
          <w:p>
            <w:r/>
            <w:r>
              <w:rPr>
                <w:b w:val="0"/>
                <w:i w:val="0"/>
                <w:sz w:val="18"/>
              </w:rPr>
              <w:t>0,9998</w:t>
            </w:r>
          </w:p>
        </w:tc>
        <w:tc>
          <w:tcPr>
            <w:tcW w:type="dxa" w:w="1392"/>
          </w:tcPr>
          <w:p>
            <w:r/>
            <w:r>
              <w:rPr>
                <w:b w:val="0"/>
                <w:i w:val="0"/>
                <w:sz w:val="18"/>
              </w:rPr>
              <w:t>0,918</w:t>
            </w:r>
          </w:p>
        </w:tc>
        <w:tc>
          <w:tcPr>
            <w:tcW w:type="dxa" w:w="1392"/>
          </w:tcPr>
          <w:p>
            <w:r/>
            <w:r>
              <w:rPr>
                <w:b w:val="0"/>
                <w:i w:val="0"/>
                <w:sz w:val="18"/>
              </w:rPr>
              <w:t>0,959</w:t>
            </w:r>
          </w:p>
        </w:tc>
        <w:tc>
          <w:tcPr>
            <w:tcW w:type="dxa" w:w="1392"/>
          </w:tcPr>
          <w:p>
            <w:r/>
            <w:r>
              <w:rPr>
                <w:b w:val="0"/>
                <w:i w:val="0"/>
                <w:sz w:val="18"/>
              </w:rPr>
              <w:t>0,938</w:t>
            </w:r>
          </w:p>
        </w:tc>
        <w:tc>
          <w:tcPr>
            <w:tcW w:type="dxa" w:w="1392"/>
          </w:tcPr>
          <w:p>
            <w:r/>
            <w:r>
              <w:rPr>
                <w:b w:val="0"/>
                <w:i w:val="0"/>
                <w:sz w:val="18"/>
              </w:rPr>
              <w:t>0,116 %</w:t>
            </w:r>
          </w:p>
        </w:tc>
      </w:tr>
      <w:tr>
        <w:tc>
          <w:tcPr>
            <w:tcW w:type="dxa" w:w="1392"/>
          </w:tcPr>
          <w:p>
            <w:r/>
            <w:r>
              <w:rPr>
                <w:b w:val="0"/>
                <w:i w:val="0"/>
                <w:sz w:val="18"/>
              </w:rPr>
              <w:t>LSTM-attention seul</w:t>
            </w:r>
          </w:p>
        </w:tc>
        <w:tc>
          <w:tcPr>
            <w:tcW w:type="dxa" w:w="1392"/>
          </w:tcPr>
          <w:p>
            <w:r/>
            <w:r>
              <w:rPr>
                <w:b w:val="0"/>
                <w:i w:val="0"/>
                <w:sz w:val="18"/>
              </w:rPr>
              <w:t>0,9894</w:t>
            </w:r>
          </w:p>
        </w:tc>
        <w:tc>
          <w:tcPr>
            <w:tcW w:type="dxa" w:w="1392"/>
          </w:tcPr>
          <w:p>
            <w:r/>
            <w:r>
              <w:rPr>
                <w:b w:val="0"/>
                <w:i w:val="0"/>
                <w:sz w:val="18"/>
              </w:rPr>
              <w:t>0,9998</w:t>
            </w:r>
          </w:p>
        </w:tc>
        <w:tc>
          <w:tcPr>
            <w:tcW w:type="dxa" w:w="1392"/>
          </w:tcPr>
          <w:p>
            <w:r/>
            <w:r>
              <w:rPr>
                <w:b w:val="0"/>
                <w:i w:val="0"/>
                <w:sz w:val="18"/>
              </w:rPr>
              <w:t>0,930</w:t>
            </w:r>
          </w:p>
        </w:tc>
        <w:tc>
          <w:tcPr>
            <w:tcW w:type="dxa" w:w="1392"/>
          </w:tcPr>
          <w:p>
            <w:r/>
            <w:r>
              <w:rPr>
                <w:b w:val="0"/>
                <w:i w:val="0"/>
                <w:sz w:val="18"/>
              </w:rPr>
              <w:t>0,967</w:t>
            </w:r>
          </w:p>
        </w:tc>
        <w:tc>
          <w:tcPr>
            <w:tcW w:type="dxa" w:w="1392"/>
          </w:tcPr>
          <w:p>
            <w:r/>
            <w:r>
              <w:rPr>
                <w:b w:val="0"/>
                <w:i w:val="0"/>
                <w:sz w:val="18"/>
              </w:rPr>
              <w:t>0,948</w:t>
            </w:r>
          </w:p>
        </w:tc>
        <w:tc>
          <w:tcPr>
            <w:tcW w:type="dxa" w:w="1392"/>
          </w:tcPr>
          <w:p>
            <w:r/>
            <w:r>
              <w:rPr>
                <w:b w:val="0"/>
                <w:i w:val="0"/>
                <w:sz w:val="18"/>
              </w:rPr>
              <w:t>0,098 %</w:t>
            </w:r>
          </w:p>
        </w:tc>
      </w:tr>
      <w:tr>
        <w:tc>
          <w:tcPr>
            <w:tcW w:type="dxa" w:w="1392"/>
          </w:tcPr>
          <w:p>
            <w:r/>
            <w:r>
              <w:rPr>
                <w:b w:val="0"/>
                <w:i w:val="0"/>
                <w:sz w:val="18"/>
              </w:rPr>
              <w:t>Random Forest</w:t>
            </w:r>
          </w:p>
        </w:tc>
        <w:tc>
          <w:tcPr>
            <w:tcW w:type="dxa" w:w="1392"/>
          </w:tcPr>
          <w:p>
            <w:r/>
            <w:r>
              <w:rPr>
                <w:b w:val="0"/>
                <w:i w:val="0"/>
                <w:sz w:val="18"/>
              </w:rPr>
              <w:t>0,9842</w:t>
            </w:r>
          </w:p>
        </w:tc>
        <w:tc>
          <w:tcPr>
            <w:tcW w:type="dxa" w:w="1392"/>
          </w:tcPr>
          <w:p>
            <w:r/>
            <w:r>
              <w:rPr>
                <w:b w:val="0"/>
                <w:i w:val="0"/>
                <w:sz w:val="18"/>
              </w:rPr>
              <w:t>0,9998</w:t>
            </w:r>
          </w:p>
        </w:tc>
        <w:tc>
          <w:tcPr>
            <w:tcW w:type="dxa" w:w="1392"/>
          </w:tcPr>
          <w:p>
            <w:r/>
            <w:r>
              <w:rPr>
                <w:b w:val="0"/>
                <w:i w:val="0"/>
                <w:sz w:val="18"/>
              </w:rPr>
              <w:t>0,934</w:t>
            </w:r>
          </w:p>
        </w:tc>
        <w:tc>
          <w:tcPr>
            <w:tcW w:type="dxa" w:w="1392"/>
          </w:tcPr>
          <w:p>
            <w:r/>
            <w:r>
              <w:rPr>
                <w:b w:val="0"/>
                <w:i w:val="0"/>
                <w:sz w:val="18"/>
              </w:rPr>
              <w:t>0,929</w:t>
            </w:r>
          </w:p>
        </w:tc>
        <w:tc>
          <w:tcPr>
            <w:tcW w:type="dxa" w:w="1392"/>
          </w:tcPr>
          <w:p>
            <w:r/>
            <w:r>
              <w:rPr>
                <w:b w:val="0"/>
                <w:i w:val="0"/>
                <w:sz w:val="18"/>
              </w:rPr>
              <w:t>0,932</w:t>
            </w:r>
          </w:p>
        </w:tc>
        <w:tc>
          <w:tcPr>
            <w:tcW w:type="dxa" w:w="1392"/>
          </w:tcPr>
          <w:p>
            <w:r/>
            <w:r>
              <w:rPr>
                <w:b w:val="0"/>
                <w:i w:val="0"/>
                <w:sz w:val="18"/>
              </w:rPr>
              <w:t>0,088 %</w:t>
            </w:r>
          </w:p>
        </w:tc>
      </w:tr>
      <w:tr>
        <w:tc>
          <w:tcPr>
            <w:tcW w:type="dxa" w:w="1392"/>
          </w:tcPr>
          <w:p>
            <w:r/>
            <w:r>
              <w:rPr>
                <w:b w:val="0"/>
                <w:i w:val="0"/>
                <w:sz w:val="18"/>
              </w:rPr>
              <w:t>Régression logistique</w:t>
            </w:r>
          </w:p>
        </w:tc>
        <w:tc>
          <w:tcPr>
            <w:tcW w:type="dxa" w:w="1392"/>
          </w:tcPr>
          <w:p>
            <w:r/>
            <w:r>
              <w:rPr>
                <w:b w:val="0"/>
                <w:i w:val="0"/>
                <w:sz w:val="18"/>
              </w:rPr>
              <w:t>0,9513</w:t>
            </w:r>
          </w:p>
        </w:tc>
        <w:tc>
          <w:tcPr>
            <w:tcW w:type="dxa" w:w="1392"/>
          </w:tcPr>
          <w:p>
            <w:r/>
            <w:r>
              <w:rPr>
                <w:b w:val="0"/>
                <w:i w:val="0"/>
                <w:sz w:val="18"/>
              </w:rPr>
              <w:t>0,9989</w:t>
            </w:r>
          </w:p>
        </w:tc>
        <w:tc>
          <w:tcPr>
            <w:tcW w:type="dxa" w:w="1392"/>
          </w:tcPr>
          <w:p>
            <w:r/>
            <w:r>
              <w:rPr>
                <w:b w:val="0"/>
                <w:i w:val="0"/>
                <w:sz w:val="18"/>
              </w:rPr>
              <w:t>0,882</w:t>
            </w:r>
          </w:p>
        </w:tc>
        <w:tc>
          <w:tcPr>
            <w:tcW w:type="dxa" w:w="1392"/>
          </w:tcPr>
          <w:p>
            <w:r/>
            <w:r>
              <w:rPr>
                <w:b w:val="0"/>
                <w:i w:val="0"/>
                <w:sz w:val="18"/>
              </w:rPr>
              <w:t>0,868</w:t>
            </w:r>
          </w:p>
        </w:tc>
        <w:tc>
          <w:tcPr>
            <w:tcW w:type="dxa" w:w="1392"/>
          </w:tcPr>
          <w:p>
            <w:r/>
            <w:r>
              <w:rPr>
                <w:b w:val="0"/>
                <w:i w:val="0"/>
                <w:sz w:val="18"/>
              </w:rPr>
              <w:t>0,875</w:t>
            </w:r>
          </w:p>
        </w:tc>
        <w:tc>
          <w:tcPr>
            <w:tcW w:type="dxa" w:w="1392"/>
          </w:tcPr>
          <w:p>
            <w:r/>
            <w:r>
              <w:rPr>
                <w:b w:val="0"/>
                <w:i w:val="0"/>
                <w:sz w:val="18"/>
              </w:rPr>
              <w:t>0,157 %</w:t>
            </w:r>
          </w:p>
        </w:tc>
      </w:tr>
      <w:tr>
        <w:tc>
          <w:tcPr>
            <w:tcW w:type="dxa" w:w="1392"/>
          </w:tcPr>
          <w:p>
            <w:r/>
            <w:r>
              <w:rPr>
                <w:b w:val="0"/>
                <w:i w:val="0"/>
                <w:sz w:val="18"/>
              </w:rPr>
              <w:t>Autoencodeur seul</w:t>
            </w:r>
          </w:p>
        </w:tc>
        <w:tc>
          <w:tcPr>
            <w:tcW w:type="dxa" w:w="1392"/>
          </w:tcPr>
          <w:p>
            <w:r/>
            <w:r>
              <w:rPr>
                <w:b w:val="0"/>
                <w:i w:val="0"/>
                <w:sz w:val="18"/>
              </w:rPr>
              <w:t>0,7094</w:t>
            </w:r>
          </w:p>
        </w:tc>
        <w:tc>
          <w:tcPr>
            <w:tcW w:type="dxa" w:w="1392"/>
          </w:tcPr>
          <w:p>
            <w:r/>
            <w:r>
              <w:rPr>
                <w:b w:val="0"/>
                <w:i w:val="0"/>
                <w:sz w:val="18"/>
              </w:rPr>
              <w:t>0,9708</w:t>
            </w:r>
          </w:p>
        </w:tc>
        <w:tc>
          <w:tcPr>
            <w:tcW w:type="dxa" w:w="1392"/>
          </w:tcPr>
          <w:p>
            <w:r/>
            <w:r>
              <w:rPr>
                <w:b w:val="0"/>
                <w:i w:val="0"/>
                <w:sz w:val="18"/>
              </w:rPr>
              <w:t>0,959</w:t>
            </w:r>
          </w:p>
        </w:tc>
        <w:tc>
          <w:tcPr>
            <w:tcW w:type="dxa" w:w="1392"/>
          </w:tcPr>
          <w:p>
            <w:r/>
            <w:r>
              <w:rPr>
                <w:b w:val="0"/>
                <w:i w:val="0"/>
                <w:sz w:val="18"/>
              </w:rPr>
              <w:t>0,616</w:t>
            </w:r>
          </w:p>
        </w:tc>
        <w:tc>
          <w:tcPr>
            <w:tcW w:type="dxa" w:w="1392"/>
          </w:tcPr>
          <w:p>
            <w:r/>
            <w:r>
              <w:rPr>
                <w:b w:val="0"/>
                <w:i w:val="0"/>
                <w:sz w:val="18"/>
              </w:rPr>
              <w:t>0,750</w:t>
            </w:r>
          </w:p>
        </w:tc>
        <w:tc>
          <w:tcPr>
            <w:tcW w:type="dxa" w:w="1392"/>
          </w:tcPr>
          <w:p>
            <w:r/>
            <w:r>
              <w:rPr>
                <w:b w:val="0"/>
                <w:i w:val="0"/>
                <w:sz w:val="18"/>
              </w:rPr>
              <w:t>0,035 %</w:t>
            </w:r>
          </w:p>
        </w:tc>
      </w:tr>
      <w:tr>
        <w:tc>
          <w:tcPr>
            <w:tcW w:type="dxa" w:w="1392"/>
          </w:tcPr>
          <w:p>
            <w:r/>
            <w:r>
              <w:rPr>
                <w:b w:val="0"/>
                <w:i w:val="0"/>
                <w:sz w:val="18"/>
              </w:rPr>
              <w:t>Isolation Forest</w:t>
            </w:r>
          </w:p>
        </w:tc>
        <w:tc>
          <w:tcPr>
            <w:tcW w:type="dxa" w:w="1392"/>
          </w:tcPr>
          <w:p>
            <w:r/>
            <w:r>
              <w:rPr>
                <w:b w:val="0"/>
                <w:i w:val="0"/>
                <w:sz w:val="18"/>
              </w:rPr>
              <w:t>0,3913</w:t>
            </w:r>
          </w:p>
        </w:tc>
        <w:tc>
          <w:tcPr>
            <w:tcW w:type="dxa" w:w="1392"/>
          </w:tcPr>
          <w:p>
            <w:r/>
            <w:r>
              <w:rPr>
                <w:b w:val="0"/>
                <w:i w:val="0"/>
                <w:sz w:val="18"/>
              </w:rPr>
              <w:t>0,9487</w:t>
            </w:r>
          </w:p>
        </w:tc>
        <w:tc>
          <w:tcPr>
            <w:tcW w:type="dxa" w:w="1392"/>
          </w:tcPr>
          <w:p>
            <w:r/>
            <w:r>
              <w:rPr>
                <w:b w:val="0"/>
                <w:i w:val="0"/>
                <w:sz w:val="18"/>
              </w:rPr>
              <w:t>0,428</w:t>
            </w:r>
          </w:p>
        </w:tc>
        <w:tc>
          <w:tcPr>
            <w:tcW w:type="dxa" w:w="1392"/>
          </w:tcPr>
          <w:p>
            <w:r/>
            <w:r>
              <w:rPr>
                <w:b w:val="0"/>
                <w:i w:val="0"/>
                <w:sz w:val="18"/>
              </w:rPr>
              <w:t>0,395</w:t>
            </w:r>
          </w:p>
        </w:tc>
        <w:tc>
          <w:tcPr>
            <w:tcW w:type="dxa" w:w="1392"/>
          </w:tcPr>
          <w:p>
            <w:r/>
            <w:r>
              <w:rPr>
                <w:b w:val="0"/>
                <w:i w:val="0"/>
                <w:sz w:val="18"/>
              </w:rPr>
              <w:t>0,411</w:t>
            </w:r>
          </w:p>
        </w:tc>
        <w:tc>
          <w:tcPr>
            <w:tcW w:type="dxa" w:w="1392"/>
          </w:tcPr>
          <w:p>
            <w:r/>
            <w:r>
              <w:rPr>
                <w:b w:val="0"/>
                <w:i w:val="0"/>
                <w:sz w:val="18"/>
              </w:rPr>
              <w:t>0,710 %</w:t>
            </w:r>
          </w:p>
        </w:tc>
      </w:tr>
      <w:tr>
        <w:tc>
          <w:tcPr>
            <w:tcW w:type="dxa" w:w="1392"/>
          </w:tcPr>
          <w:p>
            <w:r/>
            <w:r>
              <w:rPr>
                <w:b w:val="0"/>
                <w:i w:val="0"/>
                <w:sz w:val="18"/>
              </w:rPr>
              <w:t>Règles métier</w:t>
            </w:r>
          </w:p>
        </w:tc>
        <w:tc>
          <w:tcPr>
            <w:tcW w:type="dxa" w:w="1392"/>
          </w:tcPr>
          <w:p>
            <w:r/>
            <w:r>
              <w:rPr>
                <w:b w:val="0"/>
                <w:i w:val="0"/>
                <w:sz w:val="18"/>
              </w:rPr>
              <w:t>0,2755</w:t>
            </w:r>
          </w:p>
        </w:tc>
        <w:tc>
          <w:tcPr>
            <w:tcW w:type="dxa" w:w="1392"/>
          </w:tcPr>
          <w:p>
            <w:r/>
            <w:r>
              <w:rPr>
                <w:b w:val="0"/>
                <w:i w:val="0"/>
                <w:sz w:val="18"/>
              </w:rPr>
              <w:t>0,7841</w:t>
            </w:r>
          </w:p>
        </w:tc>
        <w:tc>
          <w:tcPr>
            <w:tcW w:type="dxa" w:w="1392"/>
          </w:tcPr>
          <w:p>
            <w:r/>
            <w:r>
              <w:rPr>
                <w:b w:val="0"/>
                <w:i w:val="0"/>
                <w:sz w:val="18"/>
              </w:rPr>
              <w:t>0,371</w:t>
            </w:r>
          </w:p>
        </w:tc>
        <w:tc>
          <w:tcPr>
            <w:tcW w:type="dxa" w:w="1392"/>
          </w:tcPr>
          <w:p>
            <w:r/>
            <w:r>
              <w:rPr>
                <w:b w:val="0"/>
                <w:i w:val="0"/>
                <w:sz w:val="18"/>
              </w:rPr>
              <w:t>0,357</w:t>
            </w:r>
          </w:p>
        </w:tc>
        <w:tc>
          <w:tcPr>
            <w:tcW w:type="dxa" w:w="1392"/>
          </w:tcPr>
          <w:p>
            <w:r/>
            <w:r>
              <w:rPr>
                <w:b w:val="0"/>
                <w:i w:val="0"/>
                <w:sz w:val="18"/>
              </w:rPr>
              <w:t>0,364</w:t>
            </w:r>
          </w:p>
        </w:tc>
        <w:tc>
          <w:tcPr>
            <w:tcW w:type="dxa" w:w="1392"/>
          </w:tcPr>
          <w:p>
            <w:r/>
            <w:r>
              <w:rPr>
                <w:b w:val="0"/>
                <w:i w:val="0"/>
                <w:sz w:val="18"/>
              </w:rPr>
              <w:t>0,815 %</w:t>
            </w:r>
          </w:p>
        </w:tc>
      </w:tr>
    </w:tbl>
    <w:p/>
    <w:p>
      <w:pPr>
        <w:spacing w:after="120"/>
      </w:pPr>
      <w:r>
        <w:rPr>
          <w:b w:val="0"/>
          <w:i/>
        </w:rPr>
        <w:t xml:space="preserve">Tableau II.23 — Performances des méthodes sur le jeu de test (source : </w:t>
      </w:r>
      <w:r>
        <w:rPr>
          <w:rFonts w:ascii="Consolas" w:hAnsi="Consolas"/>
          <w:b w:val="0"/>
          <w:i/>
          <w:color w:val="1F3A8A"/>
          <w:sz w:val="18"/>
        </w:rPr>
        <w:t>ml/reports/phase3_model_comparison.csv</w:t>
      </w:r>
      <w:r>
        <w:rPr>
          <w:b w:val="0"/>
          <w:i/>
        </w:rPr>
        <w:t>).</w:t>
      </w:r>
    </w:p>
    <w:p>
      <w:pPr>
        <w:jc w:val="center"/>
      </w:pPr>
      <w:r>
        <w:drawing>
          <wp:inline xmlns:a="http://schemas.openxmlformats.org/drawingml/2006/main" xmlns:pic="http://schemas.openxmlformats.org/drawingml/2006/picture">
            <wp:extent cx="5760000" cy="3312000"/>
            <wp:docPr id="4" name="Picture 4"/>
            <wp:cNvGraphicFramePr>
              <a:graphicFrameLocks noChangeAspect="1"/>
            </wp:cNvGraphicFramePr>
            <a:graphic>
              <a:graphicData uri="http://schemas.openxmlformats.org/drawingml/2006/picture">
                <pic:pic>
                  <pic:nvPicPr>
                    <pic:cNvPr id="0" name="comparaison_modeles.png"/>
                    <pic:cNvPicPr/>
                  </pic:nvPicPr>
                  <pic:blipFill>
                    <a:blip r:embed="rId12"/>
                    <a:stretch>
                      <a:fillRect/>
                    </a:stretch>
                  </pic:blipFill>
                  <pic:spPr>
                    <a:xfrm>
                      <a:off x="0" y="0"/>
                      <a:ext cx="5760000" cy="3312000"/>
                    </a:xfrm>
                    <a:prstGeom prst="rect"/>
                  </pic:spPr>
                </pic:pic>
              </a:graphicData>
            </a:graphic>
          </wp:inline>
        </w:drawing>
      </w:r>
    </w:p>
    <w:p>
      <w:pPr>
        <w:jc w:val="center"/>
      </w:pPr>
      <w:r>
        <w:rPr>
          <w:b w:val="0"/>
          <w:i/>
          <w:sz w:val="18"/>
        </w:rPr>
        <w:t>Figure II.4 — PR-AUC et F1 des méthodes comparées.</w:t>
      </w:r>
    </w:p>
    <w:p>
      <w:pPr>
        <w:jc w:val="center"/>
      </w:pPr>
      <w:r>
        <w:drawing>
          <wp:inline xmlns:a="http://schemas.openxmlformats.org/drawingml/2006/main" xmlns:pic="http://schemas.openxmlformats.org/drawingml/2006/picture">
            <wp:extent cx="5760000" cy="4076308"/>
            <wp:docPr id="5" name="Picture 5"/>
            <wp:cNvGraphicFramePr>
              <a:graphicFrameLocks noChangeAspect="1"/>
            </wp:cNvGraphicFramePr>
            <a:graphic>
              <a:graphicData uri="http://schemas.openxmlformats.org/drawingml/2006/picture">
                <pic:pic>
                  <pic:nvPicPr>
                    <pic:cNvPr id="0" name="courbes_precision_rappel.png"/>
                    <pic:cNvPicPr/>
                  </pic:nvPicPr>
                  <pic:blipFill>
                    <a:blip r:embed="rId13"/>
                    <a:stretch>
                      <a:fillRect/>
                    </a:stretch>
                  </pic:blipFill>
                  <pic:spPr>
                    <a:xfrm>
                      <a:off x="0" y="0"/>
                      <a:ext cx="5760000" cy="4076308"/>
                    </a:xfrm>
                    <a:prstGeom prst="rect"/>
                  </pic:spPr>
                </pic:pic>
              </a:graphicData>
            </a:graphic>
          </wp:inline>
        </w:drawing>
      </w:r>
    </w:p>
    <w:p>
      <w:pPr>
        <w:jc w:val="center"/>
      </w:pPr>
      <w:r>
        <w:rPr>
          <w:b w:val="0"/>
          <w:i/>
          <w:sz w:val="18"/>
        </w:rPr>
        <w:t>Figure II.5 — Courbes précision-rappel de l'hybride et de ses trois composantes.</w:t>
      </w:r>
    </w:p>
    <w:p>
      <w:pPr>
        <w:spacing w:after="120"/>
      </w:pPr>
      <w:r>
        <w:rPr>
          <w:b/>
          <w:i w:val="0"/>
        </w:rPr>
        <w:t>Lecture.</w:t>
      </w:r>
      <w:r>
        <w:rPr>
          <w:b w:val="0"/>
          <w:i w:val="0"/>
        </w:rPr>
        <w:t xml:space="preserve"> La ROC-AUC est très élevée pour presque toutes les méthodes (≥ 0,95), même pour l'Isolation Forest qui ne détecte pourtant que 39 % des fraudes. C'est la confirmation pratique du choix de la PR-AUC comme métrique principale (§ II.2.7) : sur des données où 98,7 % des opérations sont légitimes, seule la PR-AUC sépare clairement les bonnes méthodes des mauvaises.</w:t>
      </w:r>
    </w:p>
    <w:p>
      <w:pPr>
        <w:spacing w:after="120"/>
      </w:pPr>
      <w:r>
        <w:rPr>
          <w:b w:val="0"/>
          <w:i w:val="0"/>
        </w:rPr>
        <w:t>Les résultats font apparaître trois groupes :</w:t>
      </w:r>
    </w:p>
    <w:p>
      <w:pPr>
        <w:pStyle w:val="ListNumber"/>
      </w:pPr>
      <w:r>
        <w:rPr>
          <w:b/>
          <w:i w:val="0"/>
        </w:rPr>
        <w:t>Les méthodes non supervisées et les règles</w:t>
      </w:r>
      <w:r>
        <w:rPr>
          <w:b w:val="0"/>
          <w:i w:val="0"/>
        </w:rPr>
        <w:t xml:space="preserve"> (Isolation Forest, règles métier, autoencodeur seul) sont nettement insuffisantes. L'autoencodeur est très précis (95,9 %) mais ne voit que 61,6 % des fraudes : il manque celles qui imitent un comportement normal, comme l'ingénierie sociale (rappel 0,3 %) ou le fractionnement (0 %).</w:t>
      </w:r>
    </w:p>
    <w:p>
      <w:pPr>
        <w:pStyle w:val="ListNumber"/>
      </w:pPr>
      <w:r>
        <w:rPr>
          <w:b/>
          <w:i w:val="0"/>
        </w:rPr>
        <w:t>Les méthodes supervisées</w:t>
      </w:r>
      <w:r>
        <w:rPr>
          <w:b w:val="0"/>
          <w:i w:val="0"/>
        </w:rPr>
        <w:t xml:space="preserve"> (régression logistique, Random Forest, XGBoost, LSTM) atteignent de très bonnes performances, ce qui montre la valeur des 58 variables comportementales. La régression logistique reste en retrait, faute de capter les interactions entre variables.</w:t>
      </w:r>
    </w:p>
    <w:p>
      <w:pPr>
        <w:pStyle w:val="ListNumber"/>
      </w:pPr>
      <w:r>
        <w:rPr>
          <w:b/>
          <w:i w:val="0"/>
        </w:rPr>
        <w:t>L'hybride</w:t>
      </w:r>
      <w:r>
        <w:rPr>
          <w:b w:val="0"/>
          <w:i w:val="0"/>
        </w:rPr>
        <w:t xml:space="preserve"> obtient les meilleurs résultats sur toutes les mesures principales : PR-AUC, précision, rappel et F1.</w:t>
      </w:r>
    </w:p>
    <w:p>
      <w:pPr>
        <w:pStyle w:val="Heading3"/>
      </w:pPr>
      <w:r>
        <w:t>d) Les écarts sont-ils significatifs ?</w:t>
      </w:r>
    </w:p>
    <w:p>
      <w:pPr>
        <w:spacing w:after="120"/>
      </w:pPr>
      <w:r>
        <w:rPr>
          <w:b w:val="0"/>
          <w:i w:val="0"/>
        </w:rPr>
        <w:t>Les écarts entre l'hybride, XGBoost et le LSTM semblent faibles en PR-AUC (environ 0,006). Il faut donc vérifier qu'ils ne sont pas dus au hasard, avec les tests définis au § II.2.7.</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Comparaison</w:t>
            </w:r>
          </w:p>
        </w:tc>
        <w:tc>
          <w:tcPr>
            <w:tcW w:type="dxa" w:w="2436"/>
            <w:shd w:val="clear" w:color="auto" w:fill="DCE6F7"/>
          </w:tcPr>
          <w:p>
            <w:r/>
            <w:r>
              <w:rPr>
                <w:b/>
                <w:i w:val="0"/>
                <w:sz w:val="18"/>
              </w:rPr>
              <w:t>Écart de PR-AUC [IC 95 %]</w:t>
            </w:r>
          </w:p>
        </w:tc>
        <w:tc>
          <w:tcPr>
            <w:tcW w:type="dxa" w:w="2436"/>
            <w:shd w:val="clear" w:color="auto" w:fill="DCE6F7"/>
          </w:tcPr>
          <w:p>
            <w:r/>
            <w:r>
              <w:rPr>
                <w:b/>
                <w:i w:val="0"/>
                <w:sz w:val="18"/>
              </w:rPr>
              <w:t>Test de McNemar</w:t>
            </w:r>
          </w:p>
        </w:tc>
        <w:tc>
          <w:tcPr>
            <w:tcW w:type="dxa" w:w="2436"/>
            <w:shd w:val="clear" w:color="auto" w:fill="DCE6F7"/>
          </w:tcPr>
          <w:p>
            <w:r/>
            <w:r>
              <w:rPr>
                <w:b/>
                <w:i w:val="0"/>
                <w:sz w:val="18"/>
              </w:rPr>
              <w:t>Conclusion</w:t>
            </w:r>
          </w:p>
        </w:tc>
      </w:tr>
      <w:tr>
        <w:tc>
          <w:tcPr>
            <w:tcW w:type="dxa" w:w="2436"/>
          </w:tcPr>
          <w:p>
            <w:r/>
            <w:r>
              <w:rPr>
                <w:b w:val="0"/>
                <w:i w:val="0"/>
                <w:sz w:val="18"/>
              </w:rPr>
              <w:t>Hybride − XGBoost</w:t>
            </w:r>
          </w:p>
        </w:tc>
        <w:tc>
          <w:tcPr>
            <w:tcW w:type="dxa" w:w="2436"/>
          </w:tcPr>
          <w:p>
            <w:r/>
            <w:r>
              <w:rPr>
                <w:b w:val="0"/>
                <w:i w:val="0"/>
                <w:sz w:val="18"/>
              </w:rPr>
              <w:t>+0,0060 [+0,0044 ; +0,0079]</w:t>
            </w:r>
          </w:p>
        </w:tc>
        <w:tc>
          <w:tcPr>
            <w:tcW w:type="dxa" w:w="2436"/>
          </w:tcPr>
          <w:p>
            <w:r/>
            <w:r>
              <w:rPr>
                <w:b w:val="0"/>
                <w:i w:val="0"/>
                <w:sz w:val="18"/>
              </w:rPr>
              <w:t>156 contre 23 ; p = 1,8 × 10⁻²⁵</w:t>
            </w:r>
          </w:p>
        </w:tc>
        <w:tc>
          <w:tcPr>
            <w:tcW w:type="dxa" w:w="2436"/>
          </w:tcPr>
          <w:p>
            <w:r/>
            <w:r>
              <w:rPr>
                <w:b w:val="0"/>
                <w:i w:val="0"/>
                <w:sz w:val="18"/>
              </w:rPr>
              <w:t>Hybride significativement meilleur</w:t>
            </w:r>
          </w:p>
        </w:tc>
      </w:tr>
      <w:tr>
        <w:tc>
          <w:tcPr>
            <w:tcW w:type="dxa" w:w="2436"/>
          </w:tcPr>
          <w:p>
            <w:r/>
            <w:r>
              <w:rPr>
                <w:b w:val="0"/>
                <w:i w:val="0"/>
                <w:sz w:val="18"/>
              </w:rPr>
              <w:t>Hybride − LSTM-attention</w:t>
            </w:r>
          </w:p>
        </w:tc>
        <w:tc>
          <w:tcPr>
            <w:tcW w:type="dxa" w:w="2436"/>
          </w:tcPr>
          <w:p>
            <w:r/>
            <w:r>
              <w:rPr>
                <w:b w:val="0"/>
                <w:i w:val="0"/>
                <w:sz w:val="18"/>
              </w:rPr>
              <w:t>+0,0061 [+0,0045 ; +0,0078]</w:t>
            </w:r>
          </w:p>
        </w:tc>
        <w:tc>
          <w:tcPr>
            <w:tcW w:type="dxa" w:w="2436"/>
          </w:tcPr>
          <w:p>
            <w:r/>
            <w:r>
              <w:rPr>
                <w:b w:val="0"/>
                <w:i w:val="0"/>
                <w:sz w:val="18"/>
              </w:rPr>
              <w:t>157 contre 75 ; p = 7,8 × 10⁻⁸</w:t>
            </w:r>
          </w:p>
        </w:tc>
        <w:tc>
          <w:tcPr>
            <w:tcW w:type="dxa" w:w="2436"/>
          </w:tcPr>
          <w:p>
            <w:r/>
            <w:r>
              <w:rPr>
                <w:b w:val="0"/>
                <w:i w:val="0"/>
                <w:sz w:val="18"/>
              </w:rPr>
              <w:t>Hybride significativement meilleur</w:t>
            </w:r>
          </w:p>
        </w:tc>
      </w:tr>
      <w:tr>
        <w:tc>
          <w:tcPr>
            <w:tcW w:type="dxa" w:w="2436"/>
          </w:tcPr>
          <w:p>
            <w:r/>
            <w:r>
              <w:rPr>
                <w:b w:val="0"/>
                <w:i w:val="0"/>
                <w:sz w:val="18"/>
              </w:rPr>
              <w:t>Hybride − autoencodeur</w:t>
            </w:r>
          </w:p>
        </w:tc>
        <w:tc>
          <w:tcPr>
            <w:tcW w:type="dxa" w:w="2436"/>
          </w:tcPr>
          <w:p>
            <w:r/>
            <w:r>
              <w:rPr>
                <w:b w:val="0"/>
                <w:i w:val="0"/>
                <w:sz w:val="18"/>
              </w:rPr>
              <w:t>+0,2861 [+0,2306 ; +0,3417]</w:t>
            </w:r>
          </w:p>
        </w:tc>
        <w:tc>
          <w:tcPr>
            <w:tcW w:type="dxa" w:w="2436"/>
          </w:tcPr>
          <w:p>
            <w:r/>
            <w:r>
              <w:rPr>
                <w:b w:val="0"/>
                <w:i w:val="0"/>
                <w:sz w:val="18"/>
              </w:rPr>
              <w:t>943 contre 118 ; p = 2,5 × 10⁻¹⁶⁰</w:t>
            </w:r>
          </w:p>
        </w:tc>
        <w:tc>
          <w:tcPr>
            <w:tcW w:type="dxa" w:w="2436"/>
          </w:tcPr>
          <w:p>
            <w:r/>
            <w:r>
              <w:rPr>
                <w:b w:val="0"/>
                <w:i w:val="0"/>
                <w:sz w:val="18"/>
              </w:rPr>
              <w:t>Hybride significativement meilleur</w:t>
            </w:r>
          </w:p>
        </w:tc>
      </w:tr>
      <w:tr>
        <w:tc>
          <w:tcPr>
            <w:tcW w:type="dxa" w:w="2436"/>
          </w:tcPr>
          <w:p>
            <w:r/>
            <w:r>
              <w:rPr>
                <w:b w:val="0"/>
                <w:i w:val="0"/>
                <w:sz w:val="18"/>
              </w:rPr>
              <w:t>XGBoost − Random Forest</w:t>
            </w:r>
          </w:p>
        </w:tc>
        <w:tc>
          <w:tcPr>
            <w:tcW w:type="dxa" w:w="2436"/>
          </w:tcPr>
          <w:p>
            <w:r/>
            <w:r>
              <w:rPr>
                <w:b w:val="0"/>
                <w:i w:val="0"/>
                <w:sz w:val="18"/>
              </w:rPr>
              <w:t>+0,0104 [+0,0079 ; +0,0135]</w:t>
            </w:r>
          </w:p>
        </w:tc>
        <w:tc>
          <w:tcPr>
            <w:tcW w:type="dxa" w:w="2436"/>
          </w:tcPr>
          <w:p>
            <w:r/>
            <w:r>
              <w:rPr>
                <w:b w:val="0"/>
                <w:i w:val="0"/>
                <w:sz w:val="18"/>
              </w:rPr>
              <w:t>—</w:t>
            </w:r>
          </w:p>
        </w:tc>
        <w:tc>
          <w:tcPr>
            <w:tcW w:type="dxa" w:w="2436"/>
          </w:tcPr>
          <w:p>
            <w:r/>
            <w:r>
              <w:rPr>
                <w:b w:val="0"/>
                <w:i w:val="0"/>
                <w:sz w:val="18"/>
              </w:rPr>
              <w:t>XGBoost significativement meilleur</w:t>
            </w:r>
          </w:p>
        </w:tc>
      </w:tr>
      <w:tr>
        <w:tc>
          <w:tcPr>
            <w:tcW w:type="dxa" w:w="2436"/>
          </w:tcPr>
          <w:p>
            <w:r/>
            <w:r>
              <w:rPr>
                <w:b w:val="0"/>
                <w:i w:val="0"/>
                <w:sz w:val="18"/>
              </w:rPr>
              <w:t>XGBoost − régression logistique</w:t>
            </w:r>
          </w:p>
        </w:tc>
        <w:tc>
          <w:tcPr>
            <w:tcW w:type="dxa" w:w="2436"/>
          </w:tcPr>
          <w:p>
            <w:r/>
            <w:r>
              <w:rPr>
                <w:b w:val="0"/>
                <w:i w:val="0"/>
                <w:sz w:val="18"/>
              </w:rPr>
              <w:t>+0,0450 [+0,0340 ; +0,0591]</w:t>
            </w:r>
          </w:p>
        </w:tc>
        <w:tc>
          <w:tcPr>
            <w:tcW w:type="dxa" w:w="2436"/>
          </w:tcPr>
          <w:p>
            <w:r/>
            <w:r>
              <w:rPr>
                <w:b w:val="0"/>
                <w:i w:val="0"/>
                <w:sz w:val="18"/>
              </w:rPr>
              <w:t>—</w:t>
            </w:r>
          </w:p>
        </w:tc>
        <w:tc>
          <w:tcPr>
            <w:tcW w:type="dxa" w:w="2436"/>
          </w:tcPr>
          <w:p>
            <w:r/>
            <w:r>
              <w:rPr>
                <w:b w:val="0"/>
                <w:i w:val="0"/>
                <w:sz w:val="18"/>
              </w:rPr>
              <w:t>XGBoost significativement meilleur</w:t>
            </w:r>
          </w:p>
        </w:tc>
      </w:tr>
    </w:tbl>
    <w:p/>
    <w:p>
      <w:pPr>
        <w:spacing w:after="120"/>
      </w:pPr>
      <w:r>
        <w:rPr>
          <w:b w:val="0"/>
          <w:i/>
        </w:rPr>
        <w:t>Tableau II.24 — Significativité des écarts (bootstrap apparié par usager, 1 000 tirages ; McNemar exact au seuil retenu).</w:t>
      </w:r>
    </w:p>
    <w:p>
      <w:pPr>
        <w:spacing w:after="120"/>
      </w:pPr>
      <w:r>
        <w:rPr>
          <w:b w:val="0"/>
          <w:i w:val="0"/>
        </w:rPr>
        <w:t xml:space="preserve">Dans le test de McNemar, « 156 contre 23 » signifie que, sur les opérations où les deux modèles sont en désaccord, l'hybride a raison 156 fois et XGBoost 23 fois. Aucun intervalle de confiance ne contient 0 : </w:t>
      </w:r>
      <w:r>
        <w:rPr>
          <w:b/>
          <w:i w:val="0"/>
        </w:rPr>
        <w:t>la supériorité de l'hybride est statistiquement établie</w:t>
      </w:r>
      <w:r>
        <w:rPr>
          <w:b w:val="0"/>
          <w:i w:val="0"/>
        </w:rPr>
        <w:t>, et non due au hasard de l'échantillon.</w:t>
      </w:r>
    </w:p>
    <w:p>
      <w:pPr>
        <w:spacing w:after="120"/>
      </w:pPr>
      <w:r>
        <w:rPr>
          <w:b w:val="0"/>
          <w:i w:val="0"/>
        </w:rPr>
        <w:t>Un écart de 0,006 de PR-AUC peut sembler faible ; ses conséquences pratiques ne le sont pas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Méthode</w:t>
            </w:r>
          </w:p>
        </w:tc>
        <w:tc>
          <w:tcPr>
            <w:tcW w:type="dxa" w:w="3249"/>
            <w:shd w:val="clear" w:color="auto" w:fill="DCE6F7"/>
          </w:tcPr>
          <w:p>
            <w:r/>
            <w:r>
              <w:rPr>
                <w:b/>
                <w:i w:val="0"/>
                <w:sz w:val="18"/>
              </w:rPr>
              <w:t>Fausses alertes</w:t>
            </w:r>
          </w:p>
        </w:tc>
        <w:tc>
          <w:tcPr>
            <w:tcW w:type="dxa" w:w="3249"/>
            <w:shd w:val="clear" w:color="auto" w:fill="DCE6F7"/>
          </w:tcPr>
          <w:p>
            <w:r/>
            <w:r>
              <w:rPr>
                <w:b/>
                <w:i w:val="0"/>
                <w:sz w:val="18"/>
              </w:rPr>
              <w:t>Fraudes manquées</w:t>
            </w:r>
          </w:p>
        </w:tc>
      </w:tr>
      <w:tr>
        <w:tc>
          <w:tcPr>
            <w:tcW w:type="dxa" w:w="3249"/>
          </w:tcPr>
          <w:p>
            <w:r/>
            <w:r>
              <w:rPr>
                <w:b/>
                <w:i w:val="0"/>
                <w:sz w:val="18"/>
              </w:rPr>
              <w:t>Hybride</w:t>
            </w:r>
          </w:p>
        </w:tc>
        <w:tc>
          <w:tcPr>
            <w:tcW w:type="dxa" w:w="3249"/>
          </w:tcPr>
          <w:p>
            <w:r/>
            <w:r>
              <w:rPr>
                <w:b/>
                <w:i w:val="0"/>
                <w:sz w:val="18"/>
              </w:rPr>
              <w:t>122</w:t>
            </w:r>
          </w:p>
        </w:tc>
        <w:tc>
          <w:tcPr>
            <w:tcW w:type="dxa" w:w="3249"/>
          </w:tcPr>
          <w:p>
            <w:r/>
            <w:r>
              <w:rPr>
                <w:b/>
                <w:i w:val="0"/>
                <w:sz w:val="18"/>
              </w:rPr>
              <w:t>54</w:t>
            </w:r>
          </w:p>
        </w:tc>
      </w:tr>
      <w:tr>
        <w:tc>
          <w:tcPr>
            <w:tcW w:type="dxa" w:w="3249"/>
          </w:tcPr>
          <w:p>
            <w:r/>
            <w:r>
              <w:rPr>
                <w:b w:val="0"/>
                <w:i w:val="0"/>
                <w:sz w:val="18"/>
              </w:rPr>
              <w:t>XGBoost seul</w:t>
            </w:r>
          </w:p>
        </w:tc>
        <w:tc>
          <w:tcPr>
            <w:tcW w:type="dxa" w:w="3249"/>
          </w:tcPr>
          <w:p>
            <w:r/>
            <w:r>
              <w:rPr>
                <w:b w:val="0"/>
                <w:i w:val="0"/>
                <w:sz w:val="18"/>
              </w:rPr>
              <w:t>210</w:t>
            </w:r>
          </w:p>
        </w:tc>
        <w:tc>
          <w:tcPr>
            <w:tcW w:type="dxa" w:w="3249"/>
          </w:tcPr>
          <w:p>
            <w:r/>
            <w:r>
              <w:rPr>
                <w:b w:val="0"/>
                <w:i w:val="0"/>
                <w:sz w:val="18"/>
              </w:rPr>
              <w:t>99</w:t>
            </w:r>
          </w:p>
        </w:tc>
      </w:tr>
      <w:tr>
        <w:tc>
          <w:tcPr>
            <w:tcW w:type="dxa" w:w="3249"/>
          </w:tcPr>
          <w:p>
            <w:r/>
            <w:r>
              <w:rPr>
                <w:b w:val="0"/>
                <w:i w:val="0"/>
                <w:sz w:val="18"/>
              </w:rPr>
              <w:t>LSTM-attention seul</w:t>
            </w:r>
          </w:p>
        </w:tc>
        <w:tc>
          <w:tcPr>
            <w:tcW w:type="dxa" w:w="3249"/>
          </w:tcPr>
          <w:p>
            <w:r/>
            <w:r>
              <w:rPr>
                <w:b w:val="0"/>
                <w:i w:val="0"/>
                <w:sz w:val="18"/>
              </w:rPr>
              <w:t>178</w:t>
            </w:r>
          </w:p>
        </w:tc>
        <w:tc>
          <w:tcPr>
            <w:tcW w:type="dxa" w:w="3249"/>
          </w:tcPr>
          <w:p>
            <w:r/>
            <w:r>
              <w:rPr>
                <w:b w:val="0"/>
                <w:i w:val="0"/>
                <w:sz w:val="18"/>
              </w:rPr>
              <w:t>80</w:t>
            </w:r>
          </w:p>
        </w:tc>
      </w:tr>
    </w:tbl>
    <w:p/>
    <w:p>
      <w:pPr>
        <w:spacing w:after="120"/>
      </w:pPr>
      <w:r>
        <w:rPr>
          <w:b w:val="0"/>
          <w:i/>
        </w:rPr>
        <w:t>Tableau II.25 — Erreurs au seuil retenu sur le test.</w:t>
      </w:r>
    </w:p>
    <w:p>
      <w:pPr>
        <w:spacing w:after="120"/>
      </w:pPr>
      <w:r>
        <w:rPr>
          <w:b w:val="0"/>
          <w:i w:val="0"/>
        </w:rPr>
        <w:t xml:space="preserve">Par rapport à XGBoost seul, l'hybride réduit les </w:t>
      </w:r>
      <w:r>
        <w:rPr>
          <w:b/>
          <w:i w:val="0"/>
        </w:rPr>
        <w:t>fausses alertes de 42 %</w:t>
      </w:r>
      <w:r>
        <w:rPr>
          <w:b w:val="0"/>
          <w:i w:val="0"/>
        </w:rPr>
        <w:t xml:space="preserve"> (210 → 122) et les </w:t>
      </w:r>
      <w:r>
        <w:rPr>
          <w:b/>
          <w:i w:val="0"/>
        </w:rPr>
        <w:t>fraudes manquées de 45 %</w:t>
      </w:r>
      <w:r>
        <w:rPr>
          <w:b w:val="0"/>
          <w:i w:val="0"/>
        </w:rPr>
        <w:t xml:space="preserve"> (99 → 54). Pour un opérateur, cela signifie moins de clients honnêtes dérangés et moins d'argent perdu.</w:t>
      </w:r>
    </w:p>
    <w:p>
      <w:pPr>
        <w:pStyle w:val="Heading3"/>
      </w:pPr>
      <w:r>
        <w:t>e) Analyse par typologie de fraude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CE6F7"/>
          </w:tcPr>
          <w:p>
            <w:r/>
            <w:r>
              <w:rPr>
                <w:b/>
                <w:i w:val="0"/>
                <w:sz w:val="18"/>
              </w:rPr>
              <w:t>Typologie</w:t>
            </w:r>
          </w:p>
        </w:tc>
        <w:tc>
          <w:tcPr>
            <w:tcW w:type="dxa" w:w="1624"/>
            <w:shd w:val="clear" w:color="auto" w:fill="DCE6F7"/>
          </w:tcPr>
          <w:p>
            <w:r/>
            <w:r>
              <w:rPr>
                <w:b/>
                <w:i w:val="0"/>
                <w:sz w:val="18"/>
              </w:rPr>
              <w:t>Nombre</w:t>
            </w:r>
          </w:p>
        </w:tc>
        <w:tc>
          <w:tcPr>
            <w:tcW w:type="dxa" w:w="1624"/>
            <w:shd w:val="clear" w:color="auto" w:fill="DCE6F7"/>
          </w:tcPr>
          <w:p>
            <w:r/>
            <w:r>
              <w:rPr>
                <w:b/>
                <w:i w:val="0"/>
                <w:sz w:val="18"/>
              </w:rPr>
              <w:t>Hybride</w:t>
            </w:r>
          </w:p>
        </w:tc>
        <w:tc>
          <w:tcPr>
            <w:tcW w:type="dxa" w:w="1624"/>
            <w:shd w:val="clear" w:color="auto" w:fill="DCE6F7"/>
          </w:tcPr>
          <w:p>
            <w:r/>
            <w:r>
              <w:rPr>
                <w:b/>
                <w:i w:val="0"/>
                <w:sz w:val="18"/>
              </w:rPr>
              <w:t>XGBoost</w:t>
            </w:r>
          </w:p>
        </w:tc>
        <w:tc>
          <w:tcPr>
            <w:tcW w:type="dxa" w:w="1624"/>
            <w:shd w:val="clear" w:color="auto" w:fill="DCE6F7"/>
          </w:tcPr>
          <w:p>
            <w:r/>
            <w:r>
              <w:rPr>
                <w:b/>
                <w:i w:val="0"/>
                <w:sz w:val="18"/>
              </w:rPr>
              <w:t>LSTM</w:t>
            </w:r>
          </w:p>
        </w:tc>
        <w:tc>
          <w:tcPr>
            <w:tcW w:type="dxa" w:w="1624"/>
            <w:shd w:val="clear" w:color="auto" w:fill="DCE6F7"/>
          </w:tcPr>
          <w:p>
            <w:r/>
            <w:r>
              <w:rPr>
                <w:b/>
                <w:i w:val="0"/>
                <w:sz w:val="18"/>
              </w:rPr>
              <w:t>Autoencodeur</w:t>
            </w:r>
          </w:p>
        </w:tc>
      </w:tr>
      <w:tr>
        <w:tc>
          <w:tcPr>
            <w:tcW w:type="dxa" w:w="1624"/>
          </w:tcPr>
          <w:p>
            <w:r/>
            <w:r>
              <w:rPr>
                <w:b w:val="0"/>
                <w:i w:val="0"/>
                <w:sz w:val="18"/>
              </w:rPr>
              <w:t>Échange de SIM</w:t>
            </w:r>
          </w:p>
        </w:tc>
        <w:tc>
          <w:tcPr>
            <w:tcW w:type="dxa" w:w="1624"/>
          </w:tcPr>
          <w:p>
            <w:r/>
            <w:r>
              <w:rPr>
                <w:b w:val="0"/>
                <w:i w:val="0"/>
                <w:sz w:val="18"/>
              </w:rPr>
              <w:t>623</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0,998</w:t>
            </w:r>
          </w:p>
        </w:tc>
      </w:tr>
      <w:tr>
        <w:tc>
          <w:tcPr>
            <w:tcW w:type="dxa" w:w="1624"/>
          </w:tcPr>
          <w:p>
            <w:r/>
            <w:r>
              <w:rPr>
                <w:b w:val="0"/>
                <w:i w:val="0"/>
                <w:sz w:val="18"/>
              </w:rPr>
              <w:t>Ingénierie sociale</w:t>
            </w:r>
          </w:p>
        </w:tc>
        <w:tc>
          <w:tcPr>
            <w:tcW w:type="dxa" w:w="1624"/>
          </w:tcPr>
          <w:p>
            <w:r/>
            <w:r>
              <w:rPr>
                <w:b w:val="0"/>
                <w:i w:val="0"/>
                <w:sz w:val="18"/>
              </w:rPr>
              <w:t>630</w:t>
            </w:r>
          </w:p>
        </w:tc>
        <w:tc>
          <w:tcPr>
            <w:tcW w:type="dxa" w:w="1624"/>
          </w:tcPr>
          <w:p>
            <w:r/>
            <w:r>
              <w:rPr>
                <w:b/>
                <w:i w:val="0"/>
                <w:sz w:val="18"/>
              </w:rPr>
              <w:t>0,921</w:t>
            </w:r>
          </w:p>
        </w:tc>
        <w:tc>
          <w:tcPr>
            <w:tcW w:type="dxa" w:w="1624"/>
          </w:tcPr>
          <w:p>
            <w:r/>
            <w:r>
              <w:rPr>
                <w:b w:val="0"/>
                <w:i w:val="0"/>
                <w:sz w:val="18"/>
              </w:rPr>
              <w:t>0,859</w:t>
            </w:r>
          </w:p>
        </w:tc>
        <w:tc>
          <w:tcPr>
            <w:tcW w:type="dxa" w:w="1624"/>
          </w:tcPr>
          <w:p>
            <w:r/>
            <w:r>
              <w:rPr>
                <w:b w:val="0"/>
                <w:i w:val="0"/>
                <w:sz w:val="18"/>
              </w:rPr>
              <w:t>0,882</w:t>
            </w:r>
          </w:p>
        </w:tc>
        <w:tc>
          <w:tcPr>
            <w:tcW w:type="dxa" w:w="1624"/>
          </w:tcPr>
          <w:p>
            <w:r/>
            <w:r>
              <w:rPr>
                <w:b w:val="0"/>
                <w:i w:val="0"/>
                <w:sz w:val="18"/>
              </w:rPr>
              <w:t>0,003</w:t>
            </w:r>
          </w:p>
        </w:tc>
      </w:tr>
      <w:tr>
        <w:tc>
          <w:tcPr>
            <w:tcW w:type="dxa" w:w="1624"/>
          </w:tcPr>
          <w:p>
            <w:r/>
            <w:r>
              <w:rPr>
                <w:b w:val="0"/>
                <w:i w:val="0"/>
                <w:sz w:val="18"/>
              </w:rPr>
              <w:t>Prise de contrôle</w:t>
            </w:r>
          </w:p>
        </w:tc>
        <w:tc>
          <w:tcPr>
            <w:tcW w:type="dxa" w:w="1624"/>
          </w:tcPr>
          <w:p>
            <w:r/>
            <w:r>
              <w:rPr>
                <w:b w:val="0"/>
                <w:i w:val="0"/>
                <w:sz w:val="18"/>
              </w:rPr>
              <w:t>406</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0,988</w:t>
            </w:r>
          </w:p>
        </w:tc>
      </w:tr>
      <w:tr>
        <w:tc>
          <w:tcPr>
            <w:tcW w:type="dxa" w:w="1624"/>
          </w:tcPr>
          <w:p>
            <w:r/>
            <w:r>
              <w:rPr>
                <w:b w:val="0"/>
                <w:i w:val="0"/>
                <w:sz w:val="18"/>
              </w:rPr>
              <w:t>Fractionnement</w:t>
            </w:r>
          </w:p>
        </w:tc>
        <w:tc>
          <w:tcPr>
            <w:tcW w:type="dxa" w:w="1624"/>
          </w:tcPr>
          <w:p>
            <w:r/>
            <w:r>
              <w:rPr>
                <w:b w:val="0"/>
                <w:i w:val="0"/>
                <w:sz w:val="18"/>
              </w:rPr>
              <w:t>303</w:t>
            </w:r>
          </w:p>
        </w:tc>
        <w:tc>
          <w:tcPr>
            <w:tcW w:type="dxa" w:w="1624"/>
          </w:tcPr>
          <w:p>
            <w:r/>
            <w:r>
              <w:rPr>
                <w:b/>
                <w:i w:val="0"/>
                <w:sz w:val="18"/>
              </w:rPr>
              <w:t>0,987</w:t>
            </w:r>
          </w:p>
        </w:tc>
        <w:tc>
          <w:tcPr>
            <w:tcW w:type="dxa" w:w="1624"/>
          </w:tcPr>
          <w:p>
            <w:r/>
            <w:r>
              <w:rPr>
                <w:b w:val="0"/>
                <w:i w:val="0"/>
                <w:sz w:val="18"/>
              </w:rPr>
              <w:t>0,974</w:t>
            </w:r>
          </w:p>
        </w:tc>
        <w:tc>
          <w:tcPr>
            <w:tcW w:type="dxa" w:w="1624"/>
          </w:tcPr>
          <w:p>
            <w:r/>
            <w:r>
              <w:rPr>
                <w:b w:val="0"/>
                <w:i w:val="0"/>
                <w:sz w:val="18"/>
              </w:rPr>
              <w:t>0,987</w:t>
            </w:r>
          </w:p>
        </w:tc>
        <w:tc>
          <w:tcPr>
            <w:tcW w:type="dxa" w:w="1624"/>
          </w:tcPr>
          <w:p>
            <w:r/>
            <w:r>
              <w:rPr>
                <w:b w:val="0"/>
                <w:i w:val="0"/>
                <w:sz w:val="18"/>
              </w:rPr>
              <w:t>0,000</w:t>
            </w:r>
          </w:p>
        </w:tc>
      </w:tr>
      <w:tr>
        <w:tc>
          <w:tcPr>
            <w:tcW w:type="dxa" w:w="1624"/>
          </w:tcPr>
          <w:p>
            <w:r/>
            <w:r>
              <w:rPr>
                <w:b w:val="0"/>
                <w:i w:val="0"/>
                <w:sz w:val="18"/>
              </w:rPr>
              <w:t>Fraude d'agent</w:t>
            </w:r>
          </w:p>
        </w:tc>
        <w:tc>
          <w:tcPr>
            <w:tcW w:type="dxa" w:w="1624"/>
          </w:tcPr>
          <w:p>
            <w:r/>
            <w:r>
              <w:rPr>
                <w:b w:val="0"/>
                <w:i w:val="0"/>
                <w:sz w:val="18"/>
              </w:rPr>
              <w:t>181</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1,000</w:t>
            </w:r>
          </w:p>
        </w:tc>
      </w:tr>
      <w:tr>
        <w:tc>
          <w:tcPr>
            <w:tcW w:type="dxa" w:w="1624"/>
          </w:tcPr>
          <w:p>
            <w:r/>
            <w:r>
              <w:rPr>
                <w:b w:val="0"/>
                <w:i w:val="0"/>
                <w:sz w:val="18"/>
              </w:rPr>
              <w:t>Carte non présente</w:t>
            </w:r>
          </w:p>
        </w:tc>
        <w:tc>
          <w:tcPr>
            <w:tcW w:type="dxa" w:w="1624"/>
          </w:tcPr>
          <w:p>
            <w:r/>
            <w:r>
              <w:rPr>
                <w:b w:val="0"/>
                <w:i w:val="0"/>
                <w:sz w:val="18"/>
              </w:rPr>
              <w:t>131</w:t>
            </w:r>
          </w:p>
        </w:tc>
        <w:tc>
          <w:tcPr>
            <w:tcW w:type="dxa" w:w="1624"/>
          </w:tcPr>
          <w:p>
            <w:r/>
            <w:r>
              <w:rPr>
                <w:b/>
                <w:i w:val="0"/>
                <w:sz w:val="18"/>
              </w:rPr>
              <w:t>1,000</w:t>
            </w:r>
          </w:p>
        </w:tc>
        <w:tc>
          <w:tcPr>
            <w:tcW w:type="dxa" w:w="1624"/>
          </w:tcPr>
          <w:p>
            <w:r/>
            <w:r>
              <w:rPr>
                <w:b w:val="0"/>
                <w:i w:val="0"/>
                <w:sz w:val="18"/>
              </w:rPr>
              <w:t>0,985</w:t>
            </w:r>
          </w:p>
        </w:tc>
        <w:tc>
          <w:tcPr>
            <w:tcW w:type="dxa" w:w="1624"/>
          </w:tcPr>
          <w:p>
            <w:r/>
            <w:r>
              <w:rPr>
                <w:b w:val="0"/>
                <w:i w:val="0"/>
                <w:sz w:val="18"/>
              </w:rPr>
              <w:t>0,985</w:t>
            </w:r>
          </w:p>
        </w:tc>
        <w:tc>
          <w:tcPr>
            <w:tcW w:type="dxa" w:w="1624"/>
          </w:tcPr>
          <w:p>
            <w:r/>
            <w:r>
              <w:rPr>
                <w:b w:val="0"/>
                <w:i w:val="0"/>
                <w:sz w:val="18"/>
              </w:rPr>
              <w:t>1,000</w:t>
            </w:r>
          </w:p>
        </w:tc>
      </w:tr>
      <w:tr>
        <w:tc>
          <w:tcPr>
            <w:tcW w:type="dxa" w:w="1624"/>
          </w:tcPr>
          <w:p>
            <w:r/>
            <w:r>
              <w:rPr>
                <w:b w:val="0"/>
                <w:i w:val="0"/>
                <w:sz w:val="18"/>
              </w:rPr>
              <w:t>Vidage par rechargement</w:t>
            </w:r>
          </w:p>
        </w:tc>
        <w:tc>
          <w:tcPr>
            <w:tcW w:type="dxa" w:w="1624"/>
          </w:tcPr>
          <w:p>
            <w:r/>
            <w:r>
              <w:rPr>
                <w:b w:val="0"/>
                <w:i w:val="0"/>
                <w:sz w:val="18"/>
              </w:rPr>
              <w:t>82</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1,000</w:t>
            </w:r>
          </w:p>
        </w:tc>
      </w:tr>
      <w:tr>
        <w:tc>
          <w:tcPr>
            <w:tcW w:type="dxa" w:w="1624"/>
          </w:tcPr>
          <w:p>
            <w:r/>
            <w:r>
              <w:rPr>
                <w:b w:val="0"/>
                <w:i w:val="0"/>
                <w:sz w:val="18"/>
              </w:rPr>
              <w:t>Test de carte</w:t>
            </w:r>
          </w:p>
        </w:tc>
        <w:tc>
          <w:tcPr>
            <w:tcW w:type="dxa" w:w="1624"/>
          </w:tcPr>
          <w:p>
            <w:r/>
            <w:r>
              <w:rPr>
                <w:b w:val="0"/>
                <w:i w:val="0"/>
                <w:sz w:val="18"/>
              </w:rPr>
              <w:t>81</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1,000</w:t>
            </w:r>
          </w:p>
        </w:tc>
        <w:tc>
          <w:tcPr>
            <w:tcW w:type="dxa" w:w="1624"/>
          </w:tcPr>
          <w:p>
            <w:r/>
            <w:r>
              <w:rPr>
                <w:b w:val="0"/>
                <w:i w:val="0"/>
                <w:sz w:val="18"/>
              </w:rPr>
              <w:t>1,000</w:t>
            </w:r>
          </w:p>
        </w:tc>
      </w:tr>
    </w:tbl>
    <w:p/>
    <w:p>
      <w:pPr>
        <w:spacing w:after="120"/>
      </w:pPr>
      <w:r>
        <w:rPr>
          <w:b w:val="0"/>
          <w:i/>
        </w:rPr>
        <w:t>Tableau II.26 — Rappel par typologie de fraude (test).</w:t>
      </w:r>
    </w:p>
    <w:p>
      <w:pPr>
        <w:spacing w:after="120"/>
      </w:pPr>
      <w:r>
        <w:rPr>
          <w:b w:val="0"/>
          <w:i w:val="0"/>
        </w:rPr>
        <w:t xml:space="preserve">L'apport de l'hybride se concentre là où il est le plus utile : </w:t>
      </w:r>
      <w:r>
        <w:rPr>
          <w:b/>
          <w:i w:val="0"/>
        </w:rPr>
        <w:t>l'ingénierie sociale</w:t>
      </w:r>
      <w:r>
        <w:rPr>
          <w:b w:val="0"/>
          <w:i w:val="0"/>
        </w:rPr>
        <w:t>, fraude la plus difficile car c'est la victime elle-même qui paie, et la plus en hausse sur la période. Son rappel passe de 85,9 % (XGBoost) à 92,1 %. Les composantes se complètent : le LSTM repère mieux la dynamique de l'ingénierie sociale et du fractionnement ; l'autoencodeur repère toutes les fraudes carte non présente, dont XGBoost manque une partie.</w:t>
      </w:r>
    </w:p>
    <w:p>
      <w:pPr>
        <w:pStyle w:val="Heading3"/>
      </w:pPr>
      <w:r>
        <w:t>f) Contribution de chaque composante (ablation)</w:t>
      </w:r>
    </w:p>
    <w:p>
      <w:pPr>
        <w:spacing w:after="120"/>
      </w:pPr>
      <w:r>
        <w:rPr>
          <w:b w:val="0"/>
          <w:i w:val="0"/>
        </w:rPr>
        <w:t>Pour vérifier que chaque composante de l'hybride est utile, on la retire et on mesure la perte :</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Modèle</w:t>
            </w:r>
          </w:p>
        </w:tc>
        <w:tc>
          <w:tcPr>
            <w:tcW w:type="dxa" w:w="2436"/>
            <w:shd w:val="clear" w:color="auto" w:fill="DCE6F7"/>
          </w:tcPr>
          <w:p>
            <w:r/>
            <w:r>
              <w:rPr>
                <w:b/>
                <w:i w:val="0"/>
                <w:sz w:val="18"/>
              </w:rPr>
              <w:t>PR-AUC</w:t>
            </w:r>
          </w:p>
        </w:tc>
        <w:tc>
          <w:tcPr>
            <w:tcW w:type="dxa" w:w="2436"/>
            <w:shd w:val="clear" w:color="auto" w:fill="DCE6F7"/>
          </w:tcPr>
          <w:p>
            <w:r/>
            <w:r>
              <w:rPr>
                <w:b/>
                <w:i w:val="0"/>
                <w:sz w:val="18"/>
              </w:rPr>
              <w:t>F1</w:t>
            </w:r>
          </w:p>
        </w:tc>
        <w:tc>
          <w:tcPr>
            <w:tcW w:type="dxa" w:w="2436"/>
            <w:shd w:val="clear" w:color="auto" w:fill="DCE6F7"/>
          </w:tcPr>
          <w:p>
            <w:r/>
            <w:r>
              <w:rPr>
                <w:b/>
                <w:i w:val="0"/>
                <w:sz w:val="18"/>
              </w:rPr>
              <w:t>Taux de faux positifs</w:t>
            </w:r>
          </w:p>
        </w:tc>
      </w:tr>
      <w:tr>
        <w:tc>
          <w:tcPr>
            <w:tcW w:type="dxa" w:w="2436"/>
          </w:tcPr>
          <w:p>
            <w:r/>
            <w:r>
              <w:rPr>
                <w:b w:val="0"/>
                <w:i w:val="0"/>
                <w:sz w:val="18"/>
              </w:rPr>
              <w:t>Hybride complet</w:t>
            </w:r>
          </w:p>
        </w:tc>
        <w:tc>
          <w:tcPr>
            <w:tcW w:type="dxa" w:w="2436"/>
          </w:tcPr>
          <w:p>
            <w:r/>
            <w:r>
              <w:rPr>
                <w:b/>
                <w:i w:val="0"/>
                <w:sz w:val="18"/>
              </w:rPr>
              <w:t>0,9955</w:t>
            </w:r>
          </w:p>
        </w:tc>
        <w:tc>
          <w:tcPr>
            <w:tcW w:type="dxa" w:w="2436"/>
          </w:tcPr>
          <w:p>
            <w:r/>
            <w:r>
              <w:rPr>
                <w:b/>
                <w:i w:val="0"/>
                <w:sz w:val="18"/>
              </w:rPr>
              <w:t>0,964</w:t>
            </w:r>
          </w:p>
        </w:tc>
        <w:tc>
          <w:tcPr>
            <w:tcW w:type="dxa" w:w="2436"/>
          </w:tcPr>
          <w:p>
            <w:r/>
            <w:r>
              <w:rPr>
                <w:b/>
                <w:i w:val="0"/>
                <w:sz w:val="18"/>
              </w:rPr>
              <w:t>0,067 %</w:t>
            </w:r>
          </w:p>
        </w:tc>
      </w:tr>
      <w:tr>
        <w:tc>
          <w:tcPr>
            <w:tcW w:type="dxa" w:w="2436"/>
          </w:tcPr>
          <w:p>
            <w:r/>
            <w:r>
              <w:rPr>
                <w:b w:val="0"/>
                <w:i w:val="0"/>
                <w:sz w:val="18"/>
              </w:rPr>
              <w:t>Sans LSTM-attention</w:t>
            </w:r>
          </w:p>
        </w:tc>
        <w:tc>
          <w:tcPr>
            <w:tcW w:type="dxa" w:w="2436"/>
          </w:tcPr>
          <w:p>
            <w:r/>
            <w:r>
              <w:rPr>
                <w:b w:val="0"/>
                <w:i w:val="0"/>
                <w:sz w:val="18"/>
              </w:rPr>
              <w:t>0,9905</w:t>
            </w:r>
          </w:p>
        </w:tc>
        <w:tc>
          <w:tcPr>
            <w:tcW w:type="dxa" w:w="2436"/>
          </w:tcPr>
          <w:p>
            <w:r/>
            <w:r>
              <w:rPr>
                <w:b w:val="0"/>
                <w:i w:val="0"/>
                <w:sz w:val="18"/>
              </w:rPr>
              <w:t>0,944</w:t>
            </w:r>
          </w:p>
        </w:tc>
        <w:tc>
          <w:tcPr>
            <w:tcW w:type="dxa" w:w="2436"/>
          </w:tcPr>
          <w:p>
            <w:r/>
            <w:r>
              <w:rPr>
                <w:b w:val="0"/>
                <w:i w:val="0"/>
                <w:sz w:val="18"/>
              </w:rPr>
              <w:t>0,098 %</w:t>
            </w:r>
          </w:p>
        </w:tc>
      </w:tr>
      <w:tr>
        <w:tc>
          <w:tcPr>
            <w:tcW w:type="dxa" w:w="2436"/>
          </w:tcPr>
          <w:p>
            <w:r/>
            <w:r>
              <w:rPr>
                <w:b w:val="0"/>
                <w:i w:val="0"/>
                <w:sz w:val="18"/>
              </w:rPr>
              <w:t>Sans XGBoost</w:t>
            </w:r>
          </w:p>
        </w:tc>
        <w:tc>
          <w:tcPr>
            <w:tcW w:type="dxa" w:w="2436"/>
          </w:tcPr>
          <w:p>
            <w:r/>
            <w:r>
              <w:rPr>
                <w:b w:val="0"/>
                <w:i w:val="0"/>
                <w:sz w:val="18"/>
              </w:rPr>
              <w:t>0,9912</w:t>
            </w:r>
          </w:p>
        </w:tc>
        <w:tc>
          <w:tcPr>
            <w:tcW w:type="dxa" w:w="2436"/>
          </w:tcPr>
          <w:p>
            <w:r/>
            <w:r>
              <w:rPr>
                <w:b w:val="0"/>
                <w:i w:val="0"/>
                <w:sz w:val="18"/>
              </w:rPr>
              <w:t>0,957</w:t>
            </w:r>
          </w:p>
        </w:tc>
        <w:tc>
          <w:tcPr>
            <w:tcW w:type="dxa" w:w="2436"/>
          </w:tcPr>
          <w:p>
            <w:r/>
            <w:r>
              <w:rPr>
                <w:b w:val="0"/>
                <w:i w:val="0"/>
                <w:sz w:val="18"/>
              </w:rPr>
              <w:t>0,084 %</w:t>
            </w:r>
          </w:p>
        </w:tc>
      </w:tr>
      <w:tr>
        <w:tc>
          <w:tcPr>
            <w:tcW w:type="dxa" w:w="2436"/>
          </w:tcPr>
          <w:p>
            <w:r/>
            <w:r>
              <w:rPr>
                <w:b w:val="0"/>
                <w:i w:val="0"/>
                <w:sz w:val="18"/>
              </w:rPr>
              <w:t>Sans autoencodeur</w:t>
            </w:r>
          </w:p>
        </w:tc>
        <w:tc>
          <w:tcPr>
            <w:tcW w:type="dxa" w:w="2436"/>
          </w:tcPr>
          <w:p>
            <w:r/>
            <w:r>
              <w:rPr>
                <w:b w:val="0"/>
                <w:i w:val="0"/>
                <w:sz w:val="18"/>
              </w:rPr>
              <w:t>0,9950</w:t>
            </w:r>
          </w:p>
        </w:tc>
        <w:tc>
          <w:tcPr>
            <w:tcW w:type="dxa" w:w="2436"/>
          </w:tcPr>
          <w:p>
            <w:r/>
            <w:r>
              <w:rPr>
                <w:b w:val="0"/>
                <w:i w:val="0"/>
                <w:sz w:val="18"/>
              </w:rPr>
              <w:t>0,960</w:t>
            </w:r>
          </w:p>
        </w:tc>
        <w:tc>
          <w:tcPr>
            <w:tcW w:type="dxa" w:w="2436"/>
          </w:tcPr>
          <w:p>
            <w:r/>
            <w:r>
              <w:rPr>
                <w:b w:val="0"/>
                <w:i w:val="0"/>
                <w:sz w:val="18"/>
              </w:rPr>
              <w:t>0,080 %</w:t>
            </w:r>
          </w:p>
        </w:tc>
      </w:tr>
    </w:tbl>
    <w:p/>
    <w:p>
      <w:pPr>
        <w:spacing w:after="120"/>
      </w:pPr>
      <w:r>
        <w:rPr>
          <w:b w:val="0"/>
          <w:i/>
        </w:rPr>
        <w:t>Tableau II.27 — Ablation des composantes de l'hybride.</w:t>
      </w:r>
    </w:p>
    <w:p>
      <w:pPr>
        <w:spacing w:after="120"/>
      </w:pPr>
      <w:r>
        <w:rPr>
          <w:b w:val="0"/>
          <w:i w:val="0"/>
        </w:rPr>
        <w:t xml:space="preserve">Chaque retrait dégrade le modèle. Le LSTM et XGBoost sont les deux piliers. L'autoencodeur apporte peu en PR-AUC sur les fraudes connues du test, mais il réduit les fausses alertes et, surtout, il remplit un rôle qu'aucune autre composante ne remplit : il signale les comportements </w:t>
      </w:r>
      <w:r>
        <w:rPr>
          <w:b/>
          <w:i w:val="0"/>
        </w:rPr>
        <w:t>jamais vus</w:t>
      </w:r>
      <w:r>
        <w:rPr>
          <w:b w:val="0"/>
          <w:i w:val="0"/>
        </w:rPr>
        <w:t>. Son taux d'opérations « nouvelles » est l'un des signaux qui déclenchent le réentraînement (§ II.3.8).</w:t>
      </w:r>
    </w:p>
    <w:p>
      <w:pPr>
        <w:pStyle w:val="Heading3"/>
      </w:pPr>
      <w:r>
        <w:t>g) Matrice de décision multicritère</w:t>
      </w:r>
    </w:p>
    <w:p>
      <w:pPr>
        <w:spacing w:after="120"/>
      </w:pPr>
      <w:r>
        <w:rPr>
          <w:b w:val="0"/>
          <w:i w:val="0"/>
        </w:rPr>
        <w:t>Les résultats mesurés sont enfin combinés aux autres critères dans une matrice de décision. Chaque méthode reçoit une note de 1 (faible) à 5 (excellent) par critère. Les notes de performance découlent directement des résultats mesurés ci-dessus ; les autres sont justifiées sous le tableau.</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DCE6F7"/>
          </w:tcPr>
          <w:p>
            <w:r/>
            <w:r>
              <w:rPr>
                <w:b/>
                <w:i w:val="0"/>
                <w:sz w:val="18"/>
              </w:rPr>
              <w:t>Méthode</w:t>
            </w:r>
          </w:p>
        </w:tc>
        <w:tc>
          <w:tcPr>
            <w:tcW w:type="dxa" w:w="1218"/>
            <w:shd w:val="clear" w:color="auto" w:fill="DCE6F7"/>
          </w:tcPr>
          <w:p>
            <w:r/>
            <w:r>
              <w:rPr>
                <w:b/>
                <w:i w:val="0"/>
                <w:sz w:val="18"/>
              </w:rPr>
              <w:t>PR-AUC (30 %)</w:t>
            </w:r>
          </w:p>
        </w:tc>
        <w:tc>
          <w:tcPr>
            <w:tcW w:type="dxa" w:w="1218"/>
            <w:shd w:val="clear" w:color="auto" w:fill="DCE6F7"/>
          </w:tcPr>
          <w:p>
            <w:r/>
            <w:r>
              <w:rPr>
                <w:b/>
                <w:i w:val="0"/>
                <w:sz w:val="18"/>
              </w:rPr>
              <w:t>F1 (20 %)</w:t>
            </w:r>
          </w:p>
        </w:tc>
        <w:tc>
          <w:tcPr>
            <w:tcW w:type="dxa" w:w="1218"/>
            <w:shd w:val="clear" w:color="auto" w:fill="DCE6F7"/>
          </w:tcPr>
          <w:p>
            <w:r/>
            <w:r>
              <w:rPr>
                <w:b/>
                <w:i w:val="0"/>
                <w:sz w:val="18"/>
              </w:rPr>
              <w:t>Explicabilité (15 %)</w:t>
            </w:r>
          </w:p>
        </w:tc>
        <w:tc>
          <w:tcPr>
            <w:tcW w:type="dxa" w:w="1218"/>
            <w:shd w:val="clear" w:color="auto" w:fill="DCE6F7"/>
          </w:tcPr>
          <w:p>
            <w:r/>
            <w:r>
              <w:rPr>
                <w:b/>
                <w:i w:val="0"/>
                <w:sz w:val="18"/>
              </w:rPr>
              <w:t>Temps réel (15 %)</w:t>
            </w:r>
          </w:p>
        </w:tc>
        <w:tc>
          <w:tcPr>
            <w:tcW w:type="dxa" w:w="1218"/>
            <w:shd w:val="clear" w:color="auto" w:fill="DCE6F7"/>
          </w:tcPr>
          <w:p>
            <w:r/>
            <w:r>
              <w:rPr>
                <w:b/>
                <w:i w:val="0"/>
                <w:sz w:val="18"/>
              </w:rPr>
              <w:t>Dynamique (10 %)</w:t>
            </w:r>
          </w:p>
        </w:tc>
        <w:tc>
          <w:tcPr>
            <w:tcW w:type="dxa" w:w="1218"/>
            <w:shd w:val="clear" w:color="auto" w:fill="DCE6F7"/>
          </w:tcPr>
          <w:p>
            <w:r/>
            <w:r>
              <w:rPr>
                <w:b/>
                <w:i w:val="0"/>
                <w:sz w:val="18"/>
              </w:rPr>
              <w:t>Inédit (10 %)</w:t>
            </w:r>
          </w:p>
        </w:tc>
        <w:tc>
          <w:tcPr>
            <w:tcW w:type="dxa" w:w="1218"/>
            <w:shd w:val="clear" w:color="auto" w:fill="DCE6F7"/>
          </w:tcPr>
          <w:p>
            <w:r/>
            <w:r>
              <w:rPr>
                <w:b/>
                <w:i w:val="0"/>
                <w:sz w:val="18"/>
              </w:rPr>
              <w:t>Score pondéré / 5</w:t>
            </w:r>
          </w:p>
        </w:tc>
      </w:tr>
      <w:tr>
        <w:tc>
          <w:tcPr>
            <w:tcW w:type="dxa" w:w="1218"/>
          </w:tcPr>
          <w:p>
            <w:r/>
            <w:r>
              <w:rPr>
                <w:b w:val="0"/>
                <w:i w:val="0"/>
                <w:sz w:val="18"/>
              </w:rPr>
              <w:t>Règles métier</w:t>
            </w:r>
          </w:p>
        </w:tc>
        <w:tc>
          <w:tcPr>
            <w:tcW w:type="dxa" w:w="1218"/>
          </w:tcPr>
          <w:p>
            <w:r/>
            <w:r>
              <w:rPr>
                <w:b w:val="0"/>
                <w:i w:val="0"/>
                <w:sz w:val="18"/>
              </w:rPr>
              <w:t>1</w:t>
            </w:r>
          </w:p>
        </w:tc>
        <w:tc>
          <w:tcPr>
            <w:tcW w:type="dxa" w:w="1218"/>
          </w:tcPr>
          <w:p>
            <w:r/>
            <w:r>
              <w:rPr>
                <w:b w:val="0"/>
                <w:i w:val="0"/>
                <w:sz w:val="18"/>
              </w:rPr>
              <w:t>1</w:t>
            </w:r>
          </w:p>
        </w:tc>
        <w:tc>
          <w:tcPr>
            <w:tcW w:type="dxa" w:w="1218"/>
          </w:tcPr>
          <w:p>
            <w:r/>
            <w:r>
              <w:rPr>
                <w:b w:val="0"/>
                <w:i w:val="0"/>
                <w:sz w:val="18"/>
              </w:rPr>
              <w:t>5</w:t>
            </w:r>
          </w:p>
        </w:tc>
        <w:tc>
          <w:tcPr>
            <w:tcW w:type="dxa" w:w="1218"/>
          </w:tcPr>
          <w:p>
            <w:r/>
            <w:r>
              <w:rPr>
                <w:b w:val="0"/>
                <w:i w:val="0"/>
                <w:sz w:val="18"/>
              </w:rPr>
              <w:t>5</w:t>
            </w:r>
          </w:p>
        </w:tc>
        <w:tc>
          <w:tcPr>
            <w:tcW w:type="dxa" w:w="1218"/>
          </w:tcPr>
          <w:p>
            <w:r/>
            <w:r>
              <w:rPr>
                <w:b w:val="0"/>
                <w:i w:val="0"/>
                <w:sz w:val="18"/>
              </w:rPr>
              <w:t>1</w:t>
            </w:r>
          </w:p>
        </w:tc>
        <w:tc>
          <w:tcPr>
            <w:tcW w:type="dxa" w:w="1218"/>
          </w:tcPr>
          <w:p>
            <w:r/>
            <w:r>
              <w:rPr>
                <w:b w:val="0"/>
                <w:i w:val="0"/>
                <w:sz w:val="18"/>
              </w:rPr>
              <w:t>2</w:t>
            </w:r>
          </w:p>
        </w:tc>
        <w:tc>
          <w:tcPr>
            <w:tcW w:type="dxa" w:w="1218"/>
          </w:tcPr>
          <w:p>
            <w:r/>
            <w:r>
              <w:rPr>
                <w:b w:val="0"/>
                <w:i w:val="0"/>
                <w:sz w:val="18"/>
              </w:rPr>
              <w:t>2,30</w:t>
            </w:r>
          </w:p>
        </w:tc>
      </w:tr>
      <w:tr>
        <w:tc>
          <w:tcPr>
            <w:tcW w:type="dxa" w:w="1218"/>
          </w:tcPr>
          <w:p>
            <w:r/>
            <w:r>
              <w:rPr>
                <w:b w:val="0"/>
                <w:i w:val="0"/>
                <w:sz w:val="18"/>
              </w:rPr>
              <w:t>Régression logistique</w:t>
            </w:r>
          </w:p>
        </w:tc>
        <w:tc>
          <w:tcPr>
            <w:tcW w:type="dxa" w:w="1218"/>
          </w:tcPr>
          <w:p>
            <w:r/>
            <w:r>
              <w:rPr>
                <w:b w:val="0"/>
                <w:i w:val="0"/>
                <w:sz w:val="18"/>
              </w:rPr>
              <w:t>3</w:t>
            </w:r>
          </w:p>
        </w:tc>
        <w:tc>
          <w:tcPr>
            <w:tcW w:type="dxa" w:w="1218"/>
          </w:tcPr>
          <w:p>
            <w:r/>
            <w:r>
              <w:rPr>
                <w:b w:val="0"/>
                <w:i w:val="0"/>
                <w:sz w:val="18"/>
              </w:rPr>
              <w:t>3</w:t>
            </w:r>
          </w:p>
        </w:tc>
        <w:tc>
          <w:tcPr>
            <w:tcW w:type="dxa" w:w="1218"/>
          </w:tcPr>
          <w:p>
            <w:r/>
            <w:r>
              <w:rPr>
                <w:b w:val="0"/>
                <w:i w:val="0"/>
                <w:sz w:val="18"/>
              </w:rPr>
              <w:t>5</w:t>
            </w:r>
          </w:p>
        </w:tc>
        <w:tc>
          <w:tcPr>
            <w:tcW w:type="dxa" w:w="1218"/>
          </w:tcPr>
          <w:p>
            <w:r/>
            <w:r>
              <w:rPr>
                <w:b w:val="0"/>
                <w:i w:val="0"/>
                <w:sz w:val="18"/>
              </w:rPr>
              <w:t>5</w:t>
            </w:r>
          </w:p>
        </w:tc>
        <w:tc>
          <w:tcPr>
            <w:tcW w:type="dxa" w:w="1218"/>
          </w:tcPr>
          <w:p>
            <w:r/>
            <w:r>
              <w:rPr>
                <w:b w:val="0"/>
                <w:i w:val="0"/>
                <w:sz w:val="18"/>
              </w:rPr>
              <w:t>1</w:t>
            </w:r>
          </w:p>
        </w:tc>
        <w:tc>
          <w:tcPr>
            <w:tcW w:type="dxa" w:w="1218"/>
          </w:tcPr>
          <w:p>
            <w:r/>
            <w:r>
              <w:rPr>
                <w:b w:val="0"/>
                <w:i w:val="0"/>
                <w:sz w:val="18"/>
              </w:rPr>
              <w:t>1</w:t>
            </w:r>
          </w:p>
        </w:tc>
        <w:tc>
          <w:tcPr>
            <w:tcW w:type="dxa" w:w="1218"/>
          </w:tcPr>
          <w:p>
            <w:r/>
            <w:r>
              <w:rPr>
                <w:b w:val="0"/>
                <w:i w:val="0"/>
                <w:sz w:val="18"/>
              </w:rPr>
              <w:t>3,20</w:t>
            </w:r>
          </w:p>
        </w:tc>
      </w:tr>
      <w:tr>
        <w:tc>
          <w:tcPr>
            <w:tcW w:type="dxa" w:w="1218"/>
          </w:tcPr>
          <w:p>
            <w:r/>
            <w:r>
              <w:rPr>
                <w:b w:val="0"/>
                <w:i w:val="0"/>
                <w:sz w:val="18"/>
              </w:rPr>
              <w:t>Random Forest</w:t>
            </w:r>
          </w:p>
        </w:tc>
        <w:tc>
          <w:tcPr>
            <w:tcW w:type="dxa" w:w="1218"/>
          </w:tcPr>
          <w:p>
            <w:r/>
            <w:r>
              <w:rPr>
                <w:b w:val="0"/>
                <w:i w:val="0"/>
                <w:sz w:val="18"/>
              </w:rPr>
              <w:t>4</w:t>
            </w:r>
          </w:p>
        </w:tc>
        <w:tc>
          <w:tcPr>
            <w:tcW w:type="dxa" w:w="1218"/>
          </w:tcPr>
          <w:p>
            <w:r/>
            <w:r>
              <w:rPr>
                <w:b w:val="0"/>
                <w:i w:val="0"/>
                <w:sz w:val="18"/>
              </w:rPr>
              <w:t>4</w:t>
            </w:r>
          </w:p>
        </w:tc>
        <w:tc>
          <w:tcPr>
            <w:tcW w:type="dxa" w:w="1218"/>
          </w:tcPr>
          <w:p>
            <w:r/>
            <w:r>
              <w:rPr>
                <w:b w:val="0"/>
                <w:i w:val="0"/>
                <w:sz w:val="18"/>
              </w:rPr>
              <w:t>3</w:t>
            </w:r>
          </w:p>
        </w:tc>
        <w:tc>
          <w:tcPr>
            <w:tcW w:type="dxa" w:w="1218"/>
          </w:tcPr>
          <w:p>
            <w:r/>
            <w:r>
              <w:rPr>
                <w:b w:val="0"/>
                <w:i w:val="0"/>
                <w:sz w:val="18"/>
              </w:rPr>
              <w:t>4</w:t>
            </w:r>
          </w:p>
        </w:tc>
        <w:tc>
          <w:tcPr>
            <w:tcW w:type="dxa" w:w="1218"/>
          </w:tcPr>
          <w:p>
            <w:r/>
            <w:r>
              <w:rPr>
                <w:b w:val="0"/>
                <w:i w:val="0"/>
                <w:sz w:val="18"/>
              </w:rPr>
              <w:t>1</w:t>
            </w:r>
          </w:p>
        </w:tc>
        <w:tc>
          <w:tcPr>
            <w:tcW w:type="dxa" w:w="1218"/>
          </w:tcPr>
          <w:p>
            <w:r/>
            <w:r>
              <w:rPr>
                <w:b w:val="0"/>
                <w:i w:val="0"/>
                <w:sz w:val="18"/>
              </w:rPr>
              <w:t>1</w:t>
            </w:r>
          </w:p>
        </w:tc>
        <w:tc>
          <w:tcPr>
            <w:tcW w:type="dxa" w:w="1218"/>
          </w:tcPr>
          <w:p>
            <w:r/>
            <w:r>
              <w:rPr>
                <w:b w:val="0"/>
                <w:i w:val="0"/>
                <w:sz w:val="18"/>
              </w:rPr>
              <w:t>3,25</w:t>
            </w:r>
          </w:p>
        </w:tc>
      </w:tr>
      <w:tr>
        <w:tc>
          <w:tcPr>
            <w:tcW w:type="dxa" w:w="1218"/>
          </w:tcPr>
          <w:p>
            <w:r/>
            <w:r>
              <w:rPr>
                <w:b w:val="0"/>
                <w:i w:val="0"/>
                <w:sz w:val="18"/>
              </w:rPr>
              <w:t>Isolation Forest</w:t>
            </w:r>
          </w:p>
        </w:tc>
        <w:tc>
          <w:tcPr>
            <w:tcW w:type="dxa" w:w="1218"/>
          </w:tcPr>
          <w:p>
            <w:r/>
            <w:r>
              <w:rPr>
                <w:b w:val="0"/>
                <w:i w:val="0"/>
                <w:sz w:val="18"/>
              </w:rPr>
              <w:t>1</w:t>
            </w:r>
          </w:p>
        </w:tc>
        <w:tc>
          <w:tcPr>
            <w:tcW w:type="dxa" w:w="1218"/>
          </w:tcPr>
          <w:p>
            <w:r/>
            <w:r>
              <w:rPr>
                <w:b w:val="0"/>
                <w:i w:val="0"/>
                <w:sz w:val="18"/>
              </w:rPr>
              <w:t>1</w:t>
            </w:r>
          </w:p>
        </w:tc>
        <w:tc>
          <w:tcPr>
            <w:tcW w:type="dxa" w:w="1218"/>
          </w:tcPr>
          <w:p>
            <w:r/>
            <w:r>
              <w:rPr>
                <w:b w:val="0"/>
                <w:i w:val="0"/>
                <w:sz w:val="18"/>
              </w:rPr>
              <w:t>2</w:t>
            </w:r>
          </w:p>
        </w:tc>
        <w:tc>
          <w:tcPr>
            <w:tcW w:type="dxa" w:w="1218"/>
          </w:tcPr>
          <w:p>
            <w:r/>
            <w:r>
              <w:rPr>
                <w:b w:val="0"/>
                <w:i w:val="0"/>
                <w:sz w:val="18"/>
              </w:rPr>
              <w:t>4</w:t>
            </w:r>
          </w:p>
        </w:tc>
        <w:tc>
          <w:tcPr>
            <w:tcW w:type="dxa" w:w="1218"/>
          </w:tcPr>
          <w:p>
            <w:r/>
            <w:r>
              <w:rPr>
                <w:b w:val="0"/>
                <w:i w:val="0"/>
                <w:sz w:val="18"/>
              </w:rPr>
              <w:t>1</w:t>
            </w:r>
          </w:p>
        </w:tc>
        <w:tc>
          <w:tcPr>
            <w:tcW w:type="dxa" w:w="1218"/>
          </w:tcPr>
          <w:p>
            <w:r/>
            <w:r>
              <w:rPr>
                <w:b w:val="0"/>
                <w:i w:val="0"/>
                <w:sz w:val="18"/>
              </w:rPr>
              <w:t>4</w:t>
            </w:r>
          </w:p>
        </w:tc>
        <w:tc>
          <w:tcPr>
            <w:tcW w:type="dxa" w:w="1218"/>
          </w:tcPr>
          <w:p>
            <w:r/>
            <w:r>
              <w:rPr>
                <w:b w:val="0"/>
                <w:i w:val="0"/>
                <w:sz w:val="18"/>
              </w:rPr>
              <w:t>1,90</w:t>
            </w:r>
          </w:p>
        </w:tc>
      </w:tr>
      <w:tr>
        <w:tc>
          <w:tcPr>
            <w:tcW w:type="dxa" w:w="1218"/>
          </w:tcPr>
          <w:p>
            <w:r/>
            <w:r>
              <w:rPr>
                <w:b w:val="0"/>
                <w:i w:val="0"/>
                <w:sz w:val="18"/>
              </w:rPr>
              <w:t>Autoencodeur</w:t>
            </w:r>
          </w:p>
        </w:tc>
        <w:tc>
          <w:tcPr>
            <w:tcW w:type="dxa" w:w="1218"/>
          </w:tcPr>
          <w:p>
            <w:r/>
            <w:r>
              <w:rPr>
                <w:b w:val="0"/>
                <w:i w:val="0"/>
                <w:sz w:val="18"/>
              </w:rPr>
              <w:t>2</w:t>
            </w:r>
          </w:p>
        </w:tc>
        <w:tc>
          <w:tcPr>
            <w:tcW w:type="dxa" w:w="1218"/>
          </w:tcPr>
          <w:p>
            <w:r/>
            <w:r>
              <w:rPr>
                <w:b w:val="0"/>
                <w:i w:val="0"/>
                <w:sz w:val="18"/>
              </w:rPr>
              <w:t>2</w:t>
            </w:r>
          </w:p>
        </w:tc>
        <w:tc>
          <w:tcPr>
            <w:tcW w:type="dxa" w:w="1218"/>
          </w:tcPr>
          <w:p>
            <w:r/>
            <w:r>
              <w:rPr>
                <w:b w:val="0"/>
                <w:i w:val="0"/>
                <w:sz w:val="18"/>
              </w:rPr>
              <w:t>2</w:t>
            </w:r>
          </w:p>
        </w:tc>
        <w:tc>
          <w:tcPr>
            <w:tcW w:type="dxa" w:w="1218"/>
          </w:tcPr>
          <w:p>
            <w:r/>
            <w:r>
              <w:rPr>
                <w:b w:val="0"/>
                <w:i w:val="0"/>
                <w:sz w:val="18"/>
              </w:rPr>
              <w:t>4</w:t>
            </w:r>
          </w:p>
        </w:tc>
        <w:tc>
          <w:tcPr>
            <w:tcW w:type="dxa" w:w="1218"/>
          </w:tcPr>
          <w:p>
            <w:r/>
            <w:r>
              <w:rPr>
                <w:b w:val="0"/>
                <w:i w:val="0"/>
                <w:sz w:val="18"/>
              </w:rPr>
              <w:t>1</w:t>
            </w:r>
          </w:p>
        </w:tc>
        <w:tc>
          <w:tcPr>
            <w:tcW w:type="dxa" w:w="1218"/>
          </w:tcPr>
          <w:p>
            <w:r/>
            <w:r>
              <w:rPr>
                <w:b w:val="0"/>
                <w:i w:val="0"/>
                <w:sz w:val="18"/>
              </w:rPr>
              <w:t>5</w:t>
            </w:r>
          </w:p>
        </w:tc>
        <w:tc>
          <w:tcPr>
            <w:tcW w:type="dxa" w:w="1218"/>
          </w:tcPr>
          <w:p>
            <w:r/>
            <w:r>
              <w:rPr>
                <w:b w:val="0"/>
                <w:i w:val="0"/>
                <w:sz w:val="18"/>
              </w:rPr>
              <w:t>2,50</w:t>
            </w:r>
          </w:p>
        </w:tc>
      </w:tr>
      <w:tr>
        <w:tc>
          <w:tcPr>
            <w:tcW w:type="dxa" w:w="1218"/>
          </w:tcPr>
          <w:p>
            <w:r/>
            <w:r>
              <w:rPr>
                <w:b w:val="0"/>
                <w:i w:val="0"/>
                <w:sz w:val="18"/>
              </w:rPr>
              <w:t>XGBoost</w:t>
            </w:r>
          </w:p>
        </w:tc>
        <w:tc>
          <w:tcPr>
            <w:tcW w:type="dxa" w:w="1218"/>
          </w:tcPr>
          <w:p>
            <w:r/>
            <w:r>
              <w:rPr>
                <w:b w:val="0"/>
                <w:i w:val="0"/>
                <w:sz w:val="18"/>
              </w:rPr>
              <w:t>4</w:t>
            </w:r>
          </w:p>
        </w:tc>
        <w:tc>
          <w:tcPr>
            <w:tcW w:type="dxa" w:w="1218"/>
          </w:tcPr>
          <w:p>
            <w:r/>
            <w:r>
              <w:rPr>
                <w:b w:val="0"/>
                <w:i w:val="0"/>
                <w:sz w:val="18"/>
              </w:rPr>
              <w:t>4</w:t>
            </w:r>
          </w:p>
        </w:tc>
        <w:tc>
          <w:tcPr>
            <w:tcW w:type="dxa" w:w="1218"/>
          </w:tcPr>
          <w:p>
            <w:r/>
            <w:r>
              <w:rPr>
                <w:b w:val="0"/>
                <w:i w:val="0"/>
                <w:sz w:val="18"/>
              </w:rPr>
              <w:t>4</w:t>
            </w:r>
          </w:p>
        </w:tc>
        <w:tc>
          <w:tcPr>
            <w:tcW w:type="dxa" w:w="1218"/>
          </w:tcPr>
          <w:p>
            <w:r/>
            <w:r>
              <w:rPr>
                <w:b w:val="0"/>
                <w:i w:val="0"/>
                <w:sz w:val="18"/>
              </w:rPr>
              <w:t>5</w:t>
            </w:r>
          </w:p>
        </w:tc>
        <w:tc>
          <w:tcPr>
            <w:tcW w:type="dxa" w:w="1218"/>
          </w:tcPr>
          <w:p>
            <w:r/>
            <w:r>
              <w:rPr>
                <w:b w:val="0"/>
                <w:i w:val="0"/>
                <w:sz w:val="18"/>
              </w:rPr>
              <w:t>2</w:t>
            </w:r>
          </w:p>
        </w:tc>
        <w:tc>
          <w:tcPr>
            <w:tcW w:type="dxa" w:w="1218"/>
          </w:tcPr>
          <w:p>
            <w:r/>
            <w:r>
              <w:rPr>
                <w:b w:val="0"/>
                <w:i w:val="0"/>
                <w:sz w:val="18"/>
              </w:rPr>
              <w:t>1</w:t>
            </w:r>
          </w:p>
        </w:tc>
        <w:tc>
          <w:tcPr>
            <w:tcW w:type="dxa" w:w="1218"/>
          </w:tcPr>
          <w:p>
            <w:r/>
            <w:r>
              <w:rPr>
                <w:b w:val="0"/>
                <w:i w:val="0"/>
                <w:sz w:val="18"/>
              </w:rPr>
              <w:t>3,65</w:t>
            </w:r>
          </w:p>
        </w:tc>
      </w:tr>
      <w:tr>
        <w:tc>
          <w:tcPr>
            <w:tcW w:type="dxa" w:w="1218"/>
          </w:tcPr>
          <w:p>
            <w:r/>
            <w:r>
              <w:rPr>
                <w:b w:val="0"/>
                <w:i w:val="0"/>
                <w:sz w:val="18"/>
              </w:rPr>
              <w:t>LSTM-attention</w:t>
            </w:r>
          </w:p>
        </w:tc>
        <w:tc>
          <w:tcPr>
            <w:tcW w:type="dxa" w:w="1218"/>
          </w:tcPr>
          <w:p>
            <w:r/>
            <w:r>
              <w:rPr>
                <w:b w:val="0"/>
                <w:i w:val="0"/>
                <w:sz w:val="18"/>
              </w:rPr>
              <w:t>4</w:t>
            </w:r>
          </w:p>
        </w:tc>
        <w:tc>
          <w:tcPr>
            <w:tcW w:type="dxa" w:w="1218"/>
          </w:tcPr>
          <w:p>
            <w:r/>
            <w:r>
              <w:rPr>
                <w:b w:val="0"/>
                <w:i w:val="0"/>
                <w:sz w:val="18"/>
              </w:rPr>
              <w:t>4</w:t>
            </w:r>
          </w:p>
        </w:tc>
        <w:tc>
          <w:tcPr>
            <w:tcW w:type="dxa" w:w="1218"/>
          </w:tcPr>
          <w:p>
            <w:r/>
            <w:r>
              <w:rPr>
                <w:b w:val="0"/>
                <w:i w:val="0"/>
                <w:sz w:val="18"/>
              </w:rPr>
              <w:t>2</w:t>
            </w:r>
          </w:p>
        </w:tc>
        <w:tc>
          <w:tcPr>
            <w:tcW w:type="dxa" w:w="1218"/>
          </w:tcPr>
          <w:p>
            <w:r/>
            <w:r>
              <w:rPr>
                <w:b w:val="0"/>
                <w:i w:val="0"/>
                <w:sz w:val="18"/>
              </w:rPr>
              <w:t>3</w:t>
            </w:r>
          </w:p>
        </w:tc>
        <w:tc>
          <w:tcPr>
            <w:tcW w:type="dxa" w:w="1218"/>
          </w:tcPr>
          <w:p>
            <w:r/>
            <w:r>
              <w:rPr>
                <w:b w:val="0"/>
                <w:i w:val="0"/>
                <w:sz w:val="18"/>
              </w:rPr>
              <w:t>5</w:t>
            </w:r>
          </w:p>
        </w:tc>
        <w:tc>
          <w:tcPr>
            <w:tcW w:type="dxa" w:w="1218"/>
          </w:tcPr>
          <w:p>
            <w:r/>
            <w:r>
              <w:rPr>
                <w:b w:val="0"/>
                <w:i w:val="0"/>
                <w:sz w:val="18"/>
              </w:rPr>
              <w:t>2</w:t>
            </w:r>
          </w:p>
        </w:tc>
        <w:tc>
          <w:tcPr>
            <w:tcW w:type="dxa" w:w="1218"/>
          </w:tcPr>
          <w:p>
            <w:r/>
            <w:r>
              <w:rPr>
                <w:b w:val="0"/>
                <w:i w:val="0"/>
                <w:sz w:val="18"/>
              </w:rPr>
              <w:t>3,45</w:t>
            </w:r>
          </w:p>
        </w:tc>
      </w:tr>
      <w:tr>
        <w:tc>
          <w:tcPr>
            <w:tcW w:type="dxa" w:w="1218"/>
          </w:tcPr>
          <w:p>
            <w:r/>
            <w:r>
              <w:rPr>
                <w:b/>
                <w:i w:val="0"/>
                <w:sz w:val="18"/>
              </w:rPr>
              <w:t>Hybride</w:t>
            </w:r>
          </w:p>
        </w:tc>
        <w:tc>
          <w:tcPr>
            <w:tcW w:type="dxa" w:w="1218"/>
          </w:tcPr>
          <w:p>
            <w:r/>
            <w:r>
              <w:rPr>
                <w:b/>
                <w:i w:val="0"/>
                <w:sz w:val="18"/>
              </w:rPr>
              <w:t>5</w:t>
            </w:r>
          </w:p>
        </w:tc>
        <w:tc>
          <w:tcPr>
            <w:tcW w:type="dxa" w:w="1218"/>
          </w:tcPr>
          <w:p>
            <w:r/>
            <w:r>
              <w:rPr>
                <w:b/>
                <w:i w:val="0"/>
                <w:sz w:val="18"/>
              </w:rPr>
              <w:t>5</w:t>
            </w:r>
          </w:p>
        </w:tc>
        <w:tc>
          <w:tcPr>
            <w:tcW w:type="dxa" w:w="1218"/>
          </w:tcPr>
          <w:p>
            <w:r/>
            <w:r>
              <w:rPr>
                <w:b/>
                <w:i w:val="0"/>
                <w:sz w:val="18"/>
              </w:rPr>
              <w:t>4</w:t>
            </w:r>
          </w:p>
        </w:tc>
        <w:tc>
          <w:tcPr>
            <w:tcW w:type="dxa" w:w="1218"/>
          </w:tcPr>
          <w:p>
            <w:r/>
            <w:r>
              <w:rPr>
                <w:b/>
                <w:i w:val="0"/>
                <w:sz w:val="18"/>
              </w:rPr>
              <w:t>3</w:t>
            </w:r>
          </w:p>
        </w:tc>
        <w:tc>
          <w:tcPr>
            <w:tcW w:type="dxa" w:w="1218"/>
          </w:tcPr>
          <w:p>
            <w:r/>
            <w:r>
              <w:rPr>
                <w:b/>
                <w:i w:val="0"/>
                <w:sz w:val="18"/>
              </w:rPr>
              <w:t>5</w:t>
            </w:r>
          </w:p>
        </w:tc>
        <w:tc>
          <w:tcPr>
            <w:tcW w:type="dxa" w:w="1218"/>
          </w:tcPr>
          <w:p>
            <w:r/>
            <w:r>
              <w:rPr>
                <w:b/>
                <w:i w:val="0"/>
                <w:sz w:val="18"/>
              </w:rPr>
              <w:t>4</w:t>
            </w:r>
          </w:p>
        </w:tc>
        <w:tc>
          <w:tcPr>
            <w:tcW w:type="dxa" w:w="1218"/>
          </w:tcPr>
          <w:p>
            <w:r/>
            <w:r>
              <w:rPr>
                <w:b/>
                <w:i w:val="0"/>
                <w:sz w:val="18"/>
              </w:rPr>
              <w:t>4,45</w:t>
            </w:r>
          </w:p>
        </w:tc>
      </w:tr>
    </w:tbl>
    <w:p/>
    <w:p>
      <w:pPr>
        <w:spacing w:after="120"/>
      </w:pPr>
      <w:r>
        <w:rPr>
          <w:b w:val="0"/>
          <w:i/>
        </w:rPr>
        <w:t>Tableau II.28 — Matrice de décision multicritère.</w:t>
      </w:r>
    </w:p>
    <w:p>
      <w:pPr>
        <w:spacing w:after="120"/>
      </w:pPr>
      <w:r>
        <w:rPr>
          <w:b/>
          <w:i w:val="0"/>
        </w:rPr>
        <w:t>Justification des notes non mesurées :</w:t>
      </w:r>
    </w:p>
    <w:p>
      <w:pPr>
        <w:pStyle w:val="ListBullet"/>
      </w:pPr>
      <w:r>
        <w:rPr>
          <w:b/>
          <w:i w:val="0"/>
        </w:rPr>
        <w:t>Explicabilité.</w:t>
      </w:r>
      <w:r>
        <w:rPr>
          <w:b w:val="0"/>
          <w:i w:val="0"/>
        </w:rPr>
        <w:t xml:space="preserve"> Les règles et la régression logistique sont transparentes par nature (5). XGBoost dispose de TreeSHAP, qui donne la contribution </w:t>
      </w:r>
      <w:r>
        <w:rPr>
          <w:b/>
          <w:i w:val="0"/>
        </w:rPr>
        <w:t>exacte</w:t>
      </w:r>
      <w:r>
        <w:rPr>
          <w:b w:val="0"/>
          <w:i w:val="0"/>
        </w:rPr>
        <w:t xml:space="preserve"> de chaque variable (4). L'hybride conserve TreeSHAP et y ajoute la contribution de chaque composante et les poids d'attention (4). Le LSTM seul n'offre que l'attention, et les méthodes d'anomalie qu'un score global (2).</w:t>
      </w:r>
    </w:p>
    <w:p>
      <w:pPr>
        <w:pStyle w:val="ListBullet"/>
      </w:pPr>
      <w:r>
        <w:rPr>
          <w:b/>
          <w:i w:val="0"/>
        </w:rPr>
        <w:t>Temps réel et simplicité.</w:t>
      </w:r>
      <w:r>
        <w:rPr>
          <w:b w:val="0"/>
          <w:i w:val="0"/>
        </w:rPr>
        <w:t xml:space="preserve"> Les modèles linéaires et à arbres sont très rapides (4 ou 5). Le LSTM et l'hybride demandent davantage de calcul et de maintenance (3). Pour l'hybride, la latence de bout en bout mesurée lors d'un rejeu de flux est de 59 ms en médiane et de 104 ms au 95ᵉ centile.</w:t>
      </w:r>
    </w:p>
    <w:p>
      <w:pPr>
        <w:pStyle w:val="ListBullet"/>
      </w:pPr>
      <w:r>
        <w:rPr>
          <w:b/>
          <w:i w:val="0"/>
        </w:rPr>
        <w:t>Dynamique.</w:t>
      </w:r>
      <w:r>
        <w:rPr>
          <w:b w:val="0"/>
          <w:i w:val="0"/>
        </w:rPr>
        <w:t xml:space="preserve"> Seuls le LSTM et l'hybride lisent la séquence des opérations (5). XGBoost n'en voit qu'un résumé, à travers les variables de fréquence (2).</w:t>
      </w:r>
    </w:p>
    <w:p>
      <w:pPr>
        <w:pStyle w:val="ListBullet"/>
      </w:pPr>
      <w:r>
        <w:rPr>
          <w:b/>
          <w:i w:val="0"/>
        </w:rPr>
        <w:t>Inédit.</w:t>
      </w:r>
      <w:r>
        <w:rPr>
          <w:b w:val="0"/>
          <w:i w:val="0"/>
        </w:rPr>
        <w:t xml:space="preserve"> L'autoencodeur et l'Isolation Forest apprennent sans étiquette de fraude (5 et 4). L'hybride hérite de cette capacité par sa composante autoencodeur, renforcée par les lois physiques : lors d'une attaque par relais simulée, jamais vue à l'entraînement, le modèle de données seul n'en détecte que 0,3 %, contre 100 % avec les lois physiques.</w:t>
      </w:r>
    </w:p>
    <w:p>
      <w:pPr>
        <w:spacing w:after="120"/>
      </w:pPr>
      <w:r>
        <w:rPr>
          <w:b/>
          <w:i w:val="0"/>
        </w:rPr>
        <w:t>Robustesse de la décision.</w:t>
      </w:r>
      <w:r>
        <w:rPr>
          <w:b w:val="0"/>
          <w:i w:val="0"/>
        </w:rPr>
        <w:t xml:space="preserve"> Une pondération comporte une part de jugement. Pour vérifier que le choix n'en dépend pas, deux contrôles ont été faits :</w:t>
      </w:r>
    </w:p>
    <w:p>
      <w:pPr>
        <w:pStyle w:val="ListBullet"/>
      </w:pPr>
      <w:r>
        <w:rPr>
          <w:b w:val="0"/>
          <w:i w:val="0"/>
        </w:rPr>
        <w:t xml:space="preserve">avec des </w:t>
      </w:r>
      <w:r>
        <w:rPr>
          <w:b/>
          <w:i w:val="0"/>
        </w:rPr>
        <w:t>poids égaux</w:t>
      </w:r>
      <w:r>
        <w:rPr>
          <w:b w:val="0"/>
          <w:i w:val="0"/>
        </w:rPr>
        <w:t xml:space="preserve"> pour les six critères, l'hybride reste premier (4,33, contre 3,33 pour XGBoost et le LSTM) ;</w:t>
      </w:r>
    </w:p>
    <w:p>
      <w:pPr>
        <w:pStyle w:val="ListBullet"/>
      </w:pPr>
      <w:r>
        <w:rPr>
          <w:b w:val="0"/>
          <w:i w:val="0"/>
        </w:rPr>
        <w:t xml:space="preserve">sur </w:t>
      </w:r>
      <w:r>
        <w:rPr>
          <w:b/>
          <w:i w:val="0"/>
        </w:rPr>
        <w:t>2 000 pondérations tirées au hasard</w:t>
      </w:r>
      <w:r>
        <w:rPr>
          <w:b w:val="0"/>
          <w:i w:val="0"/>
        </w:rPr>
        <w:t xml:space="preserve">, l'hybride arrive premier dans </w:t>
      </w:r>
      <w:r>
        <w:rPr>
          <w:b/>
          <w:i w:val="0"/>
        </w:rPr>
        <w:t>91 %</w:t>
      </w:r>
      <w:r>
        <w:rPr>
          <w:b w:val="0"/>
          <w:i w:val="0"/>
        </w:rPr>
        <w:t xml:space="preserve"> des cas (1 817 sur 2 000). XGBoost ne passe devant que lorsque presque tout le poids porte sur la simplicité et l'explicabilité.</w:t>
      </w:r>
    </w:p>
    <w:p>
      <w:pPr>
        <w:pStyle w:val="Heading3"/>
      </w:pPr>
      <w:r>
        <w:t>h) Métriques complètes et analyse graphique</w:t>
      </w:r>
    </w:p>
    <w:p>
      <w:pPr>
        <w:spacing w:after="120"/>
      </w:pPr>
      <w:r>
        <w:rPr>
          <w:b w:val="0"/>
          <w:i w:val="0"/>
        </w:rPr>
        <w:t>Les tableaux précédents résument chaque méthode par quelques indicateurs. Pour une évaluation scientifique complète, cette section donne l'ensemble des métriques usuelles de la classification binaire. Elle les accompagne de quatorze figures et de leurs intervalles de confiance.</w:t>
      </w:r>
    </w:p>
    <w:p>
      <w:pPr>
        <w:spacing w:after="120"/>
      </w:pPr>
      <w:r>
        <w:rPr>
          <w:b w:val="0"/>
          <w:i w:val="0"/>
        </w:rPr>
        <w:t xml:space="preserve">Les chiffres sont produits par le script </w:t>
      </w:r>
      <w:r>
        <w:rPr>
          <w:rFonts w:ascii="Consolas" w:hAnsi="Consolas"/>
          <w:b w:val="0"/>
          <w:i w:val="0"/>
          <w:color w:val="1F3A8A"/>
          <w:sz w:val="18"/>
        </w:rPr>
        <w:t>ml/training/figures_comparaison.py</w:t>
      </w:r>
      <w:r>
        <w:rPr>
          <w:b w:val="0"/>
          <w:i w:val="0"/>
        </w:rPr>
        <w:t xml:space="preserve"> (commande </w:t>
      </w:r>
      <w:r>
        <w:rPr>
          <w:rFonts w:ascii="Consolas" w:hAnsi="Consolas"/>
          <w:b w:val="0"/>
          <w:i w:val="0"/>
          <w:color w:val="1F3A8A"/>
          <w:sz w:val="18"/>
        </w:rPr>
        <w:t>python -m ml.training.figures_comparaison</w:t>
      </w:r>
      <w:r>
        <w:rPr>
          <w:b w:val="0"/>
          <w:i w:val="0"/>
        </w:rPr>
        <w:t xml:space="preserve">), qui écrit </w:t>
      </w:r>
      <w:r>
        <w:rPr>
          <w:rFonts w:ascii="Consolas" w:hAnsi="Consolas"/>
          <w:b w:val="0"/>
          <w:i w:val="0"/>
          <w:color w:val="1F3A8A"/>
          <w:sz w:val="18"/>
        </w:rPr>
        <w:t>ml/reports/figures_comparaison.md</w:t>
      </w:r>
      <w:r>
        <w:rPr>
          <w:b w:val="0"/>
          <w:i w:val="0"/>
        </w:rPr>
        <w:t xml:space="preserve"> et les figures du dossier </w:t>
      </w:r>
      <w:r>
        <w:rPr>
          <w:rFonts w:ascii="Consolas" w:hAnsi="Consolas"/>
          <w:b w:val="0"/>
          <w:i w:val="0"/>
          <w:color w:val="1F3A8A"/>
          <w:sz w:val="18"/>
        </w:rPr>
        <w:t>ml/reports/figures/chapitre2/</w:t>
      </w:r>
      <w:r>
        <w:rPr>
          <w:b w:val="0"/>
          <w:i w:val="0"/>
        </w:rPr>
        <w:t xml:space="preserve">. Les quatre méthodes de référence (règles, régression logistique, Random Forest, Isolation Forest) y sont ré-entraînées avec les mêmes fonctions, les mêmes périodes et la même graine que lors de l'expérimentation. </w:t>
      </w:r>
      <w:r>
        <w:rPr>
          <w:b/>
          <w:i w:val="0"/>
        </w:rPr>
        <w:t>Contrôle de reproductibilité :</w:t>
      </w:r>
      <w:r>
        <w:rPr>
          <w:b w:val="0"/>
          <w:i w:val="0"/>
        </w:rPr>
        <w:t xml:space="preserve"> pour les huit méthodes, la PR-AUC et le F1 recalculés sont identiques, à la quatrième décimale, à ceux du Tableau II.23.</w:t>
      </w:r>
    </w:p>
    <w:p>
      <w:pPr>
        <w:spacing w:after="120"/>
      </w:pPr>
      <w:r>
        <w:rPr>
          <w:b/>
          <w:i w:val="0"/>
        </w:rPr>
        <w:t>Métriques ajoutées.</w:t>
      </w:r>
      <w:r>
        <w:rPr>
          <w:b w:val="0"/>
          <w:i w:val="0"/>
        </w:rPr>
        <w:t xml:space="preserve"> En plus des métriques du Tableau II.19, on calcule :</w:t>
      </w:r>
    </w:p>
    <w:p>
      <w:pPr>
        <w:pStyle w:val="ListBullet"/>
      </w:pPr>
      <w:r>
        <w:rPr>
          <w:b w:val="0"/>
          <w:i w:val="0"/>
        </w:rPr>
        <w:t xml:space="preserve">la </w:t>
      </w:r>
      <w:r>
        <w:rPr>
          <w:b/>
          <w:i w:val="0"/>
        </w:rPr>
        <w:t>spécificité</w:t>
      </w:r>
      <w:r>
        <w:rPr>
          <w:b w:val="0"/>
          <w:i w:val="0"/>
        </w:rPr>
        <w:t xml:space="preserve"> </w:t>
      </w:r>
      <m:oMath>
        <m:r>
          <m:t>VN/(VN+FP)</m:t>
        </m:r>
      </m:oMath>
      <w:r>
        <w:rPr>
          <w:b w:val="0"/>
          <w:i w:val="0"/>
        </w:rPr>
        <w:t>, part des opérations légitimes laissées passer sans alerte ;</w:t>
      </w:r>
    </w:p>
    <w:p>
      <w:pPr>
        <w:pStyle w:val="ListBullet"/>
      </w:pPr>
      <w:r>
        <w:rPr>
          <w:b w:val="0"/>
          <w:i w:val="0"/>
        </w:rPr>
        <w:t xml:space="preserve">le </w:t>
      </w:r>
      <w:r>
        <w:rPr>
          <w:b/>
          <w:i w:val="0"/>
        </w:rPr>
        <w:t>F2</w:t>
      </w:r>
      <w:r>
        <w:rPr>
          <w:b w:val="0"/>
          <w:i w:val="0"/>
        </w:rPr>
        <w:t>, qui donne deux fois plus de poids au rappel qu'à la précision, puisque manquer une fraude coûte plus cher qu'une fausse alerte ;</w:t>
      </w:r>
    </w:p>
    <w:p>
      <w:pPr>
        <w:pStyle w:val="ListBullet"/>
      </w:pPr>
      <w:r>
        <w:rPr>
          <w:b w:val="0"/>
          <w:i w:val="0"/>
        </w:rPr>
        <w:t xml:space="preserve">le </w:t>
      </w:r>
      <w:r>
        <w:rPr>
          <w:b/>
          <w:i w:val="0"/>
        </w:rPr>
        <w:t>coefficient de corrélation de Matthews</w:t>
      </w:r>
      <w:r>
        <w:rPr>
          <w:b w:val="0"/>
          <w:i w:val="0"/>
        </w:rPr>
        <w:t xml:space="preserve"> (MCC), qui utilise les quatre cases de la matrice de confusion et reste fiable quand les classes sont très déséquilibrées :</w:t>
      </w:r>
    </w:p>
    <w:p>
      <w:pPr>
        <w:jc w:val="center"/>
      </w:pPr>
      <m:oMath>
        <m:r>
          <m:t>MCC=</m:t>
        </m:r>
        <m:f>
          <m:fPr>
            <m:type m:val="bar"/>
          </m:fPr>
          <m:num>
            <m:r>
              <m:t>VP·VN−FP·FN</m:t>
            </m:r>
          </m:num>
          <m:den>
            <m:rad>
              <m:radPr>
                <m:degHide m:val="on"/>
              </m:radPr>
              <m:deg/>
              <m:e>
                <m:d>
                  <m:dPr>
                    <m:sepChr m:val=""/>
                  </m:dPr>
                  <m:e>
                    <m:r>
                      <m:t>V</m:t>
                    </m:r>
                    <m:r>
                      <m:t>P</m:t>
                    </m:r>
                    <m:r>
                      <m:t>+</m:t>
                    </m:r>
                    <m:r>
                      <m:t>F</m:t>
                    </m:r>
                    <m:r>
                      <m:t>P</m:t>
                    </m:r>
                    <m:r>
                      <m:t>)</m:t>
                    </m:r>
                    <m:r>
                      <m:t>(</m:t>
                    </m:r>
                    <m:r>
                      <m:t>V</m:t>
                    </m:r>
                    <m:r>
                      <m:t>P</m:t>
                    </m:r>
                    <m:r>
                      <m:t>+</m:t>
                    </m:r>
                    <m:r>
                      <m:t>F</m:t>
                    </m:r>
                    <m:r>
                      <m:t>N</m:t>
                    </m:r>
                    <m:r>
                      <m:t>)</m:t>
                    </m:r>
                    <m:r>
                      <m:t>(</m:t>
                    </m:r>
                    <m:r>
                      <m:t>V</m:t>
                    </m:r>
                    <m:r>
                      <m:t>N</m:t>
                    </m:r>
                    <m:r>
                      <m:t>+</m:t>
                    </m:r>
                    <m:r>
                      <m:t>F</m:t>
                    </m:r>
                    <m:r>
                      <m:t>P</m:t>
                    </m:r>
                    <m:r>
                      <m:t>)</m:t>
                    </m:r>
                    <m:r>
                      <m:t>(</m:t>
                    </m:r>
                    <m:r>
                      <m:t>V</m:t>
                    </m:r>
                    <m:r>
                      <m:t>N</m:t>
                    </m:r>
                    <m:r>
                      <m:t>+</m:t>
                    </m:r>
                    <m:r>
                      <m:t>F</m:t>
                    </m:r>
                    <m:r>
                      <m:t>N</m:t>
                    </m:r>
                  </m:e>
                </m:d>
              </m:e>
            </m:rad>
          </m:den>
        </m:f>
      </m:oMath>
    </w:p>
    <w:p>
      <w:pPr>
        <w:pStyle w:val="ListBullet"/>
      </w:pPr>
      <w:r>
        <w:rPr>
          <w:b w:val="0"/>
          <w:i w:val="0"/>
        </w:rPr>
        <w:t>l'</w:t>
      </w:r>
      <w:r>
        <w:rPr>
          <w:b/>
          <w:i w:val="0"/>
        </w:rPr>
        <w:t>exactitude équilibrée</w:t>
      </w:r>
      <w:r>
        <w:rPr>
          <w:b w:val="0"/>
          <w:i w:val="0"/>
        </w:rPr>
        <w:t>, moyenne du rappel et de la spécificité, qui neutralise le poids écrasant des opérations légitimes ;</w:t>
      </w:r>
    </w:p>
    <w:p>
      <w:pPr>
        <w:pStyle w:val="ListBullet"/>
      </w:pPr>
      <w:r>
        <w:rPr>
          <w:b w:val="0"/>
          <w:i w:val="0"/>
        </w:rPr>
        <w:t xml:space="preserve">le </w:t>
      </w:r>
      <w:r>
        <w:rPr>
          <w:b/>
          <w:i w:val="0"/>
        </w:rPr>
        <w:t>kappa de Cohen</w:t>
      </w:r>
      <w:r>
        <w:rPr>
          <w:b w:val="0"/>
          <w:i w:val="0"/>
        </w:rPr>
        <w:t>, accord entre prédictions et réalité corrigé de l'accord dû au hasard ;</w:t>
      </w:r>
    </w:p>
    <w:p>
      <w:pPr>
        <w:pStyle w:val="ListBullet"/>
      </w:pPr>
      <w:r>
        <w:rPr>
          <w:b w:val="0"/>
          <w:i w:val="0"/>
        </w:rPr>
        <w:t xml:space="preserve">le </w:t>
      </w:r>
      <w:r>
        <w:rPr>
          <w:b/>
          <w:i w:val="0"/>
        </w:rPr>
        <w:t>score de Brier</w:t>
      </w:r>
      <w:r>
        <w:rPr>
          <w:b w:val="0"/>
          <w:i w:val="0"/>
        </w:rPr>
        <w:t xml:space="preserve"> </w:t>
      </w:r>
      <m:oMath>
        <m:f>
          <m:fPr>
            <m:type m:val="bar"/>
          </m:fPr>
          <m:num>
            <m:r>
              <m:t>1</m:t>
            </m:r>
          </m:num>
          <m:den>
            <m:r>
              <m:t>n</m:t>
            </m:r>
          </m:den>
        </m:f>
        <m:nary>
          <m:naryPr>
            <m:chr m:val="∑"/>
            <m:limLoc m:val="subSup"/>
            <m:grow m:val="1"/>
            <m:subHide m:val="off"/>
            <m:supHide m:val="on"/>
          </m:naryPr>
          <m:sub>
            <m:r>
              <m:t>i</m:t>
            </m:r>
          </m:sub>
          <m:sup/>
          <m:e>
            <m:r>
              <m:t>(</m:t>
            </m:r>
          </m:e>
        </m:nary>
        <m:sSub>
          <m:e>
            <m:acc>
              <m:accPr>
                <m:chr m:val="̂"/>
              </m:accPr>
              <m:e>
                <m:r>
                  <m:t>p</m:t>
                </m:r>
              </m:e>
            </m:acc>
          </m:e>
          <m:sub>
            <m:r>
              <m:t>i</m:t>
            </m:r>
          </m:sub>
        </m:sSub>
        <m:r>
          <m:t>−</m:t>
        </m:r>
        <m:sSub>
          <m:e>
            <m:r>
              <m:t>y</m:t>
            </m:r>
          </m:e>
          <m:sub>
            <m:r>
              <m:t>i</m:t>
            </m:r>
          </m:sub>
        </m:sSub>
        <m:sSup>
          <m:e>
            <m:r>
              <m:t>)</m:t>
            </m:r>
          </m:e>
          <m:sup>
            <m:r>
              <m:t>2</m:t>
            </m:r>
          </m:sup>
        </m:sSup>
      </m:oMath>
      <w:r>
        <w:rPr>
          <w:b w:val="0"/>
          <w:i w:val="0"/>
        </w:rPr>
        <w:t>, qui mesure la qualité des probabilités prédites.</w:t>
      </w:r>
    </w:p>
    <w:tbl>
      <w:tblPr>
        <w:tblStyle w:val="TableGrid"/>
        <w:tblW w:type="auto" w:w="0"/>
        <w:jc w:val="center"/>
        <w:tblLook w:firstColumn="1" w:firstRow="1" w:lastColumn="0" w:lastRow="0" w:noHBand="0" w:noVBand="1" w:val="04A0"/>
      </w:tblPr>
      <w:tblGrid>
        <w:gridCol w:w="750"/>
        <w:gridCol w:w="750"/>
        <w:gridCol w:w="750"/>
        <w:gridCol w:w="750"/>
        <w:gridCol w:w="750"/>
        <w:gridCol w:w="750"/>
        <w:gridCol w:w="750"/>
        <w:gridCol w:w="750"/>
        <w:gridCol w:w="750"/>
        <w:gridCol w:w="750"/>
        <w:gridCol w:w="750"/>
        <w:gridCol w:w="750"/>
        <w:gridCol w:w="750"/>
      </w:tblGrid>
      <w:tr>
        <w:tc>
          <w:tcPr>
            <w:tcW w:type="dxa" w:w="750"/>
            <w:shd w:val="clear" w:color="auto" w:fill="DCE6F7"/>
          </w:tcPr>
          <w:p>
            <w:r/>
            <w:r>
              <w:rPr>
                <w:b/>
                <w:i w:val="0"/>
                <w:sz w:val="18"/>
              </w:rPr>
              <w:t>Méthode</w:t>
            </w:r>
          </w:p>
        </w:tc>
        <w:tc>
          <w:tcPr>
            <w:tcW w:type="dxa" w:w="750"/>
            <w:shd w:val="clear" w:color="auto" w:fill="DCE6F7"/>
          </w:tcPr>
          <w:p>
            <w:r/>
            <w:r>
              <w:rPr>
                <w:b/>
                <w:i w:val="0"/>
                <w:sz w:val="18"/>
              </w:rPr>
              <w:t>VP</w:t>
            </w:r>
          </w:p>
        </w:tc>
        <w:tc>
          <w:tcPr>
            <w:tcW w:type="dxa" w:w="750"/>
            <w:shd w:val="clear" w:color="auto" w:fill="DCE6F7"/>
          </w:tcPr>
          <w:p>
            <w:r/>
            <w:r>
              <w:rPr>
                <w:b/>
                <w:i w:val="0"/>
                <w:sz w:val="18"/>
              </w:rPr>
              <w:t>FP</w:t>
            </w:r>
          </w:p>
        </w:tc>
        <w:tc>
          <w:tcPr>
            <w:tcW w:type="dxa" w:w="750"/>
            <w:shd w:val="clear" w:color="auto" w:fill="DCE6F7"/>
          </w:tcPr>
          <w:p>
            <w:r/>
            <w:r>
              <w:rPr>
                <w:b/>
                <w:i w:val="0"/>
                <w:sz w:val="18"/>
              </w:rPr>
              <w:t>FN</w:t>
            </w:r>
          </w:p>
        </w:tc>
        <w:tc>
          <w:tcPr>
            <w:tcW w:type="dxa" w:w="750"/>
            <w:shd w:val="clear" w:color="auto" w:fill="DCE6F7"/>
          </w:tcPr>
          <w:p>
            <w:r/>
            <w:r>
              <w:rPr>
                <w:b/>
                <w:i w:val="0"/>
                <w:sz w:val="18"/>
              </w:rPr>
              <w:t>VN</w:t>
            </w:r>
          </w:p>
        </w:tc>
        <w:tc>
          <w:tcPr>
            <w:tcW w:type="dxa" w:w="750"/>
            <w:shd w:val="clear" w:color="auto" w:fill="DCE6F7"/>
          </w:tcPr>
          <w:p>
            <w:r/>
            <w:r>
              <w:rPr>
                <w:b/>
                <w:i w:val="0"/>
                <w:sz w:val="18"/>
              </w:rPr>
              <w:t>Précision</w:t>
            </w:r>
          </w:p>
        </w:tc>
        <w:tc>
          <w:tcPr>
            <w:tcW w:type="dxa" w:w="750"/>
            <w:shd w:val="clear" w:color="auto" w:fill="DCE6F7"/>
          </w:tcPr>
          <w:p>
            <w:r/>
            <w:r>
              <w:rPr>
                <w:b/>
                <w:i w:val="0"/>
                <w:sz w:val="18"/>
              </w:rPr>
              <w:t>Rappel</w:t>
            </w:r>
          </w:p>
        </w:tc>
        <w:tc>
          <w:tcPr>
            <w:tcW w:type="dxa" w:w="750"/>
            <w:shd w:val="clear" w:color="auto" w:fill="DCE6F7"/>
          </w:tcPr>
          <w:p>
            <w:r/>
            <w:r>
              <w:rPr>
                <w:b/>
                <w:i w:val="0"/>
                <w:sz w:val="18"/>
              </w:rPr>
              <w:t>Spécificité</w:t>
            </w:r>
          </w:p>
        </w:tc>
        <w:tc>
          <w:tcPr>
            <w:tcW w:type="dxa" w:w="750"/>
            <w:shd w:val="clear" w:color="auto" w:fill="DCE6F7"/>
          </w:tcPr>
          <w:p>
            <w:r/>
            <w:r>
              <w:rPr>
                <w:b/>
                <w:i w:val="0"/>
                <w:sz w:val="18"/>
              </w:rPr>
              <w:t>F1</w:t>
            </w:r>
          </w:p>
        </w:tc>
        <w:tc>
          <w:tcPr>
            <w:tcW w:type="dxa" w:w="750"/>
            <w:shd w:val="clear" w:color="auto" w:fill="DCE6F7"/>
          </w:tcPr>
          <w:p>
            <w:r/>
            <w:r>
              <w:rPr>
                <w:b/>
                <w:i w:val="0"/>
                <w:sz w:val="18"/>
              </w:rPr>
              <w:t>F2</w:t>
            </w:r>
          </w:p>
        </w:tc>
        <w:tc>
          <w:tcPr>
            <w:tcW w:type="dxa" w:w="750"/>
            <w:shd w:val="clear" w:color="auto" w:fill="DCE6F7"/>
          </w:tcPr>
          <w:p>
            <w:r/>
            <w:r>
              <w:rPr>
                <w:b/>
                <w:i w:val="0"/>
                <w:sz w:val="18"/>
              </w:rPr>
              <w:t>MCC</w:t>
            </w:r>
          </w:p>
        </w:tc>
        <w:tc>
          <w:tcPr>
            <w:tcW w:type="dxa" w:w="750"/>
            <w:shd w:val="clear" w:color="auto" w:fill="DCE6F7"/>
          </w:tcPr>
          <w:p>
            <w:r/>
            <w:r>
              <w:rPr>
                <w:b/>
                <w:i w:val="0"/>
                <w:sz w:val="18"/>
              </w:rPr>
              <w:t>Exact. équil.</w:t>
            </w:r>
          </w:p>
        </w:tc>
        <w:tc>
          <w:tcPr>
            <w:tcW w:type="dxa" w:w="750"/>
            <w:shd w:val="clear" w:color="auto" w:fill="DCE6F7"/>
          </w:tcPr>
          <w:p>
            <w:r/>
            <w:r>
              <w:rPr>
                <w:b/>
                <w:i w:val="0"/>
                <w:sz w:val="18"/>
              </w:rPr>
              <w:t>Kappa</w:t>
            </w:r>
          </w:p>
        </w:tc>
      </w:tr>
      <w:tr>
        <w:tc>
          <w:tcPr>
            <w:tcW w:type="dxa" w:w="750"/>
          </w:tcPr>
          <w:p>
            <w:r/>
            <w:r>
              <w:rPr>
                <w:b/>
                <w:i w:val="0"/>
                <w:sz w:val="18"/>
              </w:rPr>
              <w:t>Hybride</w:t>
            </w:r>
          </w:p>
        </w:tc>
        <w:tc>
          <w:tcPr>
            <w:tcW w:type="dxa" w:w="750"/>
          </w:tcPr>
          <w:p>
            <w:r/>
            <w:r>
              <w:rPr>
                <w:b/>
                <w:i w:val="0"/>
                <w:sz w:val="18"/>
              </w:rPr>
              <w:t>2 383</w:t>
            </w:r>
          </w:p>
        </w:tc>
        <w:tc>
          <w:tcPr>
            <w:tcW w:type="dxa" w:w="750"/>
          </w:tcPr>
          <w:p>
            <w:r/>
            <w:r>
              <w:rPr>
                <w:b w:val="0"/>
                <w:i w:val="0"/>
                <w:sz w:val="18"/>
              </w:rPr>
              <w:t>122</w:t>
            </w:r>
          </w:p>
        </w:tc>
        <w:tc>
          <w:tcPr>
            <w:tcW w:type="dxa" w:w="750"/>
          </w:tcPr>
          <w:p>
            <w:r/>
            <w:r>
              <w:rPr>
                <w:b/>
                <w:i w:val="0"/>
                <w:sz w:val="18"/>
              </w:rPr>
              <w:t>54</w:t>
            </w:r>
          </w:p>
        </w:tc>
        <w:tc>
          <w:tcPr>
            <w:tcW w:type="dxa" w:w="750"/>
          </w:tcPr>
          <w:p>
            <w:r/>
            <w:r>
              <w:rPr>
                <w:b w:val="0"/>
                <w:i w:val="0"/>
                <w:sz w:val="18"/>
              </w:rPr>
              <w:t>180 681</w:t>
            </w:r>
          </w:p>
        </w:tc>
        <w:tc>
          <w:tcPr>
            <w:tcW w:type="dxa" w:w="750"/>
          </w:tcPr>
          <w:p>
            <w:r/>
            <w:r>
              <w:rPr>
                <w:b w:val="0"/>
                <w:i w:val="0"/>
                <w:sz w:val="18"/>
              </w:rPr>
              <w:t>0,9513</w:t>
            </w:r>
          </w:p>
        </w:tc>
        <w:tc>
          <w:tcPr>
            <w:tcW w:type="dxa" w:w="750"/>
          </w:tcPr>
          <w:p>
            <w:r/>
            <w:r>
              <w:rPr>
                <w:b/>
                <w:i w:val="0"/>
                <w:sz w:val="18"/>
              </w:rPr>
              <w:t>0,9778</w:t>
            </w:r>
          </w:p>
        </w:tc>
        <w:tc>
          <w:tcPr>
            <w:tcW w:type="dxa" w:w="750"/>
          </w:tcPr>
          <w:p>
            <w:r/>
            <w:r>
              <w:rPr>
                <w:b w:val="0"/>
                <w:i w:val="0"/>
                <w:sz w:val="18"/>
              </w:rPr>
              <w:t>0,9993</w:t>
            </w:r>
          </w:p>
        </w:tc>
        <w:tc>
          <w:tcPr>
            <w:tcW w:type="dxa" w:w="750"/>
          </w:tcPr>
          <w:p>
            <w:r/>
            <w:r>
              <w:rPr>
                <w:b/>
                <w:i w:val="0"/>
                <w:sz w:val="18"/>
              </w:rPr>
              <w:t>0,9644</w:t>
            </w:r>
          </w:p>
        </w:tc>
        <w:tc>
          <w:tcPr>
            <w:tcW w:type="dxa" w:w="750"/>
          </w:tcPr>
          <w:p>
            <w:r/>
            <w:r>
              <w:rPr>
                <w:b/>
                <w:i w:val="0"/>
                <w:sz w:val="18"/>
              </w:rPr>
              <w:t>0,9724</w:t>
            </w:r>
          </w:p>
        </w:tc>
        <w:tc>
          <w:tcPr>
            <w:tcW w:type="dxa" w:w="750"/>
          </w:tcPr>
          <w:p>
            <w:r/>
            <w:r>
              <w:rPr>
                <w:b/>
                <w:i w:val="0"/>
                <w:sz w:val="18"/>
              </w:rPr>
              <w:t>0,9640</w:t>
            </w:r>
          </w:p>
        </w:tc>
        <w:tc>
          <w:tcPr>
            <w:tcW w:type="dxa" w:w="750"/>
          </w:tcPr>
          <w:p>
            <w:r/>
            <w:r>
              <w:rPr>
                <w:b/>
                <w:i w:val="0"/>
                <w:sz w:val="18"/>
              </w:rPr>
              <w:t>0,9886</w:t>
            </w:r>
          </w:p>
        </w:tc>
        <w:tc>
          <w:tcPr>
            <w:tcW w:type="dxa" w:w="750"/>
          </w:tcPr>
          <w:p>
            <w:r/>
            <w:r>
              <w:rPr>
                <w:b/>
                <w:i w:val="0"/>
                <w:sz w:val="18"/>
              </w:rPr>
              <w:t>0,9639</w:t>
            </w:r>
          </w:p>
        </w:tc>
      </w:tr>
      <w:tr>
        <w:tc>
          <w:tcPr>
            <w:tcW w:type="dxa" w:w="750"/>
          </w:tcPr>
          <w:p>
            <w:r/>
            <w:r>
              <w:rPr>
                <w:b w:val="0"/>
                <w:i w:val="0"/>
                <w:sz w:val="18"/>
              </w:rPr>
              <w:t>LSTM-attention</w:t>
            </w:r>
          </w:p>
        </w:tc>
        <w:tc>
          <w:tcPr>
            <w:tcW w:type="dxa" w:w="750"/>
          </w:tcPr>
          <w:p>
            <w:r/>
            <w:r>
              <w:rPr>
                <w:b w:val="0"/>
                <w:i w:val="0"/>
                <w:sz w:val="18"/>
              </w:rPr>
              <w:t>2 357</w:t>
            </w:r>
          </w:p>
        </w:tc>
        <w:tc>
          <w:tcPr>
            <w:tcW w:type="dxa" w:w="750"/>
          </w:tcPr>
          <w:p>
            <w:r/>
            <w:r>
              <w:rPr>
                <w:b w:val="0"/>
                <w:i w:val="0"/>
                <w:sz w:val="18"/>
              </w:rPr>
              <w:t>178</w:t>
            </w:r>
          </w:p>
        </w:tc>
        <w:tc>
          <w:tcPr>
            <w:tcW w:type="dxa" w:w="750"/>
          </w:tcPr>
          <w:p>
            <w:r/>
            <w:r>
              <w:rPr>
                <w:b w:val="0"/>
                <w:i w:val="0"/>
                <w:sz w:val="18"/>
              </w:rPr>
              <w:t>80</w:t>
            </w:r>
          </w:p>
        </w:tc>
        <w:tc>
          <w:tcPr>
            <w:tcW w:type="dxa" w:w="750"/>
          </w:tcPr>
          <w:p>
            <w:r/>
            <w:r>
              <w:rPr>
                <w:b w:val="0"/>
                <w:i w:val="0"/>
                <w:sz w:val="18"/>
              </w:rPr>
              <w:t>180 625</w:t>
            </w:r>
          </w:p>
        </w:tc>
        <w:tc>
          <w:tcPr>
            <w:tcW w:type="dxa" w:w="750"/>
          </w:tcPr>
          <w:p>
            <w:r/>
            <w:r>
              <w:rPr>
                <w:b w:val="0"/>
                <w:i w:val="0"/>
                <w:sz w:val="18"/>
              </w:rPr>
              <w:t>0,9298</w:t>
            </w:r>
          </w:p>
        </w:tc>
        <w:tc>
          <w:tcPr>
            <w:tcW w:type="dxa" w:w="750"/>
          </w:tcPr>
          <w:p>
            <w:r/>
            <w:r>
              <w:rPr>
                <w:b w:val="0"/>
                <w:i w:val="0"/>
                <w:sz w:val="18"/>
              </w:rPr>
              <w:t>0,9672</w:t>
            </w:r>
          </w:p>
        </w:tc>
        <w:tc>
          <w:tcPr>
            <w:tcW w:type="dxa" w:w="750"/>
          </w:tcPr>
          <w:p>
            <w:r/>
            <w:r>
              <w:rPr>
                <w:b w:val="0"/>
                <w:i w:val="0"/>
                <w:sz w:val="18"/>
              </w:rPr>
              <w:t>0,9990</w:t>
            </w:r>
          </w:p>
        </w:tc>
        <w:tc>
          <w:tcPr>
            <w:tcW w:type="dxa" w:w="750"/>
          </w:tcPr>
          <w:p>
            <w:r/>
            <w:r>
              <w:rPr>
                <w:b w:val="0"/>
                <w:i w:val="0"/>
                <w:sz w:val="18"/>
              </w:rPr>
              <w:t>0,9481</w:t>
            </w:r>
          </w:p>
        </w:tc>
        <w:tc>
          <w:tcPr>
            <w:tcW w:type="dxa" w:w="750"/>
          </w:tcPr>
          <w:p>
            <w:r/>
            <w:r>
              <w:rPr>
                <w:b w:val="0"/>
                <w:i w:val="0"/>
                <w:sz w:val="18"/>
              </w:rPr>
              <w:t>0,9595</w:t>
            </w:r>
          </w:p>
        </w:tc>
        <w:tc>
          <w:tcPr>
            <w:tcW w:type="dxa" w:w="750"/>
          </w:tcPr>
          <w:p>
            <w:r/>
            <w:r>
              <w:rPr>
                <w:b w:val="0"/>
                <w:i w:val="0"/>
                <w:sz w:val="18"/>
              </w:rPr>
              <w:t>0,9476</w:t>
            </w:r>
          </w:p>
        </w:tc>
        <w:tc>
          <w:tcPr>
            <w:tcW w:type="dxa" w:w="750"/>
          </w:tcPr>
          <w:p>
            <w:r/>
            <w:r>
              <w:rPr>
                <w:b w:val="0"/>
                <w:i w:val="0"/>
                <w:sz w:val="18"/>
              </w:rPr>
              <w:t>0,9831</w:t>
            </w:r>
          </w:p>
        </w:tc>
        <w:tc>
          <w:tcPr>
            <w:tcW w:type="dxa" w:w="750"/>
          </w:tcPr>
          <w:p>
            <w:r/>
            <w:r>
              <w:rPr>
                <w:b w:val="0"/>
                <w:i w:val="0"/>
                <w:sz w:val="18"/>
              </w:rPr>
              <w:t>0,9474</w:t>
            </w:r>
          </w:p>
        </w:tc>
      </w:tr>
      <w:tr>
        <w:tc>
          <w:tcPr>
            <w:tcW w:type="dxa" w:w="750"/>
          </w:tcPr>
          <w:p>
            <w:r/>
            <w:r>
              <w:rPr>
                <w:b w:val="0"/>
                <w:i w:val="0"/>
                <w:sz w:val="18"/>
              </w:rPr>
              <w:t>XGBoost</w:t>
            </w:r>
          </w:p>
        </w:tc>
        <w:tc>
          <w:tcPr>
            <w:tcW w:type="dxa" w:w="750"/>
          </w:tcPr>
          <w:p>
            <w:r/>
            <w:r>
              <w:rPr>
                <w:b w:val="0"/>
                <w:i w:val="0"/>
                <w:sz w:val="18"/>
              </w:rPr>
              <w:t>2 338</w:t>
            </w:r>
          </w:p>
        </w:tc>
        <w:tc>
          <w:tcPr>
            <w:tcW w:type="dxa" w:w="750"/>
          </w:tcPr>
          <w:p>
            <w:r/>
            <w:r>
              <w:rPr>
                <w:b w:val="0"/>
                <w:i w:val="0"/>
                <w:sz w:val="18"/>
              </w:rPr>
              <w:t>210</w:t>
            </w:r>
          </w:p>
        </w:tc>
        <w:tc>
          <w:tcPr>
            <w:tcW w:type="dxa" w:w="750"/>
          </w:tcPr>
          <w:p>
            <w:r/>
            <w:r>
              <w:rPr>
                <w:b w:val="0"/>
                <w:i w:val="0"/>
                <w:sz w:val="18"/>
              </w:rPr>
              <w:t>99</w:t>
            </w:r>
          </w:p>
        </w:tc>
        <w:tc>
          <w:tcPr>
            <w:tcW w:type="dxa" w:w="750"/>
          </w:tcPr>
          <w:p>
            <w:r/>
            <w:r>
              <w:rPr>
                <w:b w:val="0"/>
                <w:i w:val="0"/>
                <w:sz w:val="18"/>
              </w:rPr>
              <w:t>180 593</w:t>
            </w:r>
          </w:p>
        </w:tc>
        <w:tc>
          <w:tcPr>
            <w:tcW w:type="dxa" w:w="750"/>
          </w:tcPr>
          <w:p>
            <w:r/>
            <w:r>
              <w:rPr>
                <w:b w:val="0"/>
                <w:i w:val="0"/>
                <w:sz w:val="18"/>
              </w:rPr>
              <w:t>0,9176</w:t>
            </w:r>
          </w:p>
        </w:tc>
        <w:tc>
          <w:tcPr>
            <w:tcW w:type="dxa" w:w="750"/>
          </w:tcPr>
          <w:p>
            <w:r/>
            <w:r>
              <w:rPr>
                <w:b w:val="0"/>
                <w:i w:val="0"/>
                <w:sz w:val="18"/>
              </w:rPr>
              <w:t>0,9594</w:t>
            </w:r>
          </w:p>
        </w:tc>
        <w:tc>
          <w:tcPr>
            <w:tcW w:type="dxa" w:w="750"/>
          </w:tcPr>
          <w:p>
            <w:r/>
            <w:r>
              <w:rPr>
                <w:b w:val="0"/>
                <w:i w:val="0"/>
                <w:sz w:val="18"/>
              </w:rPr>
              <w:t>0,9988</w:t>
            </w:r>
          </w:p>
        </w:tc>
        <w:tc>
          <w:tcPr>
            <w:tcW w:type="dxa" w:w="750"/>
          </w:tcPr>
          <w:p>
            <w:r/>
            <w:r>
              <w:rPr>
                <w:b w:val="0"/>
                <w:i w:val="0"/>
                <w:sz w:val="18"/>
              </w:rPr>
              <w:t>0,9380</w:t>
            </w:r>
          </w:p>
        </w:tc>
        <w:tc>
          <w:tcPr>
            <w:tcW w:type="dxa" w:w="750"/>
          </w:tcPr>
          <w:p>
            <w:r/>
            <w:r>
              <w:rPr>
                <w:b w:val="0"/>
                <w:i w:val="0"/>
                <w:sz w:val="18"/>
              </w:rPr>
              <w:t>0,9507</w:t>
            </w:r>
          </w:p>
        </w:tc>
        <w:tc>
          <w:tcPr>
            <w:tcW w:type="dxa" w:w="750"/>
          </w:tcPr>
          <w:p>
            <w:r/>
            <w:r>
              <w:rPr>
                <w:b w:val="0"/>
                <w:i w:val="0"/>
                <w:sz w:val="18"/>
              </w:rPr>
              <w:t>0,9374</w:t>
            </w:r>
          </w:p>
        </w:tc>
        <w:tc>
          <w:tcPr>
            <w:tcW w:type="dxa" w:w="750"/>
          </w:tcPr>
          <w:p>
            <w:r/>
            <w:r>
              <w:rPr>
                <w:b w:val="0"/>
                <w:i w:val="0"/>
                <w:sz w:val="18"/>
              </w:rPr>
              <w:t>0,9791</w:t>
            </w:r>
          </w:p>
        </w:tc>
        <w:tc>
          <w:tcPr>
            <w:tcW w:type="dxa" w:w="750"/>
          </w:tcPr>
          <w:p>
            <w:r/>
            <w:r>
              <w:rPr>
                <w:b w:val="0"/>
                <w:i w:val="0"/>
                <w:sz w:val="18"/>
              </w:rPr>
              <w:t>0,9372</w:t>
            </w:r>
          </w:p>
        </w:tc>
      </w:tr>
      <w:tr>
        <w:tc>
          <w:tcPr>
            <w:tcW w:type="dxa" w:w="750"/>
          </w:tcPr>
          <w:p>
            <w:r/>
            <w:r>
              <w:rPr>
                <w:b w:val="0"/>
                <w:i w:val="0"/>
                <w:sz w:val="18"/>
              </w:rPr>
              <w:t>Random Forest</w:t>
            </w:r>
          </w:p>
        </w:tc>
        <w:tc>
          <w:tcPr>
            <w:tcW w:type="dxa" w:w="750"/>
          </w:tcPr>
          <w:p>
            <w:r/>
            <w:r>
              <w:rPr>
                <w:b w:val="0"/>
                <w:i w:val="0"/>
                <w:sz w:val="18"/>
              </w:rPr>
              <w:t>2 264</w:t>
            </w:r>
          </w:p>
        </w:tc>
        <w:tc>
          <w:tcPr>
            <w:tcW w:type="dxa" w:w="750"/>
          </w:tcPr>
          <w:p>
            <w:r/>
            <w:r>
              <w:rPr>
                <w:b w:val="0"/>
                <w:i w:val="0"/>
                <w:sz w:val="18"/>
              </w:rPr>
              <w:t>160</w:t>
            </w:r>
          </w:p>
        </w:tc>
        <w:tc>
          <w:tcPr>
            <w:tcW w:type="dxa" w:w="750"/>
          </w:tcPr>
          <w:p>
            <w:r/>
            <w:r>
              <w:rPr>
                <w:b w:val="0"/>
                <w:i w:val="0"/>
                <w:sz w:val="18"/>
              </w:rPr>
              <w:t>173</w:t>
            </w:r>
          </w:p>
        </w:tc>
        <w:tc>
          <w:tcPr>
            <w:tcW w:type="dxa" w:w="750"/>
          </w:tcPr>
          <w:p>
            <w:r/>
            <w:r>
              <w:rPr>
                <w:b w:val="0"/>
                <w:i w:val="0"/>
                <w:sz w:val="18"/>
              </w:rPr>
              <w:t>180 643</w:t>
            </w:r>
          </w:p>
        </w:tc>
        <w:tc>
          <w:tcPr>
            <w:tcW w:type="dxa" w:w="750"/>
          </w:tcPr>
          <w:p>
            <w:r/>
            <w:r>
              <w:rPr>
                <w:b w:val="0"/>
                <w:i w:val="0"/>
                <w:sz w:val="18"/>
              </w:rPr>
              <w:t>0,9340</w:t>
            </w:r>
          </w:p>
        </w:tc>
        <w:tc>
          <w:tcPr>
            <w:tcW w:type="dxa" w:w="750"/>
          </w:tcPr>
          <w:p>
            <w:r/>
            <w:r>
              <w:rPr>
                <w:b w:val="0"/>
                <w:i w:val="0"/>
                <w:sz w:val="18"/>
              </w:rPr>
              <w:t>0,9290</w:t>
            </w:r>
          </w:p>
        </w:tc>
        <w:tc>
          <w:tcPr>
            <w:tcW w:type="dxa" w:w="750"/>
          </w:tcPr>
          <w:p>
            <w:r/>
            <w:r>
              <w:rPr>
                <w:b w:val="0"/>
                <w:i w:val="0"/>
                <w:sz w:val="18"/>
              </w:rPr>
              <w:t>0,9991</w:t>
            </w:r>
          </w:p>
        </w:tc>
        <w:tc>
          <w:tcPr>
            <w:tcW w:type="dxa" w:w="750"/>
          </w:tcPr>
          <w:p>
            <w:r/>
            <w:r>
              <w:rPr>
                <w:b w:val="0"/>
                <w:i w:val="0"/>
                <w:sz w:val="18"/>
              </w:rPr>
              <w:t>0,9315</w:t>
            </w:r>
          </w:p>
        </w:tc>
        <w:tc>
          <w:tcPr>
            <w:tcW w:type="dxa" w:w="750"/>
          </w:tcPr>
          <w:p>
            <w:r/>
            <w:r>
              <w:rPr>
                <w:b w:val="0"/>
                <w:i w:val="0"/>
                <w:sz w:val="18"/>
              </w:rPr>
              <w:t>0,9300</w:t>
            </w:r>
          </w:p>
        </w:tc>
        <w:tc>
          <w:tcPr>
            <w:tcW w:type="dxa" w:w="750"/>
          </w:tcPr>
          <w:p>
            <w:r/>
            <w:r>
              <w:rPr>
                <w:b w:val="0"/>
                <w:i w:val="0"/>
                <w:sz w:val="18"/>
              </w:rPr>
              <w:t>0,9306</w:t>
            </w:r>
          </w:p>
        </w:tc>
        <w:tc>
          <w:tcPr>
            <w:tcW w:type="dxa" w:w="750"/>
          </w:tcPr>
          <w:p>
            <w:r/>
            <w:r>
              <w:rPr>
                <w:b w:val="0"/>
                <w:i w:val="0"/>
                <w:sz w:val="18"/>
              </w:rPr>
              <w:t>0,9641</w:t>
            </w:r>
          </w:p>
        </w:tc>
        <w:tc>
          <w:tcPr>
            <w:tcW w:type="dxa" w:w="750"/>
          </w:tcPr>
          <w:p>
            <w:r/>
            <w:r>
              <w:rPr>
                <w:b w:val="0"/>
                <w:i w:val="0"/>
                <w:sz w:val="18"/>
              </w:rPr>
              <w:t>0,9306</w:t>
            </w:r>
          </w:p>
        </w:tc>
      </w:tr>
      <w:tr>
        <w:tc>
          <w:tcPr>
            <w:tcW w:type="dxa" w:w="750"/>
          </w:tcPr>
          <w:p>
            <w:r/>
            <w:r>
              <w:rPr>
                <w:b w:val="0"/>
                <w:i w:val="0"/>
                <w:sz w:val="18"/>
              </w:rPr>
              <w:t>Régression logistique</w:t>
            </w:r>
          </w:p>
        </w:tc>
        <w:tc>
          <w:tcPr>
            <w:tcW w:type="dxa" w:w="750"/>
          </w:tcPr>
          <w:p>
            <w:r/>
            <w:r>
              <w:rPr>
                <w:b w:val="0"/>
                <w:i w:val="0"/>
                <w:sz w:val="18"/>
              </w:rPr>
              <w:t>2 114</w:t>
            </w:r>
          </w:p>
        </w:tc>
        <w:tc>
          <w:tcPr>
            <w:tcW w:type="dxa" w:w="750"/>
          </w:tcPr>
          <w:p>
            <w:r/>
            <w:r>
              <w:rPr>
                <w:b w:val="0"/>
                <w:i w:val="0"/>
                <w:sz w:val="18"/>
              </w:rPr>
              <w:t>284</w:t>
            </w:r>
          </w:p>
        </w:tc>
        <w:tc>
          <w:tcPr>
            <w:tcW w:type="dxa" w:w="750"/>
          </w:tcPr>
          <w:p>
            <w:r/>
            <w:r>
              <w:rPr>
                <w:b w:val="0"/>
                <w:i w:val="0"/>
                <w:sz w:val="18"/>
              </w:rPr>
              <w:t>323</w:t>
            </w:r>
          </w:p>
        </w:tc>
        <w:tc>
          <w:tcPr>
            <w:tcW w:type="dxa" w:w="750"/>
          </w:tcPr>
          <w:p>
            <w:r/>
            <w:r>
              <w:rPr>
                <w:b w:val="0"/>
                <w:i w:val="0"/>
                <w:sz w:val="18"/>
              </w:rPr>
              <w:t>180 519</w:t>
            </w:r>
          </w:p>
        </w:tc>
        <w:tc>
          <w:tcPr>
            <w:tcW w:type="dxa" w:w="750"/>
          </w:tcPr>
          <w:p>
            <w:r/>
            <w:r>
              <w:rPr>
                <w:b w:val="0"/>
                <w:i w:val="0"/>
                <w:sz w:val="18"/>
              </w:rPr>
              <w:t>0,8816</w:t>
            </w:r>
          </w:p>
        </w:tc>
        <w:tc>
          <w:tcPr>
            <w:tcW w:type="dxa" w:w="750"/>
          </w:tcPr>
          <w:p>
            <w:r/>
            <w:r>
              <w:rPr>
                <w:b w:val="0"/>
                <w:i w:val="0"/>
                <w:sz w:val="18"/>
              </w:rPr>
              <w:t>0,8675</w:t>
            </w:r>
          </w:p>
        </w:tc>
        <w:tc>
          <w:tcPr>
            <w:tcW w:type="dxa" w:w="750"/>
          </w:tcPr>
          <w:p>
            <w:r/>
            <w:r>
              <w:rPr>
                <w:b w:val="0"/>
                <w:i w:val="0"/>
                <w:sz w:val="18"/>
              </w:rPr>
              <w:t>0,9984</w:t>
            </w:r>
          </w:p>
        </w:tc>
        <w:tc>
          <w:tcPr>
            <w:tcW w:type="dxa" w:w="750"/>
          </w:tcPr>
          <w:p>
            <w:r/>
            <w:r>
              <w:rPr>
                <w:b w:val="0"/>
                <w:i w:val="0"/>
                <w:sz w:val="18"/>
              </w:rPr>
              <w:t>0,8745</w:t>
            </w:r>
          </w:p>
        </w:tc>
        <w:tc>
          <w:tcPr>
            <w:tcW w:type="dxa" w:w="750"/>
          </w:tcPr>
          <w:p>
            <w:r/>
            <w:r>
              <w:rPr>
                <w:b w:val="0"/>
                <w:i w:val="0"/>
                <w:sz w:val="18"/>
              </w:rPr>
              <w:t>0,8702</w:t>
            </w:r>
          </w:p>
        </w:tc>
        <w:tc>
          <w:tcPr>
            <w:tcW w:type="dxa" w:w="750"/>
          </w:tcPr>
          <w:p>
            <w:r/>
            <w:r>
              <w:rPr>
                <w:b w:val="0"/>
                <w:i w:val="0"/>
                <w:sz w:val="18"/>
              </w:rPr>
              <w:t>0,8728</w:t>
            </w:r>
          </w:p>
        </w:tc>
        <w:tc>
          <w:tcPr>
            <w:tcW w:type="dxa" w:w="750"/>
          </w:tcPr>
          <w:p>
            <w:r/>
            <w:r>
              <w:rPr>
                <w:b w:val="0"/>
                <w:i w:val="0"/>
                <w:sz w:val="18"/>
              </w:rPr>
              <w:t>0,9329</w:t>
            </w:r>
          </w:p>
        </w:tc>
        <w:tc>
          <w:tcPr>
            <w:tcW w:type="dxa" w:w="750"/>
          </w:tcPr>
          <w:p>
            <w:r/>
            <w:r>
              <w:rPr>
                <w:b w:val="0"/>
                <w:i w:val="0"/>
                <w:sz w:val="18"/>
              </w:rPr>
              <w:t>0,8728</w:t>
            </w:r>
          </w:p>
        </w:tc>
      </w:tr>
      <w:tr>
        <w:tc>
          <w:tcPr>
            <w:tcW w:type="dxa" w:w="750"/>
          </w:tcPr>
          <w:p>
            <w:r/>
            <w:r>
              <w:rPr>
                <w:b w:val="0"/>
                <w:i w:val="0"/>
                <w:sz w:val="18"/>
              </w:rPr>
              <w:t>Autoencodeur</w:t>
            </w:r>
          </w:p>
        </w:tc>
        <w:tc>
          <w:tcPr>
            <w:tcW w:type="dxa" w:w="750"/>
          </w:tcPr>
          <w:p>
            <w:r/>
            <w:r>
              <w:rPr>
                <w:b w:val="0"/>
                <w:i w:val="0"/>
                <w:sz w:val="18"/>
              </w:rPr>
              <w:t>1 500</w:t>
            </w:r>
          </w:p>
        </w:tc>
        <w:tc>
          <w:tcPr>
            <w:tcW w:type="dxa" w:w="750"/>
          </w:tcPr>
          <w:p>
            <w:r/>
            <w:r>
              <w:rPr>
                <w:b/>
                <w:i w:val="0"/>
                <w:sz w:val="18"/>
              </w:rPr>
              <w:t>64</w:t>
            </w:r>
          </w:p>
        </w:tc>
        <w:tc>
          <w:tcPr>
            <w:tcW w:type="dxa" w:w="750"/>
          </w:tcPr>
          <w:p>
            <w:r/>
            <w:r>
              <w:rPr>
                <w:b w:val="0"/>
                <w:i w:val="0"/>
                <w:sz w:val="18"/>
              </w:rPr>
              <w:t>937</w:t>
            </w:r>
          </w:p>
        </w:tc>
        <w:tc>
          <w:tcPr>
            <w:tcW w:type="dxa" w:w="750"/>
          </w:tcPr>
          <w:p>
            <w:r/>
            <w:r>
              <w:rPr>
                <w:b/>
                <w:i w:val="0"/>
                <w:sz w:val="18"/>
              </w:rPr>
              <w:t>180 739</w:t>
            </w:r>
          </w:p>
        </w:tc>
        <w:tc>
          <w:tcPr>
            <w:tcW w:type="dxa" w:w="750"/>
          </w:tcPr>
          <w:p>
            <w:r/>
            <w:r>
              <w:rPr>
                <w:b/>
                <w:i w:val="0"/>
                <w:sz w:val="18"/>
              </w:rPr>
              <w:t>0,9591</w:t>
            </w:r>
          </w:p>
        </w:tc>
        <w:tc>
          <w:tcPr>
            <w:tcW w:type="dxa" w:w="750"/>
          </w:tcPr>
          <w:p>
            <w:r/>
            <w:r>
              <w:rPr>
                <w:b w:val="0"/>
                <w:i w:val="0"/>
                <w:sz w:val="18"/>
              </w:rPr>
              <w:t>0,6155</w:t>
            </w:r>
          </w:p>
        </w:tc>
        <w:tc>
          <w:tcPr>
            <w:tcW w:type="dxa" w:w="750"/>
          </w:tcPr>
          <w:p>
            <w:r/>
            <w:r>
              <w:rPr>
                <w:b/>
                <w:i w:val="0"/>
                <w:sz w:val="18"/>
              </w:rPr>
              <w:t>0,9996</w:t>
            </w:r>
          </w:p>
        </w:tc>
        <w:tc>
          <w:tcPr>
            <w:tcW w:type="dxa" w:w="750"/>
          </w:tcPr>
          <w:p>
            <w:r/>
            <w:r>
              <w:rPr>
                <w:b w:val="0"/>
                <w:i w:val="0"/>
                <w:sz w:val="18"/>
              </w:rPr>
              <w:t>0,7498</w:t>
            </w:r>
          </w:p>
        </w:tc>
        <w:tc>
          <w:tcPr>
            <w:tcW w:type="dxa" w:w="750"/>
          </w:tcPr>
          <w:p>
            <w:r/>
            <w:r>
              <w:rPr>
                <w:b w:val="0"/>
                <w:i w:val="0"/>
                <w:sz w:val="18"/>
              </w:rPr>
              <w:t>0,6630</w:t>
            </w:r>
          </w:p>
        </w:tc>
        <w:tc>
          <w:tcPr>
            <w:tcW w:type="dxa" w:w="750"/>
          </w:tcPr>
          <w:p>
            <w:r/>
            <w:r>
              <w:rPr>
                <w:b w:val="0"/>
                <w:i w:val="0"/>
                <w:sz w:val="18"/>
              </w:rPr>
              <w:t>0,7660</w:t>
            </w:r>
          </w:p>
        </w:tc>
        <w:tc>
          <w:tcPr>
            <w:tcW w:type="dxa" w:w="750"/>
          </w:tcPr>
          <w:p>
            <w:r/>
            <w:r>
              <w:rPr>
                <w:b w:val="0"/>
                <w:i w:val="0"/>
                <w:sz w:val="18"/>
              </w:rPr>
              <w:t>0,8076</w:t>
            </w:r>
          </w:p>
        </w:tc>
        <w:tc>
          <w:tcPr>
            <w:tcW w:type="dxa" w:w="750"/>
          </w:tcPr>
          <w:p>
            <w:r/>
            <w:r>
              <w:rPr>
                <w:b w:val="0"/>
                <w:i w:val="0"/>
                <w:sz w:val="18"/>
              </w:rPr>
              <w:t>0,7472</w:t>
            </w:r>
          </w:p>
        </w:tc>
      </w:tr>
      <w:tr>
        <w:tc>
          <w:tcPr>
            <w:tcW w:type="dxa" w:w="750"/>
          </w:tcPr>
          <w:p>
            <w:r/>
            <w:r>
              <w:rPr>
                <w:b w:val="0"/>
                <w:i w:val="0"/>
                <w:sz w:val="18"/>
              </w:rPr>
              <w:t>Isolation Forest</w:t>
            </w:r>
          </w:p>
        </w:tc>
        <w:tc>
          <w:tcPr>
            <w:tcW w:type="dxa" w:w="750"/>
          </w:tcPr>
          <w:p>
            <w:r/>
            <w:r>
              <w:rPr>
                <w:b w:val="0"/>
                <w:i w:val="0"/>
                <w:sz w:val="18"/>
              </w:rPr>
              <w:t>962</w:t>
            </w:r>
          </w:p>
        </w:tc>
        <w:tc>
          <w:tcPr>
            <w:tcW w:type="dxa" w:w="750"/>
          </w:tcPr>
          <w:p>
            <w:r/>
            <w:r>
              <w:rPr>
                <w:b w:val="0"/>
                <w:i w:val="0"/>
                <w:sz w:val="18"/>
              </w:rPr>
              <w:t>1 284</w:t>
            </w:r>
          </w:p>
        </w:tc>
        <w:tc>
          <w:tcPr>
            <w:tcW w:type="dxa" w:w="750"/>
          </w:tcPr>
          <w:p>
            <w:r/>
            <w:r>
              <w:rPr>
                <w:b w:val="0"/>
                <w:i w:val="0"/>
                <w:sz w:val="18"/>
              </w:rPr>
              <w:t>1 475</w:t>
            </w:r>
          </w:p>
        </w:tc>
        <w:tc>
          <w:tcPr>
            <w:tcW w:type="dxa" w:w="750"/>
          </w:tcPr>
          <w:p>
            <w:r/>
            <w:r>
              <w:rPr>
                <w:b w:val="0"/>
                <w:i w:val="0"/>
                <w:sz w:val="18"/>
              </w:rPr>
              <w:t>179 519</w:t>
            </w:r>
          </w:p>
        </w:tc>
        <w:tc>
          <w:tcPr>
            <w:tcW w:type="dxa" w:w="750"/>
          </w:tcPr>
          <w:p>
            <w:r/>
            <w:r>
              <w:rPr>
                <w:b w:val="0"/>
                <w:i w:val="0"/>
                <w:sz w:val="18"/>
              </w:rPr>
              <w:t>0,4283</w:t>
            </w:r>
          </w:p>
        </w:tc>
        <w:tc>
          <w:tcPr>
            <w:tcW w:type="dxa" w:w="750"/>
          </w:tcPr>
          <w:p>
            <w:r/>
            <w:r>
              <w:rPr>
                <w:b w:val="0"/>
                <w:i w:val="0"/>
                <w:sz w:val="18"/>
              </w:rPr>
              <w:t>0,3947</w:t>
            </w:r>
          </w:p>
        </w:tc>
        <w:tc>
          <w:tcPr>
            <w:tcW w:type="dxa" w:w="750"/>
          </w:tcPr>
          <w:p>
            <w:r/>
            <w:r>
              <w:rPr>
                <w:b w:val="0"/>
                <w:i w:val="0"/>
                <w:sz w:val="18"/>
              </w:rPr>
              <w:t>0,9929</w:t>
            </w:r>
          </w:p>
        </w:tc>
        <w:tc>
          <w:tcPr>
            <w:tcW w:type="dxa" w:w="750"/>
          </w:tcPr>
          <w:p>
            <w:r/>
            <w:r>
              <w:rPr>
                <w:b w:val="0"/>
                <w:i w:val="0"/>
                <w:sz w:val="18"/>
              </w:rPr>
              <w:t>0,4108</w:t>
            </w:r>
          </w:p>
        </w:tc>
        <w:tc>
          <w:tcPr>
            <w:tcW w:type="dxa" w:w="750"/>
          </w:tcPr>
          <w:p>
            <w:r/>
            <w:r>
              <w:rPr>
                <w:b w:val="0"/>
                <w:i w:val="0"/>
                <w:sz w:val="18"/>
              </w:rPr>
              <w:t>0,4010</w:t>
            </w:r>
          </w:p>
        </w:tc>
        <w:tc>
          <w:tcPr>
            <w:tcW w:type="dxa" w:w="750"/>
          </w:tcPr>
          <w:p>
            <w:r/>
            <w:r>
              <w:rPr>
                <w:b w:val="0"/>
                <w:i w:val="0"/>
                <w:sz w:val="18"/>
              </w:rPr>
              <w:t>0,4036</w:t>
            </w:r>
          </w:p>
        </w:tc>
        <w:tc>
          <w:tcPr>
            <w:tcW w:type="dxa" w:w="750"/>
          </w:tcPr>
          <w:p>
            <w:r/>
            <w:r>
              <w:rPr>
                <w:b w:val="0"/>
                <w:i w:val="0"/>
                <w:sz w:val="18"/>
              </w:rPr>
              <w:t>0,6938</w:t>
            </w:r>
          </w:p>
        </w:tc>
        <w:tc>
          <w:tcPr>
            <w:tcW w:type="dxa" w:w="750"/>
          </w:tcPr>
          <w:p>
            <w:r/>
            <w:r>
              <w:rPr>
                <w:b w:val="0"/>
                <w:i w:val="0"/>
                <w:sz w:val="18"/>
              </w:rPr>
              <w:t>0,4032</w:t>
            </w:r>
          </w:p>
        </w:tc>
      </w:tr>
      <w:tr>
        <w:tc>
          <w:tcPr>
            <w:tcW w:type="dxa" w:w="750"/>
          </w:tcPr>
          <w:p>
            <w:r/>
            <w:r>
              <w:rPr>
                <w:b w:val="0"/>
                <w:i w:val="0"/>
                <w:sz w:val="18"/>
              </w:rPr>
              <w:t>Règles métier</w:t>
            </w:r>
          </w:p>
        </w:tc>
        <w:tc>
          <w:tcPr>
            <w:tcW w:type="dxa" w:w="750"/>
          </w:tcPr>
          <w:p>
            <w:r/>
            <w:r>
              <w:rPr>
                <w:b w:val="0"/>
                <w:i w:val="0"/>
                <w:sz w:val="18"/>
              </w:rPr>
              <w:t>870</w:t>
            </w:r>
          </w:p>
        </w:tc>
        <w:tc>
          <w:tcPr>
            <w:tcW w:type="dxa" w:w="750"/>
          </w:tcPr>
          <w:p>
            <w:r/>
            <w:r>
              <w:rPr>
                <w:b w:val="0"/>
                <w:i w:val="0"/>
                <w:sz w:val="18"/>
              </w:rPr>
              <w:t>1 474</w:t>
            </w:r>
          </w:p>
        </w:tc>
        <w:tc>
          <w:tcPr>
            <w:tcW w:type="dxa" w:w="750"/>
          </w:tcPr>
          <w:p>
            <w:r/>
            <w:r>
              <w:rPr>
                <w:b w:val="0"/>
                <w:i w:val="0"/>
                <w:sz w:val="18"/>
              </w:rPr>
              <w:t>1 567</w:t>
            </w:r>
          </w:p>
        </w:tc>
        <w:tc>
          <w:tcPr>
            <w:tcW w:type="dxa" w:w="750"/>
          </w:tcPr>
          <w:p>
            <w:r/>
            <w:r>
              <w:rPr>
                <w:b w:val="0"/>
                <w:i w:val="0"/>
                <w:sz w:val="18"/>
              </w:rPr>
              <w:t>179 329</w:t>
            </w:r>
          </w:p>
        </w:tc>
        <w:tc>
          <w:tcPr>
            <w:tcW w:type="dxa" w:w="750"/>
          </w:tcPr>
          <w:p>
            <w:r/>
            <w:r>
              <w:rPr>
                <w:b w:val="0"/>
                <w:i w:val="0"/>
                <w:sz w:val="18"/>
              </w:rPr>
              <w:t>0,3712</w:t>
            </w:r>
          </w:p>
        </w:tc>
        <w:tc>
          <w:tcPr>
            <w:tcW w:type="dxa" w:w="750"/>
          </w:tcPr>
          <w:p>
            <w:r/>
            <w:r>
              <w:rPr>
                <w:b w:val="0"/>
                <w:i w:val="0"/>
                <w:sz w:val="18"/>
              </w:rPr>
              <w:t>0,3570</w:t>
            </w:r>
          </w:p>
        </w:tc>
        <w:tc>
          <w:tcPr>
            <w:tcW w:type="dxa" w:w="750"/>
          </w:tcPr>
          <w:p>
            <w:r/>
            <w:r>
              <w:rPr>
                <w:b w:val="0"/>
                <w:i w:val="0"/>
                <w:sz w:val="18"/>
              </w:rPr>
              <w:t>0,9918</w:t>
            </w:r>
          </w:p>
        </w:tc>
        <w:tc>
          <w:tcPr>
            <w:tcW w:type="dxa" w:w="750"/>
          </w:tcPr>
          <w:p>
            <w:r/>
            <w:r>
              <w:rPr>
                <w:b w:val="0"/>
                <w:i w:val="0"/>
                <w:sz w:val="18"/>
              </w:rPr>
              <w:t>0,3639</w:t>
            </w:r>
          </w:p>
        </w:tc>
        <w:tc>
          <w:tcPr>
            <w:tcW w:type="dxa" w:w="750"/>
          </w:tcPr>
          <w:p>
            <w:r/>
            <w:r>
              <w:rPr>
                <w:b w:val="0"/>
                <w:i w:val="0"/>
                <w:sz w:val="18"/>
              </w:rPr>
              <w:t>0,3597</w:t>
            </w:r>
          </w:p>
        </w:tc>
        <w:tc>
          <w:tcPr>
            <w:tcW w:type="dxa" w:w="750"/>
          </w:tcPr>
          <w:p>
            <w:r/>
            <w:r>
              <w:rPr>
                <w:b w:val="0"/>
                <w:i w:val="0"/>
                <w:sz w:val="18"/>
              </w:rPr>
              <w:t>0,3556</w:t>
            </w:r>
          </w:p>
        </w:tc>
        <w:tc>
          <w:tcPr>
            <w:tcW w:type="dxa" w:w="750"/>
          </w:tcPr>
          <w:p>
            <w:r/>
            <w:r>
              <w:rPr>
                <w:b w:val="0"/>
                <w:i w:val="0"/>
                <w:sz w:val="18"/>
              </w:rPr>
              <w:t>0,6744</w:t>
            </w:r>
          </w:p>
        </w:tc>
        <w:tc>
          <w:tcPr>
            <w:tcW w:type="dxa" w:w="750"/>
          </w:tcPr>
          <w:p>
            <w:r/>
            <w:r>
              <w:rPr>
                <w:b w:val="0"/>
                <w:i w:val="0"/>
                <w:sz w:val="18"/>
              </w:rPr>
              <w:t>0,3555</w:t>
            </w:r>
          </w:p>
        </w:tc>
      </w:tr>
    </w:tbl>
    <w:p/>
    <w:p>
      <w:pPr>
        <w:spacing w:after="120"/>
      </w:pPr>
      <w:r>
        <w:rPr>
          <w:b w:val="0"/>
          <w:i/>
        </w:rPr>
        <w:t>Tableau II.29 — Métriques complètes au seuil retenu sur la validation (test : 183 240 opérations, dont 2 437 fraudes).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CE6F7"/>
          </w:tcPr>
          <w:p>
            <w:r/>
            <w:r>
              <w:rPr>
                <w:b/>
                <w:i w:val="0"/>
                <w:sz w:val="18"/>
              </w:rPr>
              <w:t>Méthode</w:t>
            </w:r>
          </w:p>
        </w:tc>
        <w:tc>
          <w:tcPr>
            <w:tcW w:type="dxa" w:w="1949"/>
            <w:shd w:val="clear" w:color="auto" w:fill="DCE6F7"/>
          </w:tcPr>
          <w:p>
            <w:r/>
            <w:r>
              <w:rPr>
                <w:b/>
                <w:i w:val="0"/>
                <w:sz w:val="18"/>
              </w:rPr>
              <w:t>IC 95 % PR-AUC</w:t>
            </w:r>
          </w:p>
        </w:tc>
        <w:tc>
          <w:tcPr>
            <w:tcW w:type="dxa" w:w="1949"/>
            <w:shd w:val="clear" w:color="auto" w:fill="DCE6F7"/>
          </w:tcPr>
          <w:p>
            <w:r/>
            <w:r>
              <w:rPr>
                <w:b/>
                <w:i w:val="0"/>
                <w:sz w:val="18"/>
              </w:rPr>
              <w:t>IC 95 % précision</w:t>
            </w:r>
          </w:p>
        </w:tc>
        <w:tc>
          <w:tcPr>
            <w:tcW w:type="dxa" w:w="1949"/>
            <w:shd w:val="clear" w:color="auto" w:fill="DCE6F7"/>
          </w:tcPr>
          <w:p>
            <w:r/>
            <w:r>
              <w:rPr>
                <w:b/>
                <w:i w:val="0"/>
                <w:sz w:val="18"/>
              </w:rPr>
              <w:t>IC 95 % rappel</w:t>
            </w:r>
          </w:p>
        </w:tc>
        <w:tc>
          <w:tcPr>
            <w:tcW w:type="dxa" w:w="1949"/>
            <w:shd w:val="clear" w:color="auto" w:fill="DCE6F7"/>
          </w:tcPr>
          <w:p>
            <w:r/>
            <w:r>
              <w:rPr>
                <w:b/>
                <w:i w:val="0"/>
                <w:sz w:val="18"/>
              </w:rPr>
              <w:t>IC 95 % F1</w:t>
            </w:r>
          </w:p>
        </w:tc>
      </w:tr>
      <w:tr>
        <w:tc>
          <w:tcPr>
            <w:tcW w:type="dxa" w:w="1949"/>
          </w:tcPr>
          <w:p>
            <w:r/>
            <w:r>
              <w:rPr>
                <w:b/>
                <w:i w:val="0"/>
                <w:sz w:val="18"/>
              </w:rPr>
              <w:t>Hybride</w:t>
            </w:r>
          </w:p>
        </w:tc>
        <w:tc>
          <w:tcPr>
            <w:tcW w:type="dxa" w:w="1949"/>
          </w:tcPr>
          <w:p>
            <w:r/>
            <w:r>
              <w:rPr>
                <w:b w:val="0"/>
                <w:i w:val="0"/>
                <w:sz w:val="18"/>
              </w:rPr>
              <w:t>[0,9938 ; 0,9967]</w:t>
            </w:r>
          </w:p>
        </w:tc>
        <w:tc>
          <w:tcPr>
            <w:tcW w:type="dxa" w:w="1949"/>
          </w:tcPr>
          <w:p>
            <w:r/>
            <w:r>
              <w:rPr>
                <w:b w:val="0"/>
                <w:i w:val="0"/>
                <w:sz w:val="18"/>
              </w:rPr>
              <w:t>[0,9400 ; 0,9610]</w:t>
            </w:r>
          </w:p>
        </w:tc>
        <w:tc>
          <w:tcPr>
            <w:tcW w:type="dxa" w:w="1949"/>
          </w:tcPr>
          <w:p>
            <w:r/>
            <w:r>
              <w:rPr>
                <w:b w:val="0"/>
                <w:i w:val="0"/>
                <w:sz w:val="18"/>
              </w:rPr>
              <w:t>[0,9701 ; 0,9841]</w:t>
            </w:r>
          </w:p>
        </w:tc>
        <w:tc>
          <w:tcPr>
            <w:tcW w:type="dxa" w:w="1949"/>
          </w:tcPr>
          <w:p>
            <w:r/>
            <w:r>
              <w:rPr>
                <w:b w:val="0"/>
                <w:i w:val="0"/>
                <w:sz w:val="18"/>
              </w:rPr>
              <w:t>[0,9573 ; 0,9704]</w:t>
            </w:r>
          </w:p>
        </w:tc>
      </w:tr>
      <w:tr>
        <w:tc>
          <w:tcPr>
            <w:tcW w:type="dxa" w:w="1949"/>
          </w:tcPr>
          <w:p>
            <w:r/>
            <w:r>
              <w:rPr>
                <w:b w:val="0"/>
                <w:i w:val="0"/>
                <w:sz w:val="18"/>
              </w:rPr>
              <w:t>LSTM-attention</w:t>
            </w:r>
          </w:p>
        </w:tc>
        <w:tc>
          <w:tcPr>
            <w:tcW w:type="dxa" w:w="1949"/>
          </w:tcPr>
          <w:p>
            <w:r/>
            <w:r>
              <w:rPr>
                <w:b w:val="0"/>
                <w:i w:val="0"/>
                <w:sz w:val="18"/>
              </w:rPr>
              <w:t>[0,9861 ; 0,9918]</w:t>
            </w:r>
          </w:p>
        </w:tc>
        <w:tc>
          <w:tcPr>
            <w:tcW w:type="dxa" w:w="1949"/>
          </w:tcPr>
          <w:p>
            <w:r/>
            <w:r>
              <w:rPr>
                <w:b w:val="0"/>
                <w:i w:val="0"/>
                <w:sz w:val="18"/>
              </w:rPr>
              <w:t>[0,9168 ; 0,9412]</w:t>
            </w:r>
          </w:p>
        </w:tc>
        <w:tc>
          <w:tcPr>
            <w:tcW w:type="dxa" w:w="1949"/>
          </w:tcPr>
          <w:p>
            <w:r/>
            <w:r>
              <w:rPr>
                <w:b w:val="0"/>
                <w:i w:val="0"/>
                <w:sz w:val="18"/>
              </w:rPr>
              <w:t>[0,9580 ; 0,9749]</w:t>
            </w:r>
          </w:p>
        </w:tc>
        <w:tc>
          <w:tcPr>
            <w:tcW w:type="dxa" w:w="1949"/>
          </w:tcPr>
          <w:p>
            <w:r/>
            <w:r>
              <w:rPr>
                <w:b w:val="0"/>
                <w:i w:val="0"/>
                <w:sz w:val="18"/>
              </w:rPr>
              <w:t>[0,9391 ; 0,9554]</w:t>
            </w:r>
          </w:p>
        </w:tc>
      </w:tr>
      <w:tr>
        <w:tc>
          <w:tcPr>
            <w:tcW w:type="dxa" w:w="1949"/>
          </w:tcPr>
          <w:p>
            <w:r/>
            <w:r>
              <w:rPr>
                <w:b w:val="0"/>
                <w:i w:val="0"/>
                <w:sz w:val="18"/>
              </w:rPr>
              <w:t>XGBoost</w:t>
            </w:r>
          </w:p>
        </w:tc>
        <w:tc>
          <w:tcPr>
            <w:tcW w:type="dxa" w:w="1949"/>
          </w:tcPr>
          <w:p>
            <w:r/>
            <w:r>
              <w:rPr>
                <w:b w:val="0"/>
                <w:i w:val="0"/>
                <w:sz w:val="18"/>
              </w:rPr>
              <w:t>[0,9861 ; 0,9919]</w:t>
            </w:r>
          </w:p>
        </w:tc>
        <w:tc>
          <w:tcPr>
            <w:tcW w:type="dxa" w:w="1949"/>
          </w:tcPr>
          <w:p>
            <w:r/>
            <w:r>
              <w:rPr>
                <w:b w:val="0"/>
                <w:i w:val="0"/>
                <w:sz w:val="18"/>
              </w:rPr>
              <w:t>[0,9019 ; 0,9318]</w:t>
            </w:r>
          </w:p>
        </w:tc>
        <w:tc>
          <w:tcPr>
            <w:tcW w:type="dxa" w:w="1949"/>
          </w:tcPr>
          <w:p>
            <w:r/>
            <w:r>
              <w:rPr>
                <w:b w:val="0"/>
                <w:i w:val="0"/>
                <w:sz w:val="18"/>
              </w:rPr>
              <w:t>[0,9482 ; 0,9699]</w:t>
            </w:r>
          </w:p>
        </w:tc>
        <w:tc>
          <w:tcPr>
            <w:tcW w:type="dxa" w:w="1949"/>
          </w:tcPr>
          <w:p>
            <w:r/>
            <w:r>
              <w:rPr>
                <w:b w:val="0"/>
                <w:i w:val="0"/>
                <w:sz w:val="18"/>
              </w:rPr>
              <w:t>[0,9274 ; 0,9462]</w:t>
            </w:r>
          </w:p>
        </w:tc>
      </w:tr>
      <w:tr>
        <w:tc>
          <w:tcPr>
            <w:tcW w:type="dxa" w:w="1949"/>
          </w:tcPr>
          <w:p>
            <w:r/>
            <w:r>
              <w:rPr>
                <w:b w:val="0"/>
                <w:i w:val="0"/>
                <w:sz w:val="18"/>
              </w:rPr>
              <w:t>Random Forest</w:t>
            </w:r>
          </w:p>
        </w:tc>
        <w:tc>
          <w:tcPr>
            <w:tcW w:type="dxa" w:w="1949"/>
          </w:tcPr>
          <w:p>
            <w:r/>
            <w:r>
              <w:rPr>
                <w:b w:val="0"/>
                <w:i w:val="0"/>
                <w:sz w:val="18"/>
              </w:rPr>
              <w:t>[0,9798 ; 0,9875]</w:t>
            </w:r>
          </w:p>
        </w:tc>
        <w:tc>
          <w:tcPr>
            <w:tcW w:type="dxa" w:w="1949"/>
          </w:tcPr>
          <w:p>
            <w:r/>
            <w:r>
              <w:rPr>
                <w:b w:val="0"/>
                <w:i w:val="0"/>
                <w:sz w:val="18"/>
              </w:rPr>
              <w:t>[0,9201 ; 0,9459]</w:t>
            </w:r>
          </w:p>
        </w:tc>
        <w:tc>
          <w:tcPr>
            <w:tcW w:type="dxa" w:w="1949"/>
          </w:tcPr>
          <w:p>
            <w:r/>
            <w:r>
              <w:rPr>
                <w:b w:val="0"/>
                <w:i w:val="0"/>
                <w:sz w:val="18"/>
              </w:rPr>
              <w:t>[0,9150 ; 0,9417]</w:t>
            </w:r>
          </w:p>
        </w:tc>
        <w:tc>
          <w:tcPr>
            <w:tcW w:type="dxa" w:w="1949"/>
          </w:tcPr>
          <w:p>
            <w:r/>
            <w:r>
              <w:rPr>
                <w:b w:val="0"/>
                <w:i w:val="0"/>
                <w:sz w:val="18"/>
              </w:rPr>
              <w:t>[0,9203 ; 0,9414]</w:t>
            </w:r>
          </w:p>
        </w:tc>
      </w:tr>
      <w:tr>
        <w:tc>
          <w:tcPr>
            <w:tcW w:type="dxa" w:w="1949"/>
          </w:tcPr>
          <w:p>
            <w:r/>
            <w:r>
              <w:rPr>
                <w:b w:val="0"/>
                <w:i w:val="0"/>
                <w:sz w:val="18"/>
              </w:rPr>
              <w:t>Régression logistique</w:t>
            </w:r>
          </w:p>
        </w:tc>
        <w:tc>
          <w:tcPr>
            <w:tcW w:type="dxa" w:w="1949"/>
          </w:tcPr>
          <w:p>
            <w:r/>
            <w:r>
              <w:rPr>
                <w:b w:val="0"/>
                <w:i w:val="0"/>
                <w:sz w:val="18"/>
              </w:rPr>
              <w:t>[0,9375 ; 0,9626]</w:t>
            </w:r>
          </w:p>
        </w:tc>
        <w:tc>
          <w:tcPr>
            <w:tcW w:type="dxa" w:w="1949"/>
          </w:tcPr>
          <w:p>
            <w:r/>
            <w:r>
              <w:rPr>
                <w:b w:val="0"/>
                <w:i w:val="0"/>
                <w:sz w:val="18"/>
              </w:rPr>
              <w:t>[0,8493 ; 0,9057]</w:t>
            </w:r>
          </w:p>
        </w:tc>
        <w:tc>
          <w:tcPr>
            <w:tcW w:type="dxa" w:w="1949"/>
          </w:tcPr>
          <w:p>
            <w:r/>
            <w:r>
              <w:rPr>
                <w:b w:val="0"/>
                <w:i w:val="0"/>
                <w:sz w:val="18"/>
              </w:rPr>
              <w:t>[0,8426 ; 0,8907]</w:t>
            </w:r>
          </w:p>
        </w:tc>
        <w:tc>
          <w:tcPr>
            <w:tcW w:type="dxa" w:w="1949"/>
          </w:tcPr>
          <w:p>
            <w:r/>
            <w:r>
              <w:rPr>
                <w:b w:val="0"/>
                <w:i w:val="0"/>
                <w:sz w:val="18"/>
              </w:rPr>
              <w:t>[0,8516 ; 0,8930]</w:t>
            </w:r>
          </w:p>
        </w:tc>
      </w:tr>
      <w:tr>
        <w:tc>
          <w:tcPr>
            <w:tcW w:type="dxa" w:w="1949"/>
          </w:tcPr>
          <w:p>
            <w:r/>
            <w:r>
              <w:rPr>
                <w:b w:val="0"/>
                <w:i w:val="0"/>
                <w:sz w:val="18"/>
              </w:rPr>
              <w:t>Autoencodeur</w:t>
            </w:r>
          </w:p>
        </w:tc>
        <w:tc>
          <w:tcPr>
            <w:tcW w:type="dxa" w:w="1949"/>
          </w:tcPr>
          <w:p>
            <w:r/>
            <w:r>
              <w:rPr>
                <w:b w:val="0"/>
                <w:i w:val="0"/>
                <w:sz w:val="18"/>
              </w:rPr>
              <w:t>[0,6533 ; 0,7668]</w:t>
            </w:r>
          </w:p>
        </w:tc>
        <w:tc>
          <w:tcPr>
            <w:tcW w:type="dxa" w:w="1949"/>
          </w:tcPr>
          <w:p>
            <w:r/>
            <w:r>
              <w:rPr>
                <w:b w:val="0"/>
                <w:i w:val="0"/>
                <w:sz w:val="18"/>
              </w:rPr>
              <w:t>[0,9457 ; 0,9721]</w:t>
            </w:r>
          </w:p>
        </w:tc>
        <w:tc>
          <w:tcPr>
            <w:tcW w:type="dxa" w:w="1949"/>
          </w:tcPr>
          <w:p>
            <w:r/>
            <w:r>
              <w:rPr>
                <w:b w:val="0"/>
                <w:i w:val="0"/>
                <w:sz w:val="18"/>
              </w:rPr>
              <w:t>[0,5401 ; 0,6914]</w:t>
            </w:r>
          </w:p>
        </w:tc>
        <w:tc>
          <w:tcPr>
            <w:tcW w:type="dxa" w:w="1949"/>
          </w:tcPr>
          <w:p>
            <w:r/>
            <w:r>
              <w:rPr>
                <w:b w:val="0"/>
                <w:i w:val="0"/>
                <w:sz w:val="18"/>
              </w:rPr>
              <w:t>[0,6899 ; 0,8047]</w:t>
            </w:r>
          </w:p>
        </w:tc>
      </w:tr>
      <w:tr>
        <w:tc>
          <w:tcPr>
            <w:tcW w:type="dxa" w:w="1949"/>
          </w:tcPr>
          <w:p>
            <w:r/>
            <w:r>
              <w:rPr>
                <w:b w:val="0"/>
                <w:i w:val="0"/>
                <w:sz w:val="18"/>
              </w:rPr>
              <w:t>Isolation Forest</w:t>
            </w:r>
          </w:p>
        </w:tc>
        <w:tc>
          <w:tcPr>
            <w:tcW w:type="dxa" w:w="1949"/>
          </w:tcPr>
          <w:p>
            <w:r/>
            <w:r>
              <w:rPr>
                <w:b w:val="0"/>
                <w:i w:val="0"/>
                <w:sz w:val="18"/>
              </w:rPr>
              <w:t>[0,3246 ; 0,4578]</w:t>
            </w:r>
          </w:p>
        </w:tc>
        <w:tc>
          <w:tcPr>
            <w:tcW w:type="dxa" w:w="1949"/>
          </w:tcPr>
          <w:p>
            <w:r/>
            <w:r>
              <w:rPr>
                <w:b w:val="0"/>
                <w:i w:val="0"/>
                <w:sz w:val="18"/>
              </w:rPr>
              <w:t>[0,3231 ; 0,5268]</w:t>
            </w:r>
          </w:p>
        </w:tc>
        <w:tc>
          <w:tcPr>
            <w:tcW w:type="dxa" w:w="1949"/>
          </w:tcPr>
          <w:p>
            <w:r/>
            <w:r>
              <w:rPr>
                <w:b w:val="0"/>
                <w:i w:val="0"/>
                <w:sz w:val="18"/>
              </w:rPr>
              <w:t>[0,3458 ; 0,4431]</w:t>
            </w:r>
          </w:p>
        </w:tc>
        <w:tc>
          <w:tcPr>
            <w:tcW w:type="dxa" w:w="1949"/>
          </w:tcPr>
          <w:p>
            <w:r/>
            <w:r>
              <w:rPr>
                <w:b w:val="0"/>
                <w:i w:val="0"/>
                <w:sz w:val="18"/>
              </w:rPr>
              <w:t>[0,3498 ; 0,4672]</w:t>
            </w:r>
          </w:p>
        </w:tc>
      </w:tr>
      <w:tr>
        <w:tc>
          <w:tcPr>
            <w:tcW w:type="dxa" w:w="1949"/>
          </w:tcPr>
          <w:p>
            <w:r/>
            <w:r>
              <w:rPr>
                <w:b w:val="0"/>
                <w:i w:val="0"/>
                <w:sz w:val="18"/>
              </w:rPr>
              <w:t>Règles métier</w:t>
            </w:r>
          </w:p>
        </w:tc>
        <w:tc>
          <w:tcPr>
            <w:tcW w:type="dxa" w:w="1949"/>
          </w:tcPr>
          <w:p>
            <w:r/>
            <w:r>
              <w:rPr>
                <w:b w:val="0"/>
                <w:i w:val="0"/>
                <w:sz w:val="18"/>
              </w:rPr>
              <w:t>[0,2388 ; 0,3123]</w:t>
            </w:r>
          </w:p>
        </w:tc>
        <w:tc>
          <w:tcPr>
            <w:tcW w:type="dxa" w:w="1949"/>
          </w:tcPr>
          <w:p>
            <w:r/>
            <w:r>
              <w:rPr>
                <w:b w:val="0"/>
                <w:i w:val="0"/>
                <w:sz w:val="18"/>
              </w:rPr>
              <w:t>[0,3251 ; 0,4219]</w:t>
            </w:r>
          </w:p>
        </w:tc>
        <w:tc>
          <w:tcPr>
            <w:tcW w:type="dxa" w:w="1949"/>
          </w:tcPr>
          <w:p>
            <w:r/>
            <w:r>
              <w:rPr>
                <w:b w:val="0"/>
                <w:i w:val="0"/>
                <w:sz w:val="18"/>
              </w:rPr>
              <w:t>[0,3101 ; 0,4015]</w:t>
            </w:r>
          </w:p>
        </w:tc>
        <w:tc>
          <w:tcPr>
            <w:tcW w:type="dxa" w:w="1949"/>
          </w:tcPr>
          <w:p>
            <w:r/>
            <w:r>
              <w:rPr>
                <w:b w:val="0"/>
                <w:i w:val="0"/>
                <w:sz w:val="18"/>
              </w:rPr>
              <w:t>[0,3227 ; 0,4074]</w:t>
            </w:r>
          </w:p>
        </w:tc>
      </w:tr>
    </w:tbl>
    <w:p/>
    <w:p>
      <w:pPr>
        <w:spacing w:after="120"/>
      </w:pPr>
      <w:r>
        <w:rPr>
          <w:b w:val="0"/>
          <w:i/>
        </w:rPr>
        <w:t>Tableau II.30 — Intervalles de confiance à 95 % (bootstrap par usager, 1 000 tirages).</w:t>
      </w:r>
    </w:p>
    <w:p>
      <w:pPr>
        <w:spacing w:after="120"/>
      </w:pPr>
      <w:r>
        <w:rPr>
          <w:b/>
          <w:i w:val="0"/>
        </w:rPr>
        <w:t>Lecture des tableaux II.29 et II.30.</w:t>
      </w:r>
      <w:r>
        <w:rPr>
          <w:b w:val="0"/>
          <w:i w:val="0"/>
        </w:rPr>
        <w:t xml:space="preserve"> L'hybride obtient la meilleure valeur sur toutes les mesures au seuil, sauf trois : la précision, la spécificité et le nombre de fausses alertes. Ses intervalles de confiance en PR-AUC et en F1 </w:t>
      </w:r>
      <w:r>
        <w:rPr>
          <w:b/>
          <w:i w:val="0"/>
        </w:rPr>
        <w:t>ne recoupent pas</w:t>
      </w:r>
      <w:r>
        <w:rPr>
          <w:b w:val="0"/>
          <w:i w:val="0"/>
        </w:rPr>
        <w:t xml:space="preserve"> ceux du LSTM et d'XGBoost, ce qui confirme les tests du Tableau II.24.</w:t>
      </w:r>
    </w:p>
    <w:p>
      <w:pPr>
        <w:spacing w:after="120"/>
      </w:pPr>
      <w:r>
        <w:rPr>
          <w:b w:val="0"/>
          <w:i w:val="0"/>
        </w:rPr>
        <w:t>Sur ces trois mesures, une seule méthode le dépasse : l'</w:t>
      </w:r>
      <w:r>
        <w:rPr>
          <w:b/>
          <w:i w:val="0"/>
        </w:rPr>
        <w:t>autoencodeur</w:t>
      </w:r>
      <w:r>
        <w:rPr>
          <w:b w:val="0"/>
          <w:i w:val="0"/>
        </w:rPr>
        <w:t>. Il produit moins de fausses alertes (64 contre 122), mais au prix de 937 fraudes manquées, soit 17 fois plus que l'hybride. Cette précision est donc celle d'un détecteur très prudent, pas d'un meilleur détecteur, comme le montre son MCC de 0,766 contre 0,964.</w:t>
      </w:r>
    </w:p>
    <w:p>
      <w:pPr>
        <w:jc w:val="center"/>
      </w:pPr>
      <w:r>
        <w:drawing>
          <wp:inline xmlns:a="http://schemas.openxmlformats.org/drawingml/2006/main" xmlns:pic="http://schemas.openxmlformats.org/drawingml/2006/picture">
            <wp:extent cx="5760000" cy="2679665"/>
            <wp:docPr id="6" name="Picture 6"/>
            <wp:cNvGraphicFramePr>
              <a:graphicFrameLocks noChangeAspect="1"/>
            </wp:cNvGraphicFramePr>
            <a:graphic>
              <a:graphicData uri="http://schemas.openxmlformats.org/drawingml/2006/picture">
                <pic:pic>
                  <pic:nvPicPr>
                    <pic:cNvPr id="0" name="fig_II_06_roc.png"/>
                    <pic:cNvPicPr/>
                  </pic:nvPicPr>
                  <pic:blipFill>
                    <a:blip r:embed="rId14"/>
                    <a:stretch>
                      <a:fillRect/>
                    </a:stretch>
                  </pic:blipFill>
                  <pic:spPr>
                    <a:xfrm>
                      <a:off x="0" y="0"/>
                      <a:ext cx="5760000" cy="2679665"/>
                    </a:xfrm>
                    <a:prstGeom prst="rect"/>
                  </pic:spPr>
                </pic:pic>
              </a:graphicData>
            </a:graphic>
          </wp:inline>
        </w:drawing>
      </w:r>
    </w:p>
    <w:p>
      <w:pPr>
        <w:jc w:val="center"/>
      </w:pPr>
      <w:r>
        <w:rPr>
          <w:b w:val="0"/>
          <w:i/>
          <w:sz w:val="18"/>
        </w:rPr>
        <w:t>Figure II.6 — Courbes ROC des huit méthodes : (a) vue complète ; (b) taux de faux positifs en échelle logarithmique.</w:t>
      </w:r>
    </w:p>
    <w:p>
      <w:pPr>
        <w:spacing w:after="120"/>
      </w:pPr>
      <w:r>
        <w:rPr>
          <w:b w:val="0"/>
          <w:i w:val="0"/>
        </w:rPr>
        <w:t>La vue complète (a) confirme la limite de la ROC-AUC sur données déséquilibrées : sept courbes sur huit se confondent près du coin supérieur gauche. L'échelle logarithmique (b) révèle la zone qui compte pour un opérateur, celle où très peu de clients honnêtes sont dérangés. Dans cette zone, l'hybride domine nettement : à 0,01 % de faux positifs, il détecte déjà 91,3 % des fraudes, contre 84,6 % pour XGBoost et 83,8 % pour le LSTM.</w:t>
      </w:r>
    </w:p>
    <w:p>
      <w:pPr>
        <w:jc w:val="center"/>
      </w:pPr>
      <w:r>
        <w:drawing>
          <wp:inline xmlns:a="http://schemas.openxmlformats.org/drawingml/2006/main" xmlns:pic="http://schemas.openxmlformats.org/drawingml/2006/picture">
            <wp:extent cx="5760000" cy="2681133"/>
            <wp:docPr id="7" name="Picture 7"/>
            <wp:cNvGraphicFramePr>
              <a:graphicFrameLocks noChangeAspect="1"/>
            </wp:cNvGraphicFramePr>
            <a:graphic>
              <a:graphicData uri="http://schemas.openxmlformats.org/drawingml/2006/picture">
                <pic:pic>
                  <pic:nvPicPr>
                    <pic:cNvPr id="0" name="fig_II_07_precision_rappel.png"/>
                    <pic:cNvPicPr/>
                  </pic:nvPicPr>
                  <pic:blipFill>
                    <a:blip r:embed="rId15"/>
                    <a:stretch>
                      <a:fillRect/>
                    </a:stretch>
                  </pic:blipFill>
                  <pic:spPr>
                    <a:xfrm>
                      <a:off x="0" y="0"/>
                      <a:ext cx="5760000" cy="2681133"/>
                    </a:xfrm>
                    <a:prstGeom prst="rect"/>
                  </pic:spPr>
                </pic:pic>
              </a:graphicData>
            </a:graphic>
          </wp:inline>
        </w:drawing>
      </w:r>
    </w:p>
    <w:p>
      <w:pPr>
        <w:jc w:val="center"/>
      </w:pPr>
      <w:r>
        <w:rPr>
          <w:b w:val="0"/>
          <w:i/>
          <w:sz w:val="18"/>
        </w:rPr>
        <w:t>Figure II.7 — Courbes précision-rappel des huit méthodes : (a) vue complète ; (b) zoom sur la zone des meilleures méthodes.</w:t>
      </w:r>
    </w:p>
    <w:p>
      <w:pPr>
        <w:spacing w:after="120"/>
      </w:pPr>
      <w:r>
        <w:rPr>
          <w:b w:val="0"/>
          <w:i w:val="0"/>
        </w:rPr>
        <w:t xml:space="preserve">Le zoom (b) montre que la courbe de l'hybride se situe </w:t>
      </w:r>
      <w:r>
        <w:rPr>
          <w:b/>
          <w:i w:val="0"/>
        </w:rPr>
        <w:t>au-dessus de toutes les autres sur toute la plage de rappel</w:t>
      </w:r>
      <w:r>
        <w:rPr>
          <w:b w:val="0"/>
          <w:i w:val="0"/>
        </w:rPr>
        <w:t xml:space="preserve"> de 0,85 à 1. Il ne s'agit donc pas d'un avantage obtenu à un seul seuil favorable : pour n'importe quel niveau de rappel visé, l'hybride offre la meilleure précision.</w:t>
      </w:r>
    </w:p>
    <w:p>
      <w:pPr>
        <w:jc w:val="center"/>
      </w:pPr>
      <w:r>
        <w:drawing>
          <wp:inline xmlns:a="http://schemas.openxmlformats.org/drawingml/2006/main" xmlns:pic="http://schemas.openxmlformats.org/drawingml/2006/picture">
            <wp:extent cx="5760000" cy="2597071"/>
            <wp:docPr id="8" name="Picture 8"/>
            <wp:cNvGraphicFramePr>
              <a:graphicFrameLocks noChangeAspect="1"/>
            </wp:cNvGraphicFramePr>
            <a:graphic>
              <a:graphicData uri="http://schemas.openxmlformats.org/drawingml/2006/picture">
                <pic:pic>
                  <pic:nvPicPr>
                    <pic:cNvPr id="0" name="fig_II_08_metriques.png"/>
                    <pic:cNvPicPr/>
                  </pic:nvPicPr>
                  <pic:blipFill>
                    <a:blip r:embed="rId16"/>
                    <a:stretch>
                      <a:fillRect/>
                    </a:stretch>
                  </pic:blipFill>
                  <pic:spPr>
                    <a:xfrm>
                      <a:off x="0" y="0"/>
                      <a:ext cx="5760000" cy="2597071"/>
                    </a:xfrm>
                    <a:prstGeom prst="rect"/>
                  </pic:spPr>
                </pic:pic>
              </a:graphicData>
            </a:graphic>
          </wp:inline>
        </w:drawing>
      </w:r>
    </w:p>
    <w:p>
      <w:pPr>
        <w:jc w:val="center"/>
      </w:pPr>
      <w:r>
        <w:rPr>
          <w:b w:val="0"/>
          <w:i/>
          <w:sz w:val="18"/>
        </w:rPr>
        <w:t>Figure II.8 — Précision, rappel, F1, F2, MCC, exactitude équilibrée et PR-AUC des huit méthodes.</w:t>
      </w:r>
    </w:p>
    <w:p>
      <w:pPr>
        <w:jc w:val="center"/>
      </w:pPr>
      <w:r>
        <w:drawing>
          <wp:inline xmlns:a="http://schemas.openxmlformats.org/drawingml/2006/main" xmlns:pic="http://schemas.openxmlformats.org/drawingml/2006/picture">
            <wp:extent cx="5760000" cy="3827894"/>
            <wp:docPr id="9" name="Picture 9"/>
            <wp:cNvGraphicFramePr>
              <a:graphicFrameLocks noChangeAspect="1"/>
            </wp:cNvGraphicFramePr>
            <a:graphic>
              <a:graphicData uri="http://schemas.openxmlformats.org/drawingml/2006/picture">
                <pic:pic>
                  <pic:nvPicPr>
                    <pic:cNvPr id="0" name="fig_II_09_intervalles_confiance.png"/>
                    <pic:cNvPicPr/>
                  </pic:nvPicPr>
                  <pic:blipFill>
                    <a:blip r:embed="rId17"/>
                    <a:stretch>
                      <a:fillRect/>
                    </a:stretch>
                  </pic:blipFill>
                  <pic:spPr>
                    <a:xfrm>
                      <a:off x="0" y="0"/>
                      <a:ext cx="5760000" cy="3827894"/>
                    </a:xfrm>
                    <a:prstGeom prst="rect"/>
                  </pic:spPr>
                </pic:pic>
              </a:graphicData>
            </a:graphic>
          </wp:inline>
        </w:drawing>
      </w:r>
    </w:p>
    <w:p>
      <w:pPr>
        <w:jc w:val="center"/>
      </w:pPr>
      <w:r>
        <w:rPr>
          <w:b w:val="0"/>
          <w:i/>
          <w:sz w:val="18"/>
        </w:rPr>
        <w:t>Figure II.9 — PR-AUC et F1 avec leurs intervalles de confiance à 95 % ; en bas, zoom sur les quatre meilleures méthodes.</w:t>
      </w:r>
    </w:p>
    <w:p>
      <w:pPr>
        <w:spacing w:after="120"/>
      </w:pPr>
      <w:r>
        <w:rPr>
          <w:b w:val="0"/>
          <w:i w:val="0"/>
        </w:rPr>
        <w:t>Sur le zoom de la figure II.9, l'intervalle de l'hybride est entièrement à droite de ceux de ses concurrents. La supériorité observée n'est donc pas un effet de l'échantillon de test.</w:t>
      </w:r>
    </w:p>
    <w:p>
      <w:pPr>
        <w:jc w:val="center"/>
      </w:pPr>
      <w:r>
        <w:drawing>
          <wp:inline xmlns:a="http://schemas.openxmlformats.org/drawingml/2006/main" xmlns:pic="http://schemas.openxmlformats.org/drawingml/2006/picture">
            <wp:extent cx="5760000" cy="3198348"/>
            <wp:docPr id="10" name="Picture 10"/>
            <wp:cNvGraphicFramePr>
              <a:graphicFrameLocks noChangeAspect="1"/>
            </wp:cNvGraphicFramePr>
            <a:graphic>
              <a:graphicData uri="http://schemas.openxmlformats.org/drawingml/2006/picture">
                <pic:pic>
                  <pic:nvPicPr>
                    <pic:cNvPr id="0" name="fig_II_10_matrices_confusion.png"/>
                    <pic:cNvPicPr/>
                  </pic:nvPicPr>
                  <pic:blipFill>
                    <a:blip r:embed="rId18"/>
                    <a:stretch>
                      <a:fillRect/>
                    </a:stretch>
                  </pic:blipFill>
                  <pic:spPr>
                    <a:xfrm>
                      <a:off x="0" y="0"/>
                      <a:ext cx="5760000" cy="3198348"/>
                    </a:xfrm>
                    <a:prstGeom prst="rect"/>
                  </pic:spPr>
                </pic:pic>
              </a:graphicData>
            </a:graphic>
          </wp:inline>
        </w:drawing>
      </w:r>
    </w:p>
    <w:p>
      <w:pPr>
        <w:jc w:val="center"/>
      </w:pPr>
      <w:r>
        <w:rPr>
          <w:b w:val="0"/>
          <w:i/>
          <w:sz w:val="18"/>
        </w:rPr>
        <w:t>Figure II.10 — Matrices de confusion des huit méthodes (effectifs et pourcentage de chaque classe réelle).</w:t>
      </w:r>
    </w:p>
    <w:p>
      <w:pPr>
        <w:jc w:val="center"/>
      </w:pPr>
      <w:r>
        <w:drawing>
          <wp:inline xmlns:a="http://schemas.openxmlformats.org/drawingml/2006/main" xmlns:pic="http://schemas.openxmlformats.org/drawingml/2006/picture">
            <wp:extent cx="5760000" cy="2741673"/>
            <wp:docPr id="11" name="Picture 11"/>
            <wp:cNvGraphicFramePr>
              <a:graphicFrameLocks noChangeAspect="1"/>
            </wp:cNvGraphicFramePr>
            <a:graphic>
              <a:graphicData uri="http://schemas.openxmlformats.org/drawingml/2006/picture">
                <pic:pic>
                  <pic:nvPicPr>
                    <pic:cNvPr id="0" name="fig_II_11_erreurs.png"/>
                    <pic:cNvPicPr/>
                  </pic:nvPicPr>
                  <pic:blipFill>
                    <a:blip r:embed="rId19"/>
                    <a:stretch>
                      <a:fillRect/>
                    </a:stretch>
                  </pic:blipFill>
                  <pic:spPr>
                    <a:xfrm>
                      <a:off x="0" y="0"/>
                      <a:ext cx="5760000" cy="2741673"/>
                    </a:xfrm>
                    <a:prstGeom prst="rect"/>
                  </pic:spPr>
                </pic:pic>
              </a:graphicData>
            </a:graphic>
          </wp:inline>
        </w:drawing>
      </w:r>
    </w:p>
    <w:p>
      <w:pPr>
        <w:jc w:val="center"/>
      </w:pPr>
      <w:r>
        <w:rPr>
          <w:b w:val="0"/>
          <w:i/>
          <w:sz w:val="18"/>
        </w:rPr>
        <w:t>Figure II.11 — Fausses alertes et fraudes manquées de chaque méthode (échelle logarithmique).</w:t>
      </w:r>
    </w:p>
    <w:p>
      <w:pPr>
        <w:spacing w:after="120"/>
      </w:pPr>
      <w:r>
        <w:rPr>
          <w:b w:val="0"/>
          <w:i w:val="0"/>
        </w:rPr>
        <w:t xml:space="preserve">Les figures II.10 et II.11 traduisent les métriques en erreurs concrètes. Les règles métier et l'Isolation Forest cumulent plus de 1 200 fausses alertes </w:t>
      </w:r>
      <w:r>
        <w:rPr>
          <w:b/>
          <w:i w:val="0"/>
        </w:rPr>
        <w:t>et</w:t>
      </w:r>
      <w:r>
        <w:rPr>
          <w:b w:val="0"/>
          <w:i w:val="0"/>
        </w:rPr>
        <w:t xml:space="preserve"> plus de 1 400 fraudes manquées. L'hybride est la seule méthode qui reste sous 125 fausses alertes et sous 60 fraudes manquées.</w:t>
      </w:r>
    </w:p>
    <w:p>
      <w:pPr>
        <w:jc w:val="center"/>
      </w:pPr>
      <w:r>
        <w:drawing>
          <wp:inline xmlns:a="http://schemas.openxmlformats.org/drawingml/2006/main" xmlns:pic="http://schemas.openxmlformats.org/drawingml/2006/picture">
            <wp:extent cx="5760000" cy="2449297"/>
            <wp:docPr id="12" name="Picture 12"/>
            <wp:cNvGraphicFramePr>
              <a:graphicFrameLocks noChangeAspect="1"/>
            </wp:cNvGraphicFramePr>
            <a:graphic>
              <a:graphicData uri="http://schemas.openxmlformats.org/drawingml/2006/picture">
                <pic:pic>
                  <pic:nvPicPr>
                    <pic:cNvPr id="0" name="fig_II_12_rappel_par_typologie.png"/>
                    <pic:cNvPicPr/>
                  </pic:nvPicPr>
                  <pic:blipFill>
                    <a:blip r:embed="rId20"/>
                    <a:stretch>
                      <a:fillRect/>
                    </a:stretch>
                  </pic:blipFill>
                  <pic:spPr>
                    <a:xfrm>
                      <a:off x="0" y="0"/>
                      <a:ext cx="5760000" cy="2449297"/>
                    </a:xfrm>
                    <a:prstGeom prst="rect"/>
                  </pic:spPr>
                </pic:pic>
              </a:graphicData>
            </a:graphic>
          </wp:inline>
        </w:drawing>
      </w:r>
    </w:p>
    <w:p>
      <w:pPr>
        <w:jc w:val="center"/>
      </w:pPr>
      <w:r>
        <w:rPr>
          <w:b w:val="0"/>
          <w:i/>
          <w:sz w:val="18"/>
        </w:rPr>
        <w:t>Figure II.12 — Rappel des huit méthodes par typologie de fraude (test).</w:t>
      </w:r>
    </w:p>
    <w:p>
      <w:pPr>
        <w:spacing w:after="120"/>
      </w:pPr>
      <w:r>
        <w:rPr>
          <w:b w:val="0"/>
          <w:i w:val="0"/>
        </w:rPr>
        <w:t>La carte de chaleur étend le Tableau II.26 aux huit méthodes. Deux colonnes séparent les méthodes : l'</w:t>
      </w:r>
      <w:r>
        <w:rPr>
          <w:b/>
          <w:i w:val="0"/>
        </w:rPr>
        <w:t>ingénierie sociale</w:t>
      </w:r>
      <w:r>
        <w:rPr>
          <w:b w:val="0"/>
          <w:i w:val="0"/>
        </w:rPr>
        <w:t xml:space="preserve"> et le </w:t>
      </w:r>
      <w:r>
        <w:rPr>
          <w:b/>
          <w:i w:val="0"/>
        </w:rPr>
        <w:t>fractionnement</w:t>
      </w:r>
      <w:r>
        <w:rPr>
          <w:b w:val="0"/>
          <w:i w:val="0"/>
        </w:rPr>
        <w:t>. Ces fraudes imitent un comportement normal. L'autoencodeur et l'Isolation Forest y échouent presque totalement (0 à 11 %). Les règles détectent 45 % du fractionnement, mais seulement 0,3 % de l'ingénierie sociale. Les autres typologies sont détectées à plus de 98 % par toutes les méthodes supervisées. L'écart entre méthodes se joue donc sur les fraudes difficiles, et c'est là que l'hybride est le meilleur.</w:t>
      </w:r>
    </w:p>
    <w:p>
      <w:pPr>
        <w:jc w:val="center"/>
      </w:pPr>
      <w:r>
        <w:drawing>
          <wp:inline xmlns:a="http://schemas.openxmlformats.org/drawingml/2006/main" xmlns:pic="http://schemas.openxmlformats.org/drawingml/2006/picture">
            <wp:extent cx="5760000" cy="2749091"/>
            <wp:docPr id="13" name="Picture 13"/>
            <wp:cNvGraphicFramePr>
              <a:graphicFrameLocks noChangeAspect="1"/>
            </wp:cNvGraphicFramePr>
            <a:graphic>
              <a:graphicData uri="http://schemas.openxmlformats.org/drawingml/2006/picture">
                <pic:pic>
                  <pic:nvPicPr>
                    <pic:cNvPr id="0" name="fig_II_13_pr_auc_par_canal.png"/>
                    <pic:cNvPicPr/>
                  </pic:nvPicPr>
                  <pic:blipFill>
                    <a:blip r:embed="rId21"/>
                    <a:stretch>
                      <a:fillRect/>
                    </a:stretch>
                  </pic:blipFill>
                  <pic:spPr>
                    <a:xfrm>
                      <a:off x="0" y="0"/>
                      <a:ext cx="5760000" cy="2749091"/>
                    </a:xfrm>
                    <a:prstGeom prst="rect"/>
                  </pic:spPr>
                </pic:pic>
              </a:graphicData>
            </a:graphic>
          </wp:inline>
        </w:drawing>
      </w:r>
    </w:p>
    <w:p>
      <w:pPr>
        <w:jc w:val="center"/>
      </w:pPr>
      <w:r>
        <w:rPr>
          <w:b w:val="0"/>
          <w:i/>
          <w:sz w:val="18"/>
        </w:rPr>
        <w:t>Figure II.13 — PR-AUC par canal : Mobile Money (2 143 fraudes) et carte Visa virtuelle (294 fraudes).</w:t>
      </w:r>
    </w:p>
    <w:p>
      <w:pPr>
        <w:spacing w:after="120"/>
      </w:pPr>
      <w:r>
        <w:rPr>
          <w:b w:val="0"/>
          <w:i w:val="0"/>
        </w:rPr>
        <w:t xml:space="preserve">Sur le canal </w:t>
      </w:r>
      <w:r>
        <w:rPr>
          <w:b/>
          <w:i w:val="0"/>
        </w:rPr>
        <w:t>Visa</w:t>
      </w:r>
      <w:r>
        <w:rPr>
          <w:b w:val="0"/>
          <w:i w:val="0"/>
        </w:rPr>
        <w:t xml:space="preserve">, toutes les méthodes supervisées atteignent une PR-AUC de 1,000 : ce canal est trop facile pour départager les modèles (effet plafond, § II.2.10). Le classement se fait donc sur le </w:t>
      </w:r>
      <w:r>
        <w:rPr>
          <w:b/>
          <w:i w:val="0"/>
        </w:rPr>
        <w:t>Mobile Money</w:t>
      </w:r>
      <w:r>
        <w:rPr>
          <w:b w:val="0"/>
          <w:i w:val="0"/>
        </w:rPr>
        <w:t>, où l'hybride obtient 0,9943, contre 0,9869 pour le LSTM et 0,9867 pour XGBoost.</w:t>
      </w:r>
    </w:p>
    <w:p>
      <w:pPr>
        <w:jc w:val="center"/>
      </w:pPr>
      <w:r>
        <w:drawing>
          <wp:inline xmlns:a="http://schemas.openxmlformats.org/drawingml/2006/main" xmlns:pic="http://schemas.openxmlformats.org/drawingml/2006/picture">
            <wp:extent cx="5760000" cy="2766295"/>
            <wp:docPr id="14" name="Picture 14"/>
            <wp:cNvGraphicFramePr>
              <a:graphicFrameLocks noChangeAspect="1"/>
            </wp:cNvGraphicFramePr>
            <a:graphic>
              <a:graphicData uri="http://schemas.openxmlformats.org/drawingml/2006/picture">
                <pic:pic>
                  <pic:nvPicPr>
                    <pic:cNvPr id="0" name="fig_II_14_rappel_budget_alertes.png"/>
                    <pic:cNvPicPr/>
                  </pic:nvPicPr>
                  <pic:blipFill>
                    <a:blip r:embed="rId22"/>
                    <a:stretch>
                      <a:fillRect/>
                    </a:stretch>
                  </pic:blipFill>
                  <pic:spPr>
                    <a:xfrm>
                      <a:off x="0" y="0"/>
                      <a:ext cx="5760000" cy="2766295"/>
                    </a:xfrm>
                    <a:prstGeom prst="rect"/>
                  </pic:spPr>
                </pic:pic>
              </a:graphicData>
            </a:graphic>
          </wp:inline>
        </w:drawing>
      </w:r>
    </w:p>
    <w:p>
      <w:pPr>
        <w:jc w:val="center"/>
      </w:pPr>
      <w:r>
        <w:rPr>
          <w:b w:val="0"/>
          <w:i/>
          <w:sz w:val="18"/>
        </w:rPr>
        <w:t>Figure II.14 — Rappel obtenu lorsque le taux de fausses alertes est plafonné à 0,05 %, 0,10 %, 0,50 % et 1 %.</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CE6F7"/>
          </w:tcPr>
          <w:p>
            <w:r/>
            <w:r>
              <w:rPr>
                <w:b/>
                <w:i w:val="0"/>
                <w:sz w:val="18"/>
              </w:rPr>
              <w:t>Méthode</w:t>
            </w:r>
          </w:p>
        </w:tc>
        <w:tc>
          <w:tcPr>
            <w:tcW w:type="dxa" w:w="1949"/>
            <w:shd w:val="clear" w:color="auto" w:fill="DCE6F7"/>
          </w:tcPr>
          <w:p>
            <w:r/>
            <w:r>
              <w:rPr>
                <w:b/>
                <w:i w:val="0"/>
                <w:sz w:val="18"/>
              </w:rPr>
              <w:t>0,05 % de FP</w:t>
            </w:r>
          </w:p>
        </w:tc>
        <w:tc>
          <w:tcPr>
            <w:tcW w:type="dxa" w:w="1949"/>
            <w:shd w:val="clear" w:color="auto" w:fill="DCE6F7"/>
          </w:tcPr>
          <w:p>
            <w:r/>
            <w:r>
              <w:rPr>
                <w:b/>
                <w:i w:val="0"/>
                <w:sz w:val="18"/>
              </w:rPr>
              <w:t>0,10 % de FP</w:t>
            </w:r>
          </w:p>
        </w:tc>
        <w:tc>
          <w:tcPr>
            <w:tcW w:type="dxa" w:w="1949"/>
            <w:shd w:val="clear" w:color="auto" w:fill="DCE6F7"/>
          </w:tcPr>
          <w:p>
            <w:r/>
            <w:r>
              <w:rPr>
                <w:b/>
                <w:i w:val="0"/>
                <w:sz w:val="18"/>
              </w:rPr>
              <w:t>0,50 % de FP</w:t>
            </w:r>
          </w:p>
        </w:tc>
        <w:tc>
          <w:tcPr>
            <w:tcW w:type="dxa" w:w="1949"/>
            <w:shd w:val="clear" w:color="auto" w:fill="DCE6F7"/>
          </w:tcPr>
          <w:p>
            <w:r/>
            <w:r>
              <w:rPr>
                <w:b/>
                <w:i w:val="0"/>
                <w:sz w:val="18"/>
              </w:rPr>
              <w:t>1 % de FP</w:t>
            </w:r>
          </w:p>
        </w:tc>
      </w:tr>
      <w:tr>
        <w:tc>
          <w:tcPr>
            <w:tcW w:type="dxa" w:w="1949"/>
          </w:tcPr>
          <w:p>
            <w:r/>
            <w:r>
              <w:rPr>
                <w:b/>
                <w:i w:val="0"/>
                <w:sz w:val="18"/>
              </w:rPr>
              <w:t>Hybride</w:t>
            </w:r>
          </w:p>
        </w:tc>
        <w:tc>
          <w:tcPr>
            <w:tcW w:type="dxa" w:w="1949"/>
          </w:tcPr>
          <w:p>
            <w:r/>
            <w:r>
              <w:rPr>
                <w:b/>
                <w:i w:val="0"/>
                <w:sz w:val="18"/>
              </w:rPr>
              <w:t>0,9688</w:t>
            </w:r>
          </w:p>
        </w:tc>
        <w:tc>
          <w:tcPr>
            <w:tcW w:type="dxa" w:w="1949"/>
          </w:tcPr>
          <w:p>
            <w:r/>
            <w:r>
              <w:rPr>
                <w:b/>
                <w:i w:val="0"/>
                <w:sz w:val="18"/>
              </w:rPr>
              <w:t>0,9865</w:t>
            </w:r>
          </w:p>
        </w:tc>
        <w:tc>
          <w:tcPr>
            <w:tcW w:type="dxa" w:w="1949"/>
          </w:tcPr>
          <w:p>
            <w:r/>
            <w:r>
              <w:rPr>
                <w:b/>
                <w:i w:val="0"/>
                <w:sz w:val="18"/>
              </w:rPr>
              <w:t>0,9992</w:t>
            </w:r>
          </w:p>
        </w:tc>
        <w:tc>
          <w:tcPr>
            <w:tcW w:type="dxa" w:w="1949"/>
          </w:tcPr>
          <w:p>
            <w:r/>
            <w:r>
              <w:rPr>
                <w:b w:val="0"/>
                <w:i w:val="0"/>
                <w:sz w:val="18"/>
              </w:rPr>
              <w:t>0,9996</w:t>
            </w:r>
          </w:p>
        </w:tc>
      </w:tr>
      <w:tr>
        <w:tc>
          <w:tcPr>
            <w:tcW w:type="dxa" w:w="1949"/>
          </w:tcPr>
          <w:p>
            <w:r/>
            <w:r>
              <w:rPr>
                <w:b w:val="0"/>
                <w:i w:val="0"/>
                <w:sz w:val="18"/>
              </w:rPr>
              <w:t>LSTM-attention</w:t>
            </w:r>
          </w:p>
        </w:tc>
        <w:tc>
          <w:tcPr>
            <w:tcW w:type="dxa" w:w="1949"/>
          </w:tcPr>
          <w:p>
            <w:r/>
            <w:r>
              <w:rPr>
                <w:b w:val="0"/>
                <w:i w:val="0"/>
                <w:sz w:val="18"/>
              </w:rPr>
              <w:t>0,9401</w:t>
            </w:r>
          </w:p>
        </w:tc>
        <w:tc>
          <w:tcPr>
            <w:tcW w:type="dxa" w:w="1949"/>
          </w:tcPr>
          <w:p>
            <w:r/>
            <w:r>
              <w:rPr>
                <w:b w:val="0"/>
                <w:i w:val="0"/>
                <w:sz w:val="18"/>
              </w:rPr>
              <w:t>0,9672</w:t>
            </w:r>
          </w:p>
        </w:tc>
        <w:tc>
          <w:tcPr>
            <w:tcW w:type="dxa" w:w="1949"/>
          </w:tcPr>
          <w:p>
            <w:r/>
            <w:r>
              <w:rPr>
                <w:b w:val="0"/>
                <w:i w:val="0"/>
                <w:sz w:val="18"/>
              </w:rPr>
              <w:t>0,9918</w:t>
            </w:r>
          </w:p>
        </w:tc>
        <w:tc>
          <w:tcPr>
            <w:tcW w:type="dxa" w:w="1949"/>
          </w:tcPr>
          <w:p>
            <w:r/>
            <w:r>
              <w:rPr>
                <w:b w:val="0"/>
                <w:i w:val="0"/>
                <w:sz w:val="18"/>
              </w:rPr>
              <w:t>0,9979</w:t>
            </w:r>
          </w:p>
        </w:tc>
      </w:tr>
      <w:tr>
        <w:tc>
          <w:tcPr>
            <w:tcW w:type="dxa" w:w="1949"/>
          </w:tcPr>
          <w:p>
            <w:r/>
            <w:r>
              <w:rPr>
                <w:b w:val="0"/>
                <w:i w:val="0"/>
                <w:sz w:val="18"/>
              </w:rPr>
              <w:t>XGBoost</w:t>
            </w:r>
          </w:p>
        </w:tc>
        <w:tc>
          <w:tcPr>
            <w:tcW w:type="dxa" w:w="1949"/>
          </w:tcPr>
          <w:p>
            <w:r/>
            <w:r>
              <w:rPr>
                <w:b w:val="0"/>
                <w:i w:val="0"/>
                <w:sz w:val="18"/>
              </w:rPr>
              <w:t>0,9233</w:t>
            </w:r>
          </w:p>
        </w:tc>
        <w:tc>
          <w:tcPr>
            <w:tcW w:type="dxa" w:w="1949"/>
          </w:tcPr>
          <w:p>
            <w:r/>
            <w:r>
              <w:rPr>
                <w:b w:val="0"/>
                <w:i w:val="0"/>
                <w:sz w:val="18"/>
              </w:rPr>
              <w:t>0,9528</w:t>
            </w:r>
          </w:p>
        </w:tc>
        <w:tc>
          <w:tcPr>
            <w:tcW w:type="dxa" w:w="1949"/>
          </w:tcPr>
          <w:p>
            <w:r/>
            <w:r>
              <w:rPr>
                <w:b w:val="0"/>
                <w:i w:val="0"/>
                <w:sz w:val="18"/>
              </w:rPr>
              <w:t>0,9967</w:t>
            </w:r>
          </w:p>
        </w:tc>
        <w:tc>
          <w:tcPr>
            <w:tcW w:type="dxa" w:w="1949"/>
          </w:tcPr>
          <w:p>
            <w:r/>
            <w:r>
              <w:rPr>
                <w:b/>
                <w:i w:val="0"/>
                <w:sz w:val="18"/>
              </w:rPr>
              <w:t>1,0000</w:t>
            </w:r>
          </w:p>
        </w:tc>
      </w:tr>
      <w:tr>
        <w:tc>
          <w:tcPr>
            <w:tcW w:type="dxa" w:w="1949"/>
          </w:tcPr>
          <w:p>
            <w:r/>
            <w:r>
              <w:rPr>
                <w:b w:val="0"/>
                <w:i w:val="0"/>
                <w:sz w:val="18"/>
              </w:rPr>
              <w:t>Random Forest</w:t>
            </w:r>
          </w:p>
        </w:tc>
        <w:tc>
          <w:tcPr>
            <w:tcW w:type="dxa" w:w="1949"/>
          </w:tcPr>
          <w:p>
            <w:r/>
            <w:r>
              <w:rPr>
                <w:b w:val="0"/>
                <w:i w:val="0"/>
                <w:sz w:val="18"/>
              </w:rPr>
              <w:t>0,8970</w:t>
            </w:r>
          </w:p>
        </w:tc>
        <w:tc>
          <w:tcPr>
            <w:tcW w:type="dxa" w:w="1949"/>
          </w:tcPr>
          <w:p>
            <w:r/>
            <w:r>
              <w:rPr>
                <w:b w:val="0"/>
                <w:i w:val="0"/>
                <w:sz w:val="18"/>
              </w:rPr>
              <w:t>0,9327</w:t>
            </w:r>
          </w:p>
        </w:tc>
        <w:tc>
          <w:tcPr>
            <w:tcW w:type="dxa" w:w="1949"/>
          </w:tcPr>
          <w:p>
            <w:r/>
            <w:r>
              <w:rPr>
                <w:b w:val="0"/>
                <w:i w:val="0"/>
                <w:sz w:val="18"/>
              </w:rPr>
              <w:t>0,9930</w:t>
            </w:r>
          </w:p>
        </w:tc>
        <w:tc>
          <w:tcPr>
            <w:tcW w:type="dxa" w:w="1949"/>
          </w:tcPr>
          <w:p>
            <w:r/>
            <w:r>
              <w:rPr>
                <w:b w:val="0"/>
                <w:i w:val="0"/>
                <w:sz w:val="18"/>
              </w:rPr>
              <w:t>0,9996</w:t>
            </w:r>
          </w:p>
        </w:tc>
      </w:tr>
      <w:tr>
        <w:tc>
          <w:tcPr>
            <w:tcW w:type="dxa" w:w="1949"/>
          </w:tcPr>
          <w:p>
            <w:r/>
            <w:r>
              <w:rPr>
                <w:b w:val="0"/>
                <w:i w:val="0"/>
                <w:sz w:val="18"/>
              </w:rPr>
              <w:t>Régression logistique</w:t>
            </w:r>
          </w:p>
        </w:tc>
        <w:tc>
          <w:tcPr>
            <w:tcW w:type="dxa" w:w="1949"/>
          </w:tcPr>
          <w:p>
            <w:r/>
            <w:r>
              <w:rPr>
                <w:b w:val="0"/>
                <w:i w:val="0"/>
                <w:sz w:val="18"/>
              </w:rPr>
              <w:t>0,7854</w:t>
            </w:r>
          </w:p>
        </w:tc>
        <w:tc>
          <w:tcPr>
            <w:tcW w:type="dxa" w:w="1949"/>
          </w:tcPr>
          <w:p>
            <w:r/>
            <w:r>
              <w:rPr>
                <w:b w:val="0"/>
                <w:i w:val="0"/>
                <w:sz w:val="18"/>
              </w:rPr>
              <w:t>0,8289</w:t>
            </w:r>
          </w:p>
        </w:tc>
        <w:tc>
          <w:tcPr>
            <w:tcW w:type="dxa" w:w="1949"/>
          </w:tcPr>
          <w:p>
            <w:r/>
            <w:r>
              <w:rPr>
                <w:b w:val="0"/>
                <w:i w:val="0"/>
                <w:sz w:val="18"/>
              </w:rPr>
              <w:t>0,9458</w:t>
            </w:r>
          </w:p>
        </w:tc>
        <w:tc>
          <w:tcPr>
            <w:tcW w:type="dxa" w:w="1949"/>
          </w:tcPr>
          <w:p>
            <w:r/>
            <w:r>
              <w:rPr>
                <w:b w:val="0"/>
                <w:i w:val="0"/>
                <w:sz w:val="18"/>
              </w:rPr>
              <w:t>0,9746</w:t>
            </w:r>
          </w:p>
        </w:tc>
      </w:tr>
      <w:tr>
        <w:tc>
          <w:tcPr>
            <w:tcW w:type="dxa" w:w="1949"/>
          </w:tcPr>
          <w:p>
            <w:r/>
            <w:r>
              <w:rPr>
                <w:b w:val="0"/>
                <w:i w:val="0"/>
                <w:sz w:val="18"/>
              </w:rPr>
              <w:t>Autoencodeur</w:t>
            </w:r>
          </w:p>
        </w:tc>
        <w:tc>
          <w:tcPr>
            <w:tcW w:type="dxa" w:w="1949"/>
          </w:tcPr>
          <w:p>
            <w:r/>
            <w:r>
              <w:rPr>
                <w:b w:val="0"/>
                <w:i w:val="0"/>
                <w:sz w:val="18"/>
              </w:rPr>
              <w:t>0,6167</w:t>
            </w:r>
          </w:p>
        </w:tc>
        <w:tc>
          <w:tcPr>
            <w:tcW w:type="dxa" w:w="1949"/>
          </w:tcPr>
          <w:p>
            <w:r/>
            <w:r>
              <w:rPr>
                <w:b w:val="0"/>
                <w:i w:val="0"/>
                <w:sz w:val="18"/>
              </w:rPr>
              <w:t>0,6204</w:t>
            </w:r>
          </w:p>
        </w:tc>
        <w:tc>
          <w:tcPr>
            <w:tcW w:type="dxa" w:w="1949"/>
          </w:tcPr>
          <w:p>
            <w:r/>
            <w:r>
              <w:rPr>
                <w:b w:val="0"/>
                <w:i w:val="0"/>
                <w:sz w:val="18"/>
              </w:rPr>
              <w:t>0,6274</w:t>
            </w:r>
          </w:p>
        </w:tc>
        <w:tc>
          <w:tcPr>
            <w:tcW w:type="dxa" w:w="1949"/>
          </w:tcPr>
          <w:p>
            <w:r/>
            <w:r>
              <w:rPr>
                <w:b w:val="0"/>
                <w:i w:val="0"/>
                <w:sz w:val="18"/>
              </w:rPr>
              <w:t>0,6278</w:t>
            </w:r>
          </w:p>
        </w:tc>
      </w:tr>
      <w:tr>
        <w:tc>
          <w:tcPr>
            <w:tcW w:type="dxa" w:w="1949"/>
          </w:tcPr>
          <w:p>
            <w:r/>
            <w:r>
              <w:rPr>
                <w:b w:val="0"/>
                <w:i w:val="0"/>
                <w:sz w:val="18"/>
              </w:rPr>
              <w:t>Isolation Forest</w:t>
            </w:r>
          </w:p>
        </w:tc>
        <w:tc>
          <w:tcPr>
            <w:tcW w:type="dxa" w:w="1949"/>
          </w:tcPr>
          <w:p>
            <w:r/>
            <w:r>
              <w:rPr>
                <w:b w:val="0"/>
                <w:i w:val="0"/>
                <w:sz w:val="18"/>
              </w:rPr>
              <w:t>0,1461</w:t>
            </w:r>
          </w:p>
        </w:tc>
        <w:tc>
          <w:tcPr>
            <w:tcW w:type="dxa" w:w="1949"/>
          </w:tcPr>
          <w:p>
            <w:r/>
            <w:r>
              <w:rPr>
                <w:b w:val="0"/>
                <w:i w:val="0"/>
                <w:sz w:val="18"/>
              </w:rPr>
              <w:t>0,1924</w:t>
            </w:r>
          </w:p>
        </w:tc>
        <w:tc>
          <w:tcPr>
            <w:tcW w:type="dxa" w:w="1949"/>
          </w:tcPr>
          <w:p>
            <w:r/>
            <w:r>
              <w:rPr>
                <w:b w:val="0"/>
                <w:i w:val="0"/>
                <w:sz w:val="18"/>
              </w:rPr>
              <w:t>0,3603</w:t>
            </w:r>
          </w:p>
        </w:tc>
        <w:tc>
          <w:tcPr>
            <w:tcW w:type="dxa" w:w="1949"/>
          </w:tcPr>
          <w:p>
            <w:r/>
            <w:r>
              <w:rPr>
                <w:b w:val="0"/>
                <w:i w:val="0"/>
                <w:sz w:val="18"/>
              </w:rPr>
              <w:t>0,4313</w:t>
            </w:r>
          </w:p>
        </w:tc>
      </w:tr>
      <w:tr>
        <w:tc>
          <w:tcPr>
            <w:tcW w:type="dxa" w:w="1949"/>
          </w:tcPr>
          <w:p>
            <w:r/>
            <w:r>
              <w:rPr>
                <w:b w:val="0"/>
                <w:i w:val="0"/>
                <w:sz w:val="18"/>
              </w:rPr>
              <w:t>Règles métier</w:t>
            </w:r>
          </w:p>
        </w:tc>
        <w:tc>
          <w:tcPr>
            <w:tcW w:type="dxa" w:w="1949"/>
          </w:tcPr>
          <w:p>
            <w:r/>
            <w:r>
              <w:rPr>
                <w:b w:val="0"/>
                <w:i w:val="0"/>
                <w:sz w:val="18"/>
              </w:rPr>
              <w:t>0,0771</w:t>
            </w:r>
          </w:p>
        </w:tc>
        <w:tc>
          <w:tcPr>
            <w:tcW w:type="dxa" w:w="1949"/>
          </w:tcPr>
          <w:p>
            <w:r/>
            <w:r>
              <w:rPr>
                <w:b w:val="0"/>
                <w:i w:val="0"/>
                <w:sz w:val="18"/>
              </w:rPr>
              <w:t>0,0804</w:t>
            </w:r>
          </w:p>
        </w:tc>
        <w:tc>
          <w:tcPr>
            <w:tcW w:type="dxa" w:w="1949"/>
          </w:tcPr>
          <w:p>
            <w:r/>
            <w:r>
              <w:rPr>
                <w:b w:val="0"/>
                <w:i w:val="0"/>
                <w:sz w:val="18"/>
              </w:rPr>
              <w:t>0,2794</w:t>
            </w:r>
          </w:p>
        </w:tc>
        <w:tc>
          <w:tcPr>
            <w:tcW w:type="dxa" w:w="1949"/>
          </w:tcPr>
          <w:p>
            <w:r/>
            <w:r>
              <w:rPr>
                <w:b w:val="0"/>
                <w:i w:val="0"/>
                <w:sz w:val="18"/>
              </w:rPr>
              <w:t>0,3570</w:t>
            </w:r>
          </w:p>
        </w:tc>
      </w:tr>
    </w:tbl>
    <w:p/>
    <w:p>
      <w:pPr>
        <w:spacing w:after="120"/>
      </w:pPr>
      <w:r>
        <w:rPr>
          <w:b w:val="0"/>
          <w:i/>
        </w:rPr>
        <w:t>Tableau II.31 — Rappel à budget de fausses alertes fixé.</w:t>
      </w:r>
    </w:p>
    <w:p>
      <w:pPr>
        <w:spacing w:after="120"/>
      </w:pPr>
      <w:r>
        <w:rPr>
          <w:b w:val="0"/>
          <w:i w:val="0"/>
        </w:rPr>
        <w:t>Un opérateur ne peut traiter qu'un nombre limité d'alertes. Plus ce budget est serré, plus l'avantage de l'hybride est grand : à 0,05 % de faux positifs, il détecte 96,9 % des fraudes, contre 94,0 % pour le LSTM et 92,3 % pour XGBoost. À 1 %, budget très large, les meilleures méthodes se rejoignent ; XGBoost détecte alors toutes les fraudes, une de plus que l'hybride. L'avantage de l'hybride est donc maximal dans les conditions réalistes d'exploitation, où les alertes doivent rester rares.</w:t>
      </w:r>
    </w:p>
    <w:p>
      <w:pPr>
        <w:jc w:val="center"/>
      </w:pPr>
      <w:r>
        <w:drawing>
          <wp:inline xmlns:a="http://schemas.openxmlformats.org/drawingml/2006/main" xmlns:pic="http://schemas.openxmlformats.org/drawingml/2006/picture">
            <wp:extent cx="5760000" cy="2142888"/>
            <wp:docPr id="15" name="Picture 15"/>
            <wp:cNvGraphicFramePr>
              <a:graphicFrameLocks noChangeAspect="1"/>
            </wp:cNvGraphicFramePr>
            <a:graphic>
              <a:graphicData uri="http://schemas.openxmlformats.org/drawingml/2006/picture">
                <pic:pic>
                  <pic:nvPicPr>
                    <pic:cNvPr id="0" name="fig_II_15_ablation.png"/>
                    <pic:cNvPicPr/>
                  </pic:nvPicPr>
                  <pic:blipFill>
                    <a:blip r:embed="rId23"/>
                    <a:stretch>
                      <a:fillRect/>
                    </a:stretch>
                  </pic:blipFill>
                  <pic:spPr>
                    <a:xfrm>
                      <a:off x="0" y="0"/>
                      <a:ext cx="5760000" cy="2142888"/>
                    </a:xfrm>
                    <a:prstGeom prst="rect"/>
                  </pic:spPr>
                </pic:pic>
              </a:graphicData>
            </a:graphic>
          </wp:inline>
        </w:drawing>
      </w:r>
    </w:p>
    <w:p>
      <w:pPr>
        <w:jc w:val="center"/>
      </w:pPr>
      <w:r>
        <w:rPr>
          <w:b w:val="0"/>
          <w:i/>
          <w:sz w:val="18"/>
        </w:rPr>
        <w:t>Figure II.15 — Ablation : PR-AUC, F1 et taux de faux positifs de l'hybride complet et de l'hybride privé d'une composante.</w:t>
      </w:r>
    </w:p>
    <w:p>
      <w:pPr>
        <w:spacing w:after="120"/>
      </w:pPr>
      <w:r>
        <w:rPr>
          <w:b w:val="0"/>
          <w:i w:val="0"/>
        </w:rPr>
        <w:t>La figure II.15 visualise le Tableau II.27 : le retrait de n'importe quelle composante fait baisser la PR-AUC et le F1 et augmente les fausses alertes.</w:t>
      </w:r>
    </w:p>
    <w:p>
      <w:pPr>
        <w:jc w:val="center"/>
      </w:pPr>
      <w:r>
        <w:drawing>
          <wp:inline xmlns:a="http://schemas.openxmlformats.org/drawingml/2006/main" xmlns:pic="http://schemas.openxmlformats.org/drawingml/2006/picture">
            <wp:extent cx="5760000" cy="3072494"/>
            <wp:docPr id="16" name="Picture 16"/>
            <wp:cNvGraphicFramePr>
              <a:graphicFrameLocks noChangeAspect="1"/>
            </wp:cNvGraphicFramePr>
            <a:graphic>
              <a:graphicData uri="http://schemas.openxmlformats.org/drawingml/2006/picture">
                <pic:pic>
                  <pic:nvPicPr>
                    <pic:cNvPr id="0" name="fig_II_16_choix_seuil.png"/>
                    <pic:cNvPicPr/>
                  </pic:nvPicPr>
                  <pic:blipFill>
                    <a:blip r:embed="rId24"/>
                    <a:stretch>
                      <a:fillRect/>
                    </a:stretch>
                  </pic:blipFill>
                  <pic:spPr>
                    <a:xfrm>
                      <a:off x="0" y="0"/>
                      <a:ext cx="5760000" cy="3072494"/>
                    </a:xfrm>
                    <a:prstGeom prst="rect"/>
                  </pic:spPr>
                </pic:pic>
              </a:graphicData>
            </a:graphic>
          </wp:inline>
        </w:drawing>
      </w:r>
    </w:p>
    <w:p>
      <w:pPr>
        <w:jc w:val="center"/>
      </w:pPr>
      <w:r>
        <w:rPr>
          <w:b w:val="0"/>
          <w:i/>
          <w:sz w:val="18"/>
        </w:rPr>
        <w:t>Figure II.16 — Précision, rappel et F1 de l'hybride sur le test selon le seuil de décision ; τ\* est le seuil retenu sur la validation.</w:t>
      </w:r>
    </w:p>
    <w:p>
      <w:pPr>
        <w:spacing w:after="120"/>
      </w:pPr>
      <w:r>
        <w:rPr>
          <w:b w:val="0"/>
          <w:i w:val="0"/>
        </w:rPr>
        <w:t xml:space="preserve">Le seuil τ\* = 0,538, choisi sur la validation, tombe dans le </w:t>
      </w:r>
      <w:r>
        <w:rPr>
          <w:b/>
          <w:i w:val="0"/>
        </w:rPr>
        <w:t>plateau</w:t>
      </w:r>
      <w:r>
        <w:rPr>
          <w:b w:val="0"/>
          <w:i w:val="0"/>
        </w:rPr>
        <w:t xml:space="preserve"> du F1 sur le test : entre 0,45 et 0,75, le F1 varie de moins d'un point. Le choix du seuil est donc robuste ; il n'a pas été ajusté sur le test. Le graphique montre aussi l'arbitrage disponible pour l'opérateur. Abaisser le seuil augmente le rappel au prix de fausses alertes supplémentaires ; c'est le principe de la décision coût-sensible (§ II.3.6).</w:t>
      </w:r>
    </w:p>
    <w:p>
      <w:pPr>
        <w:jc w:val="center"/>
      </w:pPr>
      <w:r>
        <w:drawing>
          <wp:inline xmlns:a="http://schemas.openxmlformats.org/drawingml/2006/main" xmlns:pic="http://schemas.openxmlformats.org/drawingml/2006/picture">
            <wp:extent cx="5760000" cy="3061049"/>
            <wp:docPr id="17" name="Picture 17"/>
            <wp:cNvGraphicFramePr>
              <a:graphicFrameLocks noChangeAspect="1"/>
            </wp:cNvGraphicFramePr>
            <a:graphic>
              <a:graphicData uri="http://schemas.openxmlformats.org/drawingml/2006/picture">
                <pic:pic>
                  <pic:nvPicPr>
                    <pic:cNvPr id="0" name="fig_II_17_distribution_scores.png"/>
                    <pic:cNvPicPr/>
                  </pic:nvPicPr>
                  <pic:blipFill>
                    <a:blip r:embed="rId25"/>
                    <a:stretch>
                      <a:fillRect/>
                    </a:stretch>
                  </pic:blipFill>
                  <pic:spPr>
                    <a:xfrm>
                      <a:off x="0" y="0"/>
                      <a:ext cx="5760000" cy="3061049"/>
                    </a:xfrm>
                    <a:prstGeom prst="rect"/>
                  </pic:spPr>
                </pic:pic>
              </a:graphicData>
            </a:graphic>
          </wp:inline>
        </w:drawing>
      </w:r>
    </w:p>
    <w:p>
      <w:pPr>
        <w:jc w:val="center"/>
      </w:pPr>
      <w:r>
        <w:rPr>
          <w:b w:val="0"/>
          <w:i/>
          <w:sz w:val="18"/>
        </w:rPr>
        <w:t>Figure II.17 — Distribution de la probabilité de fraude donnée par l'hybride, pour les opérations légitimes et frauduleuses (échelle logarithmique).</w:t>
      </w:r>
    </w:p>
    <w:p>
      <w:pPr>
        <w:spacing w:after="120"/>
      </w:pPr>
      <w:r>
        <w:rPr>
          <w:b w:val="0"/>
          <w:i w:val="0"/>
        </w:rPr>
        <w:t>Les deux classes sont nettement séparées. Sur 179 349 opérations notées sous 0,01, une seule est une fraude. Les 1 830 opérations notées au-dessus de 0,99 sont toutes des fraudes. Seules 419 opérations (0,2 % du test) tombent dans la zone d'incertitude entre 0,2 et 0,8.</w:t>
      </w:r>
    </w:p>
    <w:p>
      <w:pPr>
        <w:jc w:val="center"/>
      </w:pPr>
      <w:r>
        <w:drawing>
          <wp:inline xmlns:a="http://schemas.openxmlformats.org/drawingml/2006/main" xmlns:pic="http://schemas.openxmlformats.org/drawingml/2006/picture">
            <wp:extent cx="5760000" cy="5233463"/>
            <wp:docPr id="18" name="Picture 18"/>
            <wp:cNvGraphicFramePr>
              <a:graphicFrameLocks noChangeAspect="1"/>
            </wp:cNvGraphicFramePr>
            <a:graphic>
              <a:graphicData uri="http://schemas.openxmlformats.org/drawingml/2006/picture">
                <pic:pic>
                  <pic:nvPicPr>
                    <pic:cNvPr id="0" name="fig_II_18_calibration.png"/>
                    <pic:cNvPicPr/>
                  </pic:nvPicPr>
                  <pic:blipFill>
                    <a:blip r:embed="rId26"/>
                    <a:stretch>
                      <a:fillRect/>
                    </a:stretch>
                  </pic:blipFill>
                  <pic:spPr>
                    <a:xfrm>
                      <a:off x="0" y="0"/>
                      <a:ext cx="5760000" cy="5233463"/>
                    </a:xfrm>
                    <a:prstGeom prst="rect"/>
                  </pic:spPr>
                </pic:pic>
              </a:graphicData>
            </a:graphic>
          </wp:inline>
        </w:drawing>
      </w:r>
    </w:p>
    <w:p>
      <w:pPr>
        <w:jc w:val="center"/>
      </w:pPr>
      <w:r>
        <w:rPr>
          <w:b w:val="0"/>
          <w:i/>
          <w:sz w:val="18"/>
        </w:rPr>
        <w:t>Figure II.18 — Courbe de calibration de l'hybride.</w:t>
      </w:r>
    </w:p>
    <w:p>
      <w:pPr>
        <w:spacing w:after="120"/>
      </w:pPr>
      <w:r>
        <w:rPr>
          <w:b w:val="0"/>
          <w:i w:val="0"/>
        </w:rPr>
        <w:t xml:space="preserve">Le score de Brier de l'hybride est très faible (0,00077). La courbe de calibration montre toutefois que, dans la zone intermédiaire (0,2 à 0,8), la probabilité prédite </w:t>
      </w:r>
      <w:r>
        <w:rPr>
          <w:b/>
          <w:i w:val="0"/>
        </w:rPr>
        <w:t>surestime</w:t>
      </w:r>
      <w:r>
        <w:rPr>
          <w:b w:val="0"/>
          <w:i w:val="0"/>
        </w:rPr>
        <w:t xml:space="preserve"> le taux réel de fraude. Par exemple, une opération notée 0,45 est frauduleuse dans environ 20 % des cas. Cette zone ne concerne que 0,2 % des opérations et n'affecte pas la décision, qui repose sur un seuil. En revanche, la valeur affichée à l'analyste ne doit pas être lue comme une probabilité exacte dans cette zone. Une recalibration (régression isotonique sur la validation) est une amélioration possible.</w:t>
      </w:r>
    </w:p>
    <w:p>
      <w:pPr>
        <w:jc w:val="center"/>
      </w:pPr>
      <w:r>
        <w:drawing>
          <wp:inline xmlns:a="http://schemas.openxmlformats.org/drawingml/2006/main" xmlns:pic="http://schemas.openxmlformats.org/drawingml/2006/picture">
            <wp:extent cx="5760000" cy="2541094"/>
            <wp:docPr id="19" name="Picture 19"/>
            <wp:cNvGraphicFramePr>
              <a:graphicFrameLocks noChangeAspect="1"/>
            </wp:cNvGraphicFramePr>
            <a:graphic>
              <a:graphicData uri="http://schemas.openxmlformats.org/drawingml/2006/picture">
                <pic:pic>
                  <pic:nvPicPr>
                    <pic:cNvPr id="0" name="fig_II_19_matrice_multicritere.png"/>
                    <pic:cNvPicPr/>
                  </pic:nvPicPr>
                  <pic:blipFill>
                    <a:blip r:embed="rId27"/>
                    <a:stretch>
                      <a:fillRect/>
                    </a:stretch>
                  </pic:blipFill>
                  <pic:spPr>
                    <a:xfrm>
                      <a:off x="0" y="0"/>
                      <a:ext cx="5760000" cy="2541094"/>
                    </a:xfrm>
                    <a:prstGeom prst="rect"/>
                  </pic:spPr>
                </pic:pic>
              </a:graphicData>
            </a:graphic>
          </wp:inline>
        </w:drawing>
      </w:r>
    </w:p>
    <w:p>
      <w:pPr>
        <w:jc w:val="center"/>
      </w:pPr>
      <w:r>
        <w:rPr>
          <w:b w:val="0"/>
          <w:i/>
          <w:sz w:val="18"/>
        </w:rPr>
        <w:t>Figure II.19 — Matrice de décision multicritère (notes de 1 à 5 et score pondéré), forme graphique du Tableau II.28.</w:t>
      </w:r>
    </w:p>
    <w:p>
      <w:pPr>
        <w:spacing w:after="120"/>
      </w:pPr>
      <w:r>
        <w:rPr>
          <w:b/>
          <w:i w:val="0"/>
        </w:rPr>
        <w:t>Synthèse.</w:t>
      </w:r>
      <w:r>
        <w:rPr>
          <w:b w:val="0"/>
          <w:i w:val="0"/>
        </w:rPr>
        <w:t xml:space="preserve"> Toutes les métriques et tous les graphiques convergent avec la comparaison des § c) à g). L'hybride domine sur les métriques de classement (PR-AUC, courbe précision-rappel sur toute la plage de rappel) et sur les métriques au seuil (F1, F2, MCC, kappa, exactitude équilibrée). Ses intervalles de confiance sont séparés de ceux des concurrents. Il conserve son avantage quand le budget d'alertes est serré et sur les fraudes difficiles.</w:t>
      </w:r>
    </w:p>
    <w:p>
      <w:pPr>
        <w:spacing w:after="120"/>
      </w:pPr>
      <w:r>
        <w:rPr>
          <w:b w:val="0"/>
          <w:i w:val="0"/>
        </w:rPr>
        <w:t>Ses deux limites sont mesurées et assumées :</w:t>
      </w:r>
    </w:p>
    <w:p>
      <w:pPr>
        <w:pStyle w:val="ListBullet"/>
      </w:pPr>
      <w:r>
        <w:rPr>
          <w:b w:val="0"/>
          <w:i w:val="0"/>
        </w:rPr>
        <w:t>une précision légèrement inférieure à celle de l'autoencodeur, qui manque en revanche 38 % des fraudes ;</w:t>
      </w:r>
    </w:p>
    <w:p>
      <w:pPr>
        <w:pStyle w:val="ListBullet"/>
      </w:pPr>
      <w:r>
        <w:rPr>
          <w:b w:val="0"/>
          <w:i w:val="0"/>
        </w:rPr>
        <w:t>des probabilités imparfaitement calibrées dans la zone intermédiaire.</w:t>
      </w:r>
    </w:p>
    <w:p>
      <w:pPr>
        <w:pStyle w:val="Heading3"/>
      </w:pPr>
      <w:r>
        <w:t>i) Décision et justification</w:t>
      </w:r>
    </w:p>
    <w:p>
      <w:pPr>
        <w:spacing w:after="120"/>
      </w:pPr>
      <w:r>
        <w:rPr>
          <w:b/>
          <w:i w:val="0"/>
        </w:rPr>
        <w:t>Le modèle hybride (XGBoost + LSTM-attention + autoencodeur, combinés par empilement) est retenu.</w:t>
      </w:r>
      <w:r>
        <w:rPr>
          <w:b w:val="0"/>
          <w:i w:val="0"/>
        </w:rPr>
        <w:t xml:space="preserve"> Ce choix repose sur six raisons :</w:t>
      </w:r>
    </w:p>
    <w:p>
      <w:pPr>
        <w:pStyle w:val="ListNumber"/>
      </w:pPr>
      <w:r>
        <w:rPr>
          <w:b/>
          <w:i w:val="0"/>
        </w:rPr>
        <w:t>Il est le plus performant</w:t>
      </w:r>
      <w:r>
        <w:rPr>
          <w:b w:val="0"/>
          <w:i w:val="0"/>
        </w:rPr>
        <w:t xml:space="preserve"> sur toutes les mesures principales : PR-AUC 0,9955, F1 0,964, rappel 97,8 %, précision 95,1 %.</w:t>
      </w:r>
    </w:p>
    <w:p>
      <w:pPr>
        <w:pStyle w:val="ListNumber"/>
      </w:pPr>
      <w:r>
        <w:rPr>
          <w:b/>
          <w:i w:val="0"/>
        </w:rPr>
        <w:t>Sa supériorité est statistiquement significative</w:t>
      </w:r>
      <w:r>
        <w:rPr>
          <w:b w:val="0"/>
          <w:i w:val="0"/>
        </w:rPr>
        <w:t xml:space="preserve"> face à chacun de ses concurrents, y compris les deux meilleurs (XGBoost et LSTM) : intervalles de confiance excluant 0 et tests de McNemar avec p &lt; 10⁻⁷.</w:t>
      </w:r>
    </w:p>
    <w:p>
      <w:pPr>
        <w:pStyle w:val="ListNumber"/>
      </w:pPr>
      <w:r>
        <w:rPr>
          <w:b/>
          <w:i w:val="0"/>
        </w:rPr>
        <w:t>Il réduit nettement les erreurs qui coûtent</w:t>
      </w:r>
      <w:r>
        <w:rPr>
          <w:b w:val="0"/>
          <w:i w:val="0"/>
        </w:rPr>
        <w:t xml:space="preserve"> : 42 % de fausses alertes et 45 % de fraudes manquées en moins par rapport à XGBoost seul.</w:t>
      </w:r>
    </w:p>
    <w:p>
      <w:pPr>
        <w:pStyle w:val="ListNumber"/>
      </w:pPr>
      <w:r>
        <w:rPr>
          <w:b/>
          <w:i w:val="0"/>
        </w:rPr>
        <w:t>Il détecte mieux la fraude la plus difficile et la plus en hausse</w:t>
      </w:r>
      <w:r>
        <w:rPr>
          <w:b w:val="0"/>
          <w:i w:val="0"/>
        </w:rPr>
        <w:t>, l'ingénierie sociale (92,1 % contre 85,9 %).</w:t>
      </w:r>
    </w:p>
    <w:p>
      <w:pPr>
        <w:pStyle w:val="ListNumber"/>
      </w:pPr>
      <w:r>
        <w:rPr>
          <w:b/>
          <w:i w:val="0"/>
        </w:rPr>
        <w:t>Il couvre les trois dimensions du comportement</w:t>
      </w:r>
      <w:r>
        <w:rPr>
          <w:b w:val="0"/>
          <w:i w:val="0"/>
        </w:rPr>
        <w:t>, ce qu'aucune méthode seule ne fait : le profil instantané (XGBoost), la dynamique (LSTM) et l'anomalie (autoencodeur). Les composantes sont complémentaires, comme le montre l'ablation.</w:t>
      </w:r>
    </w:p>
    <w:p>
      <w:pPr>
        <w:pStyle w:val="ListNumber"/>
      </w:pPr>
      <w:r>
        <w:rPr>
          <w:b/>
          <w:i w:val="0"/>
        </w:rPr>
        <w:t>Il reste explicable et compatible avec le temps réel</w:t>
      </w:r>
      <w:r>
        <w:rPr>
          <w:b w:val="0"/>
          <w:i w:val="0"/>
        </w:rPr>
        <w:t xml:space="preserve"> : TreeSHAP exact, contribution de chaque composante, attention ; décision en 59 ms en médiane.</w:t>
      </w:r>
    </w:p>
    <w:p>
      <w:pPr>
        <w:spacing w:after="120"/>
      </w:pPr>
      <w:r>
        <w:rPr>
          <w:b/>
          <w:i w:val="0"/>
        </w:rPr>
        <w:t>Pourquoi pas XGBoost seul ?</w:t>
      </w:r>
      <w:r>
        <w:rPr>
          <w:b w:val="0"/>
          <w:i w:val="0"/>
        </w:rPr>
        <w:t xml:space="preserve"> C'est la meilleure méthode individuelle, la plus simple et la plus rapide. Mais il est significativement moins bon que l'hybride, il manque près de deux fois plus de fraudes, et il ne lit pas la séquence des opérations. Il n'est pas écarté pour autant : il reste une composante centrale de l'hybride et la </w:t>
      </w:r>
      <w:r>
        <w:rPr>
          <w:b/>
          <w:i w:val="0"/>
        </w:rPr>
        <w:t>solution de repli</w:t>
      </w:r>
      <w:r>
        <w:rPr>
          <w:b w:val="0"/>
          <w:i w:val="0"/>
        </w:rPr>
        <w:t xml:space="preserve"> naturelle si les autres composantes devenaient indisponibles.</w:t>
      </w:r>
    </w:p>
    <w:p>
      <w:pPr>
        <w:spacing w:after="120"/>
      </w:pPr>
      <w:r>
        <w:rPr>
          <w:b/>
          <w:i w:val="0"/>
        </w:rPr>
        <w:t>Pourquoi pas le LSTM seul ?</w:t>
      </w:r>
      <w:r>
        <w:rPr>
          <w:b w:val="0"/>
          <w:i w:val="0"/>
        </w:rPr>
        <w:t xml:space="preserve"> Ses performances égalent celles d'XGBoost, mais il est moins explicable (pas de contribution par variable) et plus coûteux, sans être meilleur.</w:t>
      </w:r>
    </w:p>
    <w:p>
      <w:pPr>
        <w:spacing w:after="120"/>
      </w:pPr>
      <w:r>
        <w:rPr>
          <w:b/>
          <w:i w:val="0"/>
        </w:rPr>
        <w:t>Pourquoi pas une méthode non supervisée ?</w:t>
      </w:r>
      <w:r>
        <w:rPr>
          <w:b w:val="0"/>
          <w:i w:val="0"/>
        </w:rPr>
        <w:t xml:space="preserve"> L'autoencodeur et l'Isolation Forest manquent les fraudes qui imitent un comportement normal. Ils ne peuvent pas être le détecteur principal ; l'autoencodeur est en revanche conservé comme composante, pour la détection de l'inédit.</w:t>
      </w:r>
    </w:p>
    <w:p>
      <w:pPr>
        <w:spacing w:after="120"/>
      </w:pPr>
      <w:r>
        <w:rPr>
          <w:b/>
          <w:i w:val="0"/>
        </w:rPr>
        <w:t>Coût du choix.</w:t>
      </w:r>
      <w:r>
        <w:rPr>
          <w:b w:val="0"/>
          <w:i w:val="0"/>
        </w:rPr>
        <w:t xml:space="preserve"> L'hybride est plus complexe à entraîner (environ 10 minutes pour l'ensemble) et à maintenir. Son 95ᵉ centile de latence (104 ms) se situe à la limite de l'objectif de 100 ms (BT-01) ; il pourra être réduit par la mise à l'échelle horizontale du service de notation. Ce coût est jugé acceptable au regard du gain de détection. Enfin, comme tous les résultats de ce travail, ces chiffres sont obtenus sur des données simulées (§ II.2.10) : la hiérarchie entre méthodes devra être confirmée sur données réelles.</w:t>
      </w:r>
    </w:p>
    <w:p>
      <w:pPr>
        <w:pStyle w:val="Heading3"/>
      </w:pPr>
      <w:r>
        <w:t>II.2.10 Validité de l'étude et limites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Menace</w:t>
            </w:r>
          </w:p>
        </w:tc>
        <w:tc>
          <w:tcPr>
            <w:tcW w:type="dxa" w:w="3249"/>
            <w:shd w:val="clear" w:color="auto" w:fill="DCE6F7"/>
          </w:tcPr>
          <w:p>
            <w:r/>
            <w:r>
              <w:rPr>
                <w:b/>
                <w:i w:val="0"/>
                <w:sz w:val="18"/>
              </w:rPr>
              <w:t>Nature</w:t>
            </w:r>
          </w:p>
        </w:tc>
        <w:tc>
          <w:tcPr>
            <w:tcW w:type="dxa" w:w="3249"/>
            <w:shd w:val="clear" w:color="auto" w:fill="DCE6F7"/>
          </w:tcPr>
          <w:p>
            <w:r/>
            <w:r>
              <w:rPr>
                <w:b/>
                <w:i w:val="0"/>
                <w:sz w:val="18"/>
              </w:rPr>
              <w:t>Mesure prise ou réserve</w:t>
            </w:r>
          </w:p>
        </w:tc>
      </w:tr>
      <w:tr>
        <w:tc>
          <w:tcPr>
            <w:tcW w:type="dxa" w:w="3249"/>
          </w:tcPr>
          <w:p>
            <w:r/>
            <w:r>
              <w:rPr>
                <w:b/>
                <w:i w:val="0"/>
                <w:sz w:val="18"/>
              </w:rPr>
              <w:t>Données simulées</w:t>
            </w:r>
          </w:p>
        </w:tc>
        <w:tc>
          <w:tcPr>
            <w:tcW w:type="dxa" w:w="3249"/>
          </w:tcPr>
          <w:p>
            <w:r/>
            <w:r>
              <w:rPr>
                <w:b w:val="0"/>
                <w:i w:val="0"/>
                <w:sz w:val="18"/>
              </w:rPr>
              <w:t>Validité externe</w:t>
            </w:r>
          </w:p>
        </w:tc>
        <w:tc>
          <w:tcPr>
            <w:tcW w:type="dxa" w:w="3249"/>
          </w:tcPr>
          <w:p>
            <w:r/>
            <w:r>
              <w:rPr>
                <w:b w:val="0"/>
                <w:i w:val="0"/>
                <w:sz w:val="18"/>
              </w:rPr>
              <w:t>Les fraudes simulées sont plus nettes que les vraies : les performances réelles seront plus faibles. Une validation sur données réelles est prévue (§ II.2.11).</w:t>
            </w:r>
          </w:p>
        </w:tc>
      </w:tr>
      <w:tr>
        <w:tc>
          <w:tcPr>
            <w:tcW w:type="dxa" w:w="3249"/>
          </w:tcPr>
          <w:p>
            <w:r/>
            <w:r>
              <w:rPr>
                <w:b w:val="0"/>
                <w:i w:val="0"/>
                <w:sz w:val="18"/>
              </w:rPr>
              <w:t>Circularité de H5</w:t>
            </w:r>
          </w:p>
        </w:tc>
        <w:tc>
          <w:tcPr>
            <w:tcW w:type="dxa" w:w="3249"/>
          </w:tcPr>
          <w:p>
            <w:r/>
            <w:r>
              <w:rPr>
                <w:b w:val="0"/>
                <w:i w:val="0"/>
                <w:sz w:val="18"/>
              </w:rPr>
              <w:t>Validité interne</w:t>
            </w:r>
          </w:p>
        </w:tc>
        <w:tc>
          <w:tcPr>
            <w:tcW w:type="dxa" w:w="3249"/>
          </w:tcPr>
          <w:p>
            <w:r/>
            <w:r>
              <w:rPr>
                <w:b w:val="0"/>
                <w:i w:val="0"/>
                <w:sz w:val="18"/>
              </w:rPr>
              <w:t>L'évolution des fraudes est un paramètre du générateur : H5 démontre surtout que le mécanisme de mise à jour fonctionne.</w:t>
            </w:r>
          </w:p>
        </w:tc>
      </w:tr>
      <w:tr>
        <w:tc>
          <w:tcPr>
            <w:tcW w:type="dxa" w:w="3249"/>
          </w:tcPr>
          <w:p>
            <w:r/>
            <w:r>
              <w:rPr>
                <w:b w:val="0"/>
                <w:i w:val="0"/>
                <w:sz w:val="18"/>
              </w:rPr>
              <w:t>Canal Visa trop séparable</w:t>
            </w:r>
          </w:p>
        </w:tc>
        <w:tc>
          <w:tcPr>
            <w:tcW w:type="dxa" w:w="3249"/>
          </w:tcPr>
          <w:p>
            <w:r/>
            <w:r>
              <w:rPr>
                <w:b w:val="0"/>
                <w:i w:val="0"/>
                <w:sz w:val="18"/>
              </w:rPr>
              <w:t>Validité de construit</w:t>
            </w:r>
          </w:p>
        </w:tc>
        <w:tc>
          <w:tcPr>
            <w:tcW w:type="dxa" w:w="3249"/>
          </w:tcPr>
          <w:p>
            <w:r/>
            <w:r>
              <w:rPr>
                <w:b w:val="0"/>
                <w:i w:val="0"/>
                <w:sz w:val="18"/>
              </w:rPr>
              <w:t>Effet plafond possible : la transposabilité (H4) peut être surestimée.</w:t>
            </w:r>
          </w:p>
        </w:tc>
      </w:tr>
      <w:tr>
        <w:tc>
          <w:tcPr>
            <w:tcW w:type="dxa" w:w="3249"/>
          </w:tcPr>
          <w:p>
            <w:r/>
            <w:r>
              <w:rPr>
                <w:b w:val="0"/>
                <w:i w:val="0"/>
                <w:sz w:val="18"/>
              </w:rPr>
              <w:t>Fuite d'information</w:t>
            </w:r>
          </w:p>
        </w:tc>
        <w:tc>
          <w:tcPr>
            <w:tcW w:type="dxa" w:w="3249"/>
          </w:tcPr>
          <w:p>
            <w:r/>
            <w:r>
              <w:rPr>
                <w:b w:val="0"/>
                <w:i w:val="0"/>
                <w:sz w:val="18"/>
              </w:rPr>
              <w:t>Validité interne</w:t>
            </w:r>
          </w:p>
        </w:tc>
        <w:tc>
          <w:tcPr>
            <w:tcW w:type="dxa" w:w="3249"/>
          </w:tcPr>
          <w:p>
            <w:r/>
            <w:r>
              <w:rPr>
                <w:b w:val="0"/>
                <w:i w:val="0"/>
                <w:sz w:val="18"/>
              </w:rPr>
              <w:t>Variables calculées sur le passé, découpage temporel, seuil choisi sur la validation.</w:t>
            </w:r>
          </w:p>
        </w:tc>
      </w:tr>
      <w:tr>
        <w:tc>
          <w:tcPr>
            <w:tcW w:type="dxa" w:w="3249"/>
          </w:tcPr>
          <w:p>
            <w:r/>
            <w:r>
              <w:rPr>
                <w:b w:val="0"/>
                <w:i w:val="0"/>
                <w:sz w:val="18"/>
              </w:rPr>
              <w:t>Corrélation intra-client</w:t>
            </w:r>
          </w:p>
        </w:tc>
        <w:tc>
          <w:tcPr>
            <w:tcW w:type="dxa" w:w="3249"/>
          </w:tcPr>
          <w:p>
            <w:r/>
            <w:r>
              <w:rPr>
                <w:b w:val="0"/>
                <w:i w:val="0"/>
                <w:sz w:val="18"/>
              </w:rPr>
              <w:t>Validité statistique</w:t>
            </w:r>
          </w:p>
        </w:tc>
        <w:tc>
          <w:tcPr>
            <w:tcW w:type="dxa" w:w="3249"/>
          </w:tcPr>
          <w:p>
            <w:r/>
            <w:r>
              <w:rPr>
                <w:b w:val="0"/>
                <w:i w:val="0"/>
                <w:sz w:val="18"/>
              </w:rPr>
              <w:t>Bootstrap par usager plutôt que par transaction.</w:t>
            </w:r>
          </w:p>
        </w:tc>
      </w:tr>
      <w:tr>
        <w:tc>
          <w:tcPr>
            <w:tcW w:type="dxa" w:w="3249"/>
          </w:tcPr>
          <w:p>
            <w:r/>
            <w:r>
              <w:rPr>
                <w:b w:val="0"/>
                <w:i w:val="0"/>
                <w:sz w:val="18"/>
              </w:rPr>
              <w:t>Surapprentissage</w:t>
            </w:r>
          </w:p>
        </w:tc>
        <w:tc>
          <w:tcPr>
            <w:tcW w:type="dxa" w:w="3249"/>
          </w:tcPr>
          <w:p>
            <w:r/>
            <w:r>
              <w:rPr>
                <w:b w:val="0"/>
                <w:i w:val="0"/>
                <w:sz w:val="18"/>
              </w:rPr>
              <w:t>Validité interne</w:t>
            </w:r>
          </w:p>
        </w:tc>
        <w:tc>
          <w:tcPr>
            <w:tcW w:type="dxa" w:w="3249"/>
          </w:tcPr>
          <w:p>
            <w:r/>
            <w:r>
              <w:rPr>
                <w:b w:val="0"/>
                <w:i w:val="0"/>
                <w:sz w:val="18"/>
              </w:rPr>
              <w:t>Arrêt précoce, régularisation, diagnostic automatique.</w:t>
            </w:r>
          </w:p>
        </w:tc>
      </w:tr>
      <w:tr>
        <w:tc>
          <w:tcPr>
            <w:tcW w:type="dxa" w:w="3249"/>
          </w:tcPr>
          <w:p>
            <w:r/>
            <w:r>
              <w:rPr>
                <w:b w:val="0"/>
                <w:i w:val="0"/>
                <w:sz w:val="18"/>
              </w:rPr>
              <w:t>Corpus de messages construit par l'auteur</w:t>
            </w:r>
          </w:p>
        </w:tc>
        <w:tc>
          <w:tcPr>
            <w:tcW w:type="dxa" w:w="3249"/>
          </w:tcPr>
          <w:p>
            <w:r/>
            <w:r>
              <w:rPr>
                <w:b w:val="0"/>
                <w:i w:val="0"/>
                <w:sz w:val="18"/>
              </w:rPr>
              <w:t>Validité externe</w:t>
            </w:r>
          </w:p>
        </w:tc>
        <w:tc>
          <w:tcPr>
            <w:tcW w:type="dxa" w:w="3249"/>
          </w:tcPr>
          <w:p>
            <w:r/>
            <w:r>
              <w:rPr>
                <w:b w:val="0"/>
                <w:i w:val="0"/>
                <w:sz w:val="18"/>
              </w:rPr>
              <w:t>Messages en français seulement ; lingala et swahili non couverts.</w:t>
            </w:r>
          </w:p>
        </w:tc>
      </w:tr>
      <w:tr>
        <w:tc>
          <w:tcPr>
            <w:tcW w:type="dxa" w:w="3249"/>
          </w:tcPr>
          <w:p>
            <w:r/>
            <w:r>
              <w:rPr>
                <w:b w:val="0"/>
                <w:i w:val="0"/>
                <w:sz w:val="18"/>
              </w:rPr>
              <w:t>Étiquettes réelles imparfaites</w:t>
            </w:r>
          </w:p>
        </w:tc>
        <w:tc>
          <w:tcPr>
            <w:tcW w:type="dxa" w:w="3249"/>
          </w:tcPr>
          <w:p>
            <w:r/>
            <w:r>
              <w:rPr>
                <w:b w:val="0"/>
                <w:i w:val="0"/>
                <w:sz w:val="18"/>
              </w:rPr>
              <w:t>Validité externe</w:t>
            </w:r>
          </w:p>
        </w:tc>
        <w:tc>
          <w:tcPr>
            <w:tcW w:type="dxa" w:w="3249"/>
          </w:tcPr>
          <w:p>
            <w:r/>
            <w:r>
              <w:rPr>
                <w:b w:val="0"/>
                <w:i w:val="0"/>
                <w:sz w:val="18"/>
              </w:rPr>
              <w:t>Fraudes non signalées, délai d'étiquetage ; les retours des institutions (BM-19) visent à les réduire.</w:t>
            </w:r>
          </w:p>
        </w:tc>
      </w:tr>
    </w:tbl>
    <w:p/>
    <w:p>
      <w:pPr>
        <w:spacing w:after="120"/>
      </w:pPr>
      <w:r>
        <w:rPr>
          <w:b w:val="0"/>
          <w:i/>
        </w:rPr>
        <w:t>Tableau II.32 — Menaces sur la validité.</w:t>
      </w:r>
    </w:p>
    <w:p>
      <w:pPr>
        <w:pStyle w:val="Heading3"/>
      </w:pPr>
      <w:r>
        <w:t>II.2.11 Démarche de validation sur données réelles</w:t>
      </w:r>
    </w:p>
    <w:p>
      <w:pPr>
        <w:spacing w:after="120"/>
      </w:pPr>
      <w:r>
        <w:rPr>
          <w:b w:val="0"/>
          <w:i w:val="0"/>
        </w:rPr>
        <w:t>Pour passer du prototype à un usage réel, la démarche proposée comporte cinq étapes :</w:t>
      </w:r>
    </w:p>
    <w:p>
      <w:pPr>
        <w:pStyle w:val="ListNumber"/>
      </w:pPr>
      <w:r>
        <w:rPr>
          <w:b/>
          <w:i w:val="0"/>
        </w:rPr>
        <w:t>accord de données</w:t>
      </w:r>
      <w:r>
        <w:rPr>
          <w:b w:val="0"/>
          <w:i w:val="0"/>
        </w:rPr>
        <w:t xml:space="preserve"> avec un opérateur, avec anonymisation ;</w:t>
      </w:r>
    </w:p>
    <w:p>
      <w:pPr>
        <w:pStyle w:val="ListNumber"/>
      </w:pPr>
      <w:r>
        <w:rPr>
          <w:b/>
          <w:i w:val="0"/>
        </w:rPr>
        <w:t>validation hors ligne</w:t>
      </w:r>
      <w:r>
        <w:rPr>
          <w:b w:val="0"/>
          <w:i w:val="0"/>
        </w:rPr>
        <w:t xml:space="preserve"> sur son historique, avec le même protocole ;</w:t>
      </w:r>
    </w:p>
    <w:p>
      <w:pPr>
        <w:pStyle w:val="ListNumber"/>
      </w:pPr>
      <w:r>
        <w:rPr>
          <w:b/>
          <w:i w:val="0"/>
        </w:rPr>
        <w:t>mode observation</w:t>
      </w:r>
      <w:r>
        <w:rPr>
          <w:b w:val="0"/>
          <w:i w:val="0"/>
        </w:rPr>
        <w:t xml:space="preserve"> de deux à quatre semaines : le système note les opérations sans rien bloquer ;</w:t>
      </w:r>
    </w:p>
    <w:p>
      <w:pPr>
        <w:pStyle w:val="ListNumber"/>
      </w:pPr>
      <w:r>
        <w:rPr>
          <w:b/>
          <w:i w:val="0"/>
        </w:rPr>
        <w:t>recalibrage</w:t>
      </w:r>
      <w:r>
        <w:rPr>
          <w:b w:val="0"/>
          <w:i w:val="0"/>
        </w:rPr>
        <w:t xml:space="preserve"> des seuils et des coûts ;</w:t>
      </w:r>
    </w:p>
    <w:p>
      <w:pPr>
        <w:pStyle w:val="ListNumber"/>
      </w:pPr>
      <w:r>
        <w:rPr>
          <w:b/>
          <w:i w:val="0"/>
        </w:rPr>
        <w:t>mise en service progressive</w:t>
      </w:r>
      <w:r>
        <w:rPr>
          <w:b w:val="0"/>
          <w:i w:val="0"/>
        </w:rPr>
        <w:t xml:space="preserve"> : vérification seulement, puis blocage des cas critiques.</w:t>
      </w:r>
    </w:p>
    <w:p>
      <w:pPr>
        <w:pStyle w:val="Heading3"/>
      </w:pPr>
      <w:r>
        <w:t>II.2.12 Outils et environnement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Domaine</w:t>
            </w:r>
          </w:p>
        </w:tc>
        <w:tc>
          <w:tcPr>
            <w:tcW w:type="dxa" w:w="4873"/>
            <w:shd w:val="clear" w:color="auto" w:fill="DCE6F7"/>
          </w:tcPr>
          <w:p>
            <w:r/>
            <w:r>
              <w:rPr>
                <w:b/>
                <w:i w:val="0"/>
                <w:sz w:val="18"/>
              </w:rPr>
              <w:t>Outils</w:t>
            </w:r>
          </w:p>
        </w:tc>
      </w:tr>
      <w:tr>
        <w:tc>
          <w:tcPr>
            <w:tcW w:type="dxa" w:w="4873"/>
          </w:tcPr>
          <w:p>
            <w:r/>
            <w:r>
              <w:rPr>
                <w:b w:val="0"/>
                <w:i w:val="0"/>
                <w:sz w:val="18"/>
              </w:rPr>
              <w:t>Langage, données</w:t>
            </w:r>
          </w:p>
        </w:tc>
        <w:tc>
          <w:tcPr>
            <w:tcW w:type="dxa" w:w="4873"/>
          </w:tcPr>
          <w:p>
            <w:r/>
            <w:r>
              <w:rPr>
                <w:b w:val="0"/>
                <w:i w:val="0"/>
                <w:sz w:val="18"/>
              </w:rPr>
              <w:t>Python 3.12, pandas, NumPy</w:t>
            </w:r>
          </w:p>
        </w:tc>
      </w:tr>
      <w:tr>
        <w:tc>
          <w:tcPr>
            <w:tcW w:type="dxa" w:w="4873"/>
          </w:tcPr>
          <w:p>
            <w:r/>
            <w:r>
              <w:rPr>
                <w:b w:val="0"/>
                <w:i w:val="0"/>
                <w:sz w:val="18"/>
              </w:rPr>
              <w:t>Apprentissage</w:t>
            </w:r>
          </w:p>
        </w:tc>
        <w:tc>
          <w:tcPr>
            <w:tcW w:type="dxa" w:w="4873"/>
          </w:tcPr>
          <w:p>
            <w:r/>
            <w:r>
              <w:rPr>
                <w:b w:val="0"/>
                <w:i w:val="0"/>
                <w:sz w:val="18"/>
              </w:rPr>
              <w:t>XGBoost 2.0, PyTorch 2.2 (LSTM, autoencodeur), scikit-learn</w:t>
            </w:r>
          </w:p>
        </w:tc>
      </w:tr>
      <w:tr>
        <w:tc>
          <w:tcPr>
            <w:tcW w:type="dxa" w:w="4873"/>
          </w:tcPr>
          <w:p>
            <w:r/>
            <w:r>
              <w:rPr>
                <w:b w:val="0"/>
                <w:i w:val="0"/>
                <w:sz w:val="18"/>
              </w:rPr>
              <w:t>Explicabilité</w:t>
            </w:r>
          </w:p>
        </w:tc>
        <w:tc>
          <w:tcPr>
            <w:tcW w:type="dxa" w:w="4873"/>
          </w:tcPr>
          <w:p>
            <w:r/>
            <w:r>
              <w:rPr>
                <w:b w:val="0"/>
                <w:i w:val="0"/>
                <w:sz w:val="18"/>
              </w:rPr>
              <w:t>SHAP (TreeSHAP)</w:t>
            </w:r>
          </w:p>
        </w:tc>
      </w:tr>
      <w:tr>
        <w:tc>
          <w:tcPr>
            <w:tcW w:type="dxa" w:w="4873"/>
          </w:tcPr>
          <w:p>
            <w:r/>
            <w:r>
              <w:rPr>
                <w:b w:val="0"/>
                <w:i w:val="0"/>
                <w:sz w:val="18"/>
              </w:rPr>
              <w:t>Suivi des expériences</w:t>
            </w:r>
          </w:p>
        </w:tc>
        <w:tc>
          <w:tcPr>
            <w:tcW w:type="dxa" w:w="4873"/>
          </w:tcPr>
          <w:p>
            <w:r/>
            <w:r>
              <w:rPr>
                <w:b w:val="0"/>
                <w:i w:val="0"/>
                <w:sz w:val="18"/>
              </w:rPr>
              <w:t>MLflow (registre des modèles)</w:t>
            </w:r>
          </w:p>
        </w:tc>
      </w:tr>
      <w:tr>
        <w:tc>
          <w:tcPr>
            <w:tcW w:type="dxa" w:w="4873"/>
          </w:tcPr>
          <w:p>
            <w:r/>
            <w:r>
              <w:rPr>
                <w:b w:val="0"/>
                <w:i w:val="0"/>
                <w:sz w:val="18"/>
              </w:rPr>
              <w:t>Services web</w:t>
            </w:r>
          </w:p>
        </w:tc>
        <w:tc>
          <w:tcPr>
            <w:tcW w:type="dxa" w:w="4873"/>
          </w:tcPr>
          <w:p>
            <w:r/>
            <w:r>
              <w:rPr>
                <w:b w:val="0"/>
                <w:i w:val="0"/>
                <w:sz w:val="18"/>
              </w:rPr>
              <w:t>FastAPI</w:t>
            </w:r>
          </w:p>
        </w:tc>
      </w:tr>
      <w:tr>
        <w:tc>
          <w:tcPr>
            <w:tcW w:type="dxa" w:w="4873"/>
          </w:tcPr>
          <w:p>
            <w:r/>
            <w:r>
              <w:rPr>
                <w:b w:val="0"/>
                <w:i w:val="0"/>
                <w:sz w:val="18"/>
              </w:rPr>
              <w:t>Interface</w:t>
            </w:r>
          </w:p>
        </w:tc>
        <w:tc>
          <w:tcPr>
            <w:tcW w:type="dxa" w:w="4873"/>
          </w:tcPr>
          <w:p>
            <w:r/>
            <w:r>
              <w:rPr>
                <w:b w:val="0"/>
                <w:i w:val="0"/>
                <w:sz w:val="18"/>
              </w:rPr>
              <w:t>Next.js, Tailwind CSS</w:t>
            </w:r>
          </w:p>
        </w:tc>
      </w:tr>
      <w:tr>
        <w:tc>
          <w:tcPr>
            <w:tcW w:type="dxa" w:w="4873"/>
          </w:tcPr>
          <w:p>
            <w:r/>
            <w:r>
              <w:rPr>
                <w:b w:val="0"/>
                <w:i w:val="0"/>
                <w:sz w:val="18"/>
              </w:rPr>
              <w:t>Données</w:t>
            </w:r>
          </w:p>
        </w:tc>
        <w:tc>
          <w:tcPr>
            <w:tcW w:type="dxa" w:w="4873"/>
          </w:tcPr>
          <w:p>
            <w:r/>
            <w:r>
              <w:rPr>
                <w:b w:val="0"/>
                <w:i w:val="0"/>
                <w:sz w:val="18"/>
              </w:rPr>
              <w:t>PostgreSQL / TimescaleDB, Redis, Kafka (Redpanda)</w:t>
            </w:r>
          </w:p>
        </w:tc>
      </w:tr>
      <w:tr>
        <w:tc>
          <w:tcPr>
            <w:tcW w:type="dxa" w:w="4873"/>
          </w:tcPr>
          <w:p>
            <w:r/>
            <w:r>
              <w:rPr>
                <w:b w:val="0"/>
                <w:i w:val="0"/>
                <w:sz w:val="18"/>
              </w:rPr>
              <w:t>Tests</w:t>
            </w:r>
          </w:p>
        </w:tc>
        <w:tc>
          <w:tcPr>
            <w:tcW w:type="dxa" w:w="4873"/>
          </w:tcPr>
          <w:p>
            <w:r/>
            <w:r>
              <w:rPr>
                <w:b w:val="0"/>
                <w:i w:val="0"/>
                <w:sz w:val="18"/>
              </w:rPr>
              <w:t>pytest</w:t>
            </w:r>
          </w:p>
        </w:tc>
      </w:tr>
      <w:tr>
        <w:tc>
          <w:tcPr>
            <w:tcW w:type="dxa" w:w="4873"/>
          </w:tcPr>
          <w:p>
            <w:r/>
            <w:r>
              <w:rPr>
                <w:b w:val="0"/>
                <w:i w:val="0"/>
                <w:sz w:val="18"/>
              </w:rPr>
              <w:t>Modélisation</w:t>
            </w:r>
          </w:p>
        </w:tc>
        <w:tc>
          <w:tcPr>
            <w:tcW w:type="dxa" w:w="4873"/>
          </w:tcPr>
          <w:p>
            <w:r/>
            <w:r>
              <w:rPr>
                <w:b w:val="0"/>
                <w:i w:val="0"/>
                <w:sz w:val="18"/>
              </w:rPr>
              <w:t>PlantUML</w:t>
            </w:r>
          </w:p>
        </w:tc>
      </w:tr>
      <w:tr>
        <w:tc>
          <w:tcPr>
            <w:tcW w:type="dxa" w:w="4873"/>
          </w:tcPr>
          <w:p>
            <w:r/>
            <w:r>
              <w:rPr>
                <w:b w:val="0"/>
                <w:i w:val="0"/>
                <w:sz w:val="18"/>
              </w:rPr>
              <w:t>Déploiement</w:t>
            </w:r>
          </w:p>
        </w:tc>
        <w:tc>
          <w:tcPr>
            <w:tcW w:type="dxa" w:w="4873"/>
          </w:tcPr>
          <w:p>
            <w:r/>
            <w:r>
              <w:rPr>
                <w:b w:val="0"/>
                <w:i w:val="0"/>
                <w:sz w:val="18"/>
              </w:rPr>
              <w:t>Docker, Docker Compose, Kubernetes</w:t>
            </w:r>
          </w:p>
        </w:tc>
      </w:tr>
    </w:tbl>
    <w:p/>
    <w:p>
      <w:pPr>
        <w:spacing w:after="120"/>
      </w:pPr>
      <w:r>
        <w:rPr>
          <w:b w:val="0"/>
          <w:i/>
        </w:rPr>
        <w:t>Tableau II.33 — Outils utilisés.</w:t>
      </w:r>
    </w:p>
    <w:p>
      <w:r>
        <w:br w:type="page"/>
      </w:r>
    </w:p>
    <w:p>
      <w:pPr>
        <w:pStyle w:val="Heading2"/>
      </w:pPr>
      <w:r>
        <w:t>SECTION 3. CONCEPTION DU SYSTÈME</w:t>
      </w:r>
    </w:p>
    <w:p>
      <w:pPr>
        <w:spacing w:after="120"/>
      </w:pPr>
      <w:r>
        <w:rPr>
          <w:b w:val="0"/>
          <w:i w:val="0"/>
        </w:rPr>
        <w:t>La conception traduit les besoins de la section 1 en une architecture logicielle concrète. Elle est présentée de la vue la plus générale (architecture) à la plus détaillée (moteur de détection, sécurité, déploiement).</w:t>
      </w:r>
    </w:p>
    <w:p>
      <w:pPr>
        <w:pStyle w:val="Heading3"/>
      </w:pPr>
      <w:r>
        <w:t>II.3.1 Principes d'architecture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Principe</w:t>
            </w:r>
          </w:p>
        </w:tc>
        <w:tc>
          <w:tcPr>
            <w:tcW w:type="dxa" w:w="3249"/>
            <w:shd w:val="clear" w:color="auto" w:fill="DCE6F7"/>
          </w:tcPr>
          <w:p>
            <w:r/>
            <w:r>
              <w:rPr>
                <w:b/>
                <w:i w:val="0"/>
                <w:sz w:val="18"/>
              </w:rPr>
              <w:t>Mise en œuvre</w:t>
            </w:r>
          </w:p>
        </w:tc>
        <w:tc>
          <w:tcPr>
            <w:tcW w:type="dxa" w:w="3249"/>
            <w:shd w:val="clear" w:color="auto" w:fill="DCE6F7"/>
          </w:tcPr>
          <w:p>
            <w:r/>
            <w:r>
              <w:rPr>
                <w:b/>
                <w:i w:val="0"/>
                <w:sz w:val="18"/>
              </w:rPr>
              <w:t>Besoins servis</w:t>
            </w:r>
          </w:p>
        </w:tc>
      </w:tr>
      <w:tr>
        <w:tc>
          <w:tcPr>
            <w:tcW w:type="dxa" w:w="3249"/>
          </w:tcPr>
          <w:p>
            <w:r/>
            <w:r>
              <w:rPr>
                <w:b/>
                <w:i w:val="0"/>
                <w:sz w:val="18"/>
              </w:rPr>
              <w:t>Microservices</w:t>
            </w:r>
          </w:p>
        </w:tc>
        <w:tc>
          <w:tcPr>
            <w:tcW w:type="dxa" w:w="3249"/>
          </w:tcPr>
          <w:p>
            <w:r/>
            <w:r>
              <w:rPr>
                <w:b w:val="0"/>
                <w:i w:val="0"/>
                <w:sz w:val="18"/>
              </w:rPr>
              <w:t>Intégration, notation, back-office, workers et tâches d'apprentissage sont déployables séparément</w:t>
            </w:r>
          </w:p>
        </w:tc>
        <w:tc>
          <w:tcPr>
            <w:tcW w:type="dxa" w:w="3249"/>
          </w:tcPr>
          <w:p>
            <w:r/>
            <w:r>
              <w:rPr>
                <w:b w:val="0"/>
                <w:i w:val="0"/>
                <w:sz w:val="18"/>
              </w:rPr>
              <w:t>BT-02, BT-27</w:t>
            </w:r>
          </w:p>
        </w:tc>
      </w:tr>
      <w:tr>
        <w:tc>
          <w:tcPr>
            <w:tcW w:type="dxa" w:w="3249"/>
          </w:tcPr>
          <w:p>
            <w:r/>
            <w:r>
              <w:rPr>
                <w:b/>
                <w:i w:val="0"/>
                <w:sz w:val="18"/>
              </w:rPr>
              <w:t>Architecture orientée événements</w:t>
            </w:r>
          </w:p>
        </w:tc>
        <w:tc>
          <w:tcPr>
            <w:tcW w:type="dxa" w:w="3249"/>
          </w:tcPr>
          <w:p>
            <w:r/>
            <w:r>
              <w:rPr>
                <w:b w:val="0"/>
                <w:i w:val="0"/>
                <w:sz w:val="18"/>
              </w:rPr>
              <w:t>Le chemin critique (décision) est synchrone ; tout le reste (enregistrement, alertes, audit) passe par Kafka, de façon asynchrone</w:t>
            </w:r>
          </w:p>
        </w:tc>
        <w:tc>
          <w:tcPr>
            <w:tcW w:type="dxa" w:w="3249"/>
          </w:tcPr>
          <w:p>
            <w:r/>
            <w:r>
              <w:rPr>
                <w:b w:val="0"/>
                <w:i w:val="0"/>
                <w:sz w:val="18"/>
              </w:rPr>
              <w:t>BT-01, BT-10</w:t>
            </w:r>
          </w:p>
        </w:tc>
      </w:tr>
      <w:tr>
        <w:tc>
          <w:tcPr>
            <w:tcW w:type="dxa" w:w="3249"/>
          </w:tcPr>
          <w:p>
            <w:r/>
            <w:r>
              <w:rPr>
                <w:b/>
                <w:i w:val="0"/>
                <w:sz w:val="18"/>
              </w:rPr>
              <w:t>Schéma pivot</w:t>
            </w:r>
          </w:p>
        </w:tc>
        <w:tc>
          <w:tcPr>
            <w:tcW w:type="dxa" w:w="3249"/>
          </w:tcPr>
          <w:p>
            <w:r/>
            <w:r>
              <w:rPr>
                <w:b w:val="0"/>
                <w:i w:val="0"/>
                <w:sz w:val="18"/>
              </w:rPr>
              <w:t>Un format unique (</w:t>
            </w:r>
            <w:r>
              <w:rPr>
                <w:rFonts w:ascii="Consolas" w:hAnsi="Consolas"/>
                <w:b w:val="0"/>
                <w:i w:val="0"/>
                <w:color w:val="1F3A8A"/>
                <w:sz w:val="18"/>
              </w:rPr>
              <w:t>UnifiedTransaction</w:t>
            </w:r>
            <w:r>
              <w:rPr>
                <w:b w:val="0"/>
                <w:i w:val="0"/>
                <w:sz w:val="18"/>
              </w:rPr>
              <w:t>) entre l'intégration et la notation</w:t>
            </w:r>
          </w:p>
        </w:tc>
        <w:tc>
          <w:tcPr>
            <w:tcW w:type="dxa" w:w="3249"/>
          </w:tcPr>
          <w:p>
            <w:r/>
            <w:r>
              <w:rPr>
                <w:b w:val="0"/>
                <w:i w:val="0"/>
                <w:sz w:val="18"/>
              </w:rPr>
              <w:t>BM-11, BT-06</w:t>
            </w:r>
          </w:p>
        </w:tc>
      </w:tr>
      <w:tr>
        <w:tc>
          <w:tcPr>
            <w:tcW w:type="dxa" w:w="3249"/>
          </w:tcPr>
          <w:p>
            <w:r/>
            <w:r>
              <w:rPr>
                <w:b/>
                <w:i w:val="0"/>
                <w:sz w:val="18"/>
              </w:rPr>
              <w:t>Défense en profondeur</w:t>
            </w:r>
          </w:p>
        </w:tc>
        <w:tc>
          <w:tcPr>
            <w:tcW w:type="dxa" w:w="3249"/>
          </w:tcPr>
          <w:p>
            <w:r/>
            <w:r>
              <w:rPr>
                <w:b w:val="0"/>
                <w:i w:val="0"/>
                <w:sz w:val="18"/>
              </w:rPr>
              <w:t>Modèle appris + règles métier + lois physiques ; les règles ne peuvent que renforcer la décision</w:t>
            </w:r>
          </w:p>
        </w:tc>
        <w:tc>
          <w:tcPr>
            <w:tcW w:type="dxa" w:w="3249"/>
          </w:tcPr>
          <w:p>
            <w:r/>
            <w:r>
              <w:rPr>
                <w:b w:val="0"/>
                <w:i w:val="0"/>
                <w:sz w:val="18"/>
              </w:rPr>
              <w:t>BM-03, BT-19</w:t>
            </w:r>
          </w:p>
        </w:tc>
      </w:tr>
      <w:tr>
        <w:tc>
          <w:tcPr>
            <w:tcW w:type="dxa" w:w="3249"/>
          </w:tcPr>
          <w:p>
            <w:r/>
            <w:r>
              <w:rPr>
                <w:b/>
                <w:i w:val="0"/>
                <w:sz w:val="18"/>
              </w:rPr>
              <w:t>Explicabilité par conception</w:t>
            </w:r>
          </w:p>
        </w:tc>
        <w:tc>
          <w:tcPr>
            <w:tcW w:type="dxa" w:w="3249"/>
          </w:tcPr>
          <w:p>
            <w:r/>
            <w:r>
              <w:rPr>
                <w:b w:val="0"/>
                <w:i w:val="0"/>
                <w:sz w:val="18"/>
              </w:rPr>
              <w:t>Chaque décision est accompagnée de son explication et de ses preuves</w:t>
            </w:r>
          </w:p>
        </w:tc>
        <w:tc>
          <w:tcPr>
            <w:tcW w:type="dxa" w:w="3249"/>
          </w:tcPr>
          <w:p>
            <w:r/>
            <w:r>
              <w:rPr>
                <w:b w:val="0"/>
                <w:i w:val="0"/>
                <w:sz w:val="18"/>
              </w:rPr>
              <w:t>BM-06, BT-14</w:t>
            </w:r>
          </w:p>
        </w:tc>
      </w:tr>
      <w:tr>
        <w:tc>
          <w:tcPr>
            <w:tcW w:type="dxa" w:w="3249"/>
          </w:tcPr>
          <w:p>
            <w:r/>
            <w:r>
              <w:rPr>
                <w:b/>
                <w:i w:val="0"/>
                <w:sz w:val="18"/>
              </w:rPr>
              <w:t>Évolutivité maîtrisée</w:t>
            </w:r>
          </w:p>
        </w:tc>
        <w:tc>
          <w:tcPr>
            <w:tcW w:type="dxa" w:w="3249"/>
          </w:tcPr>
          <w:p>
            <w:r/>
            <w:r>
              <w:rPr>
                <w:b w:val="0"/>
                <w:i w:val="0"/>
                <w:sz w:val="18"/>
              </w:rPr>
              <w:t>Un nouveau modèle n'est promu que s'il est meilleur et passe les contrôles</w:t>
            </w:r>
          </w:p>
        </w:tc>
        <w:tc>
          <w:tcPr>
            <w:tcW w:type="dxa" w:w="3249"/>
          </w:tcPr>
          <w:p>
            <w:r/>
            <w:r>
              <w:rPr>
                <w:b w:val="0"/>
                <w:i w:val="0"/>
                <w:sz w:val="18"/>
              </w:rPr>
              <w:t>BM-15, BT-17</w:t>
            </w:r>
          </w:p>
        </w:tc>
      </w:tr>
      <w:tr>
        <w:tc>
          <w:tcPr>
            <w:tcW w:type="dxa" w:w="3249"/>
          </w:tcPr>
          <w:p>
            <w:r/>
            <w:r>
              <w:rPr>
                <w:b/>
                <w:i w:val="0"/>
                <w:sz w:val="18"/>
              </w:rPr>
              <w:t>Sécurité et confidentialité</w:t>
            </w:r>
          </w:p>
        </w:tc>
        <w:tc>
          <w:tcPr>
            <w:tcW w:type="dxa" w:w="3249"/>
          </w:tcPr>
          <w:p>
            <w:r/>
            <w:r>
              <w:rPr>
                <w:b w:val="0"/>
                <w:i w:val="0"/>
                <w:sz w:val="18"/>
              </w:rPr>
              <w:t>Moindre privilège, isolement par institution, aucun service externe</w:t>
            </w:r>
          </w:p>
        </w:tc>
        <w:tc>
          <w:tcPr>
            <w:tcW w:type="dxa" w:w="3249"/>
          </w:tcPr>
          <w:p>
            <w:r/>
            <w:r>
              <w:rPr>
                <w:b w:val="0"/>
                <w:i w:val="0"/>
                <w:sz w:val="18"/>
              </w:rPr>
              <w:t>BT-20 à BT-23</w:t>
            </w:r>
          </w:p>
        </w:tc>
      </w:tr>
    </w:tbl>
    <w:p/>
    <w:p>
      <w:pPr>
        <w:spacing w:after="120"/>
      </w:pPr>
      <w:r>
        <w:rPr>
          <w:b w:val="0"/>
          <w:i/>
        </w:rPr>
        <w:t>Tableau II.34 — Principes d'architecture.</w:t>
      </w:r>
    </w:p>
    <w:p>
      <w:pPr>
        <w:pStyle w:val="Heading3"/>
      </w:pPr>
      <w:r>
        <w:t>II.3.2 Architecture logique</w:t>
      </w:r>
    </w:p>
    <w:p>
      <w:pPr>
        <w:spacing w:after="120"/>
      </w:pPr>
      <w:r>
        <w:rPr>
          <w:b w:val="0"/>
          <w:i w:val="0"/>
        </w:rPr>
        <w:t>Le système est organisé en couches. Le diagramme de composants montre les composants et leurs dépendances.</w:t>
      </w:r>
    </w:p>
    <w:p>
      <w:pPr>
        <w:jc w:val="center"/>
      </w:pPr>
      <w:r>
        <w:drawing>
          <wp:inline xmlns:a="http://schemas.openxmlformats.org/drawingml/2006/main" xmlns:pic="http://schemas.openxmlformats.org/drawingml/2006/picture">
            <wp:extent cx="5760000" cy="4120156"/>
            <wp:docPr id="20" name="Picture 20"/>
            <wp:cNvGraphicFramePr>
              <a:graphicFrameLocks noChangeAspect="1"/>
            </wp:cNvGraphicFramePr>
            <a:graphic>
              <a:graphicData uri="http://schemas.openxmlformats.org/drawingml/2006/picture">
                <pic:pic>
                  <pic:nvPicPr>
                    <pic:cNvPr id="0" name="diagramme_composants.png"/>
                    <pic:cNvPicPr/>
                  </pic:nvPicPr>
                  <pic:blipFill>
                    <a:blip r:embed="rId28"/>
                    <a:stretch>
                      <a:fillRect/>
                    </a:stretch>
                  </pic:blipFill>
                  <pic:spPr>
                    <a:xfrm>
                      <a:off x="0" y="0"/>
                      <a:ext cx="5760000" cy="4120156"/>
                    </a:xfrm>
                    <a:prstGeom prst="rect"/>
                  </pic:spPr>
                </pic:pic>
              </a:graphicData>
            </a:graphic>
          </wp:inline>
        </w:drawing>
      </w:r>
    </w:p>
    <w:p>
      <w:pPr>
        <w:jc w:val="center"/>
      </w:pPr>
      <w:r>
        <w:rPr>
          <w:b w:val="0"/>
          <w:i/>
          <w:sz w:val="18"/>
        </w:rPr>
        <w:t>Figure II.20 — Diagramme de composants (</w:t>
      </w:r>
      <w:r>
        <w:rPr>
          <w:rFonts w:ascii="Consolas" w:hAnsi="Consolas"/>
          <w:b w:val="0"/>
          <w:i/>
          <w:color w:val="1F3A8A"/>
          <w:sz w:val="18"/>
        </w:rPr>
        <w:t>docs/uml/diagramme_composants.puml</w:t>
      </w:r>
      <w:r>
        <w:rPr>
          <w:b w:val="0"/>
          <w:i/>
          <w:sz w:val="18"/>
        </w:rPr>
        <w:t>).</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Couche</w:t>
            </w:r>
          </w:p>
        </w:tc>
        <w:tc>
          <w:tcPr>
            <w:tcW w:type="dxa" w:w="3249"/>
            <w:shd w:val="clear" w:color="auto" w:fill="DCE6F7"/>
          </w:tcPr>
          <w:p>
            <w:r/>
            <w:r>
              <w:rPr>
                <w:b/>
                <w:i w:val="0"/>
                <w:sz w:val="18"/>
              </w:rPr>
              <w:t>Composants</w:t>
            </w:r>
          </w:p>
        </w:tc>
        <w:tc>
          <w:tcPr>
            <w:tcW w:type="dxa" w:w="3249"/>
            <w:shd w:val="clear" w:color="auto" w:fill="DCE6F7"/>
          </w:tcPr>
          <w:p>
            <w:r/>
            <w:r>
              <w:rPr>
                <w:b/>
                <w:i w:val="0"/>
                <w:sz w:val="18"/>
              </w:rPr>
              <w:t>Responsabilité</w:t>
            </w:r>
          </w:p>
        </w:tc>
      </w:tr>
      <w:tr>
        <w:tc>
          <w:tcPr>
            <w:tcW w:type="dxa" w:w="3249"/>
          </w:tcPr>
          <w:p>
            <w:r/>
            <w:r>
              <w:rPr>
                <w:b w:val="0"/>
                <w:i w:val="0"/>
                <w:sz w:val="18"/>
              </w:rPr>
              <w:t>Présentation</w:t>
            </w:r>
          </w:p>
        </w:tc>
        <w:tc>
          <w:tcPr>
            <w:tcW w:type="dxa" w:w="3249"/>
          </w:tcPr>
          <w:p>
            <w:r/>
            <w:r>
              <w:rPr>
                <w:b w:val="0"/>
                <w:i w:val="0"/>
                <w:sz w:val="18"/>
              </w:rPr>
              <w:t>Nginx, tableau de bord Next.js</w:t>
            </w:r>
          </w:p>
        </w:tc>
        <w:tc>
          <w:tcPr>
            <w:tcW w:type="dxa" w:w="3249"/>
          </w:tcPr>
          <w:p>
            <w:r/>
            <w:r>
              <w:rPr>
                <w:b w:val="0"/>
                <w:i w:val="0"/>
                <w:sz w:val="18"/>
              </w:rPr>
              <w:t>accès des utilisateurs internes</w:t>
            </w:r>
          </w:p>
        </w:tc>
      </w:tr>
      <w:tr>
        <w:tc>
          <w:tcPr>
            <w:tcW w:type="dxa" w:w="3249"/>
          </w:tcPr>
          <w:p>
            <w:r/>
            <w:r>
              <w:rPr>
                <w:b w:val="0"/>
                <w:i w:val="0"/>
                <w:sz w:val="18"/>
              </w:rPr>
              <w:t>Intégration (API publique)</w:t>
            </w:r>
          </w:p>
        </w:tc>
        <w:tc>
          <w:tcPr>
            <w:tcW w:type="dxa" w:w="3249"/>
          </w:tcPr>
          <w:p>
            <w:r/>
            <w:r>
              <w:rPr>
                <w:b w:val="0"/>
                <w:i w:val="0"/>
                <w:sz w:val="18"/>
              </w:rPr>
              <w:t>adaptateurs, format commun, clés et droits, retours, supervision</w:t>
            </w:r>
          </w:p>
        </w:tc>
        <w:tc>
          <w:tcPr>
            <w:tcW w:type="dxa" w:w="3249"/>
          </w:tcPr>
          <w:p>
            <w:r/>
            <w:r>
              <w:rPr>
                <w:b w:val="0"/>
                <w:i w:val="0"/>
                <w:sz w:val="18"/>
              </w:rPr>
              <w:t>point d'entrée de toutes les institutions</w:t>
            </w:r>
          </w:p>
        </w:tc>
      </w:tr>
      <w:tr>
        <w:tc>
          <w:tcPr>
            <w:tcW w:type="dxa" w:w="3249"/>
          </w:tcPr>
          <w:p>
            <w:r/>
            <w:r>
              <w:rPr>
                <w:b w:val="0"/>
                <w:i w:val="0"/>
                <w:sz w:val="18"/>
              </w:rPr>
              <w:t>Détection temps réel</w:t>
            </w:r>
          </w:p>
        </w:tc>
        <w:tc>
          <w:tcPr>
            <w:tcW w:type="dxa" w:w="3249"/>
          </w:tcPr>
          <w:p>
            <w:r/>
            <w:r>
              <w:rPr>
                <w:b w:val="0"/>
                <w:i w:val="0"/>
                <w:sz w:val="18"/>
              </w:rPr>
              <w:t>magasin de profils, lois physiques, modèle hybride, typologie, SHAP, NLP, recherche de cas, politique de décision</w:t>
            </w:r>
          </w:p>
        </w:tc>
        <w:tc>
          <w:tcPr>
            <w:tcW w:type="dxa" w:w="3249"/>
          </w:tcPr>
          <w:p>
            <w:r/>
            <w:r>
              <w:rPr>
                <w:b w:val="0"/>
                <w:i w:val="0"/>
                <w:sz w:val="18"/>
              </w:rPr>
              <w:t>décision en moins de 100 ms</w:t>
            </w:r>
          </w:p>
        </w:tc>
      </w:tr>
      <w:tr>
        <w:tc>
          <w:tcPr>
            <w:tcW w:type="dxa" w:w="3249"/>
          </w:tcPr>
          <w:p>
            <w:r/>
            <w:r>
              <w:rPr>
                <w:b w:val="0"/>
                <w:i w:val="0"/>
                <w:sz w:val="18"/>
              </w:rPr>
              <w:t>Traitement asynchrone</w:t>
            </w:r>
          </w:p>
        </w:tc>
        <w:tc>
          <w:tcPr>
            <w:tcW w:type="dxa" w:w="3249"/>
          </w:tcPr>
          <w:p>
            <w:r/>
            <w:r>
              <w:rPr>
                <w:b w:val="0"/>
                <w:i w:val="0"/>
                <w:sz w:val="18"/>
              </w:rPr>
              <w:t xml:space="preserve">Kafka ; workers </w:t>
            </w:r>
            <w:r>
              <w:rPr>
                <w:b w:val="0"/>
                <w:i/>
                <w:sz w:val="18"/>
              </w:rPr>
              <w:t>persister</w:t>
            </w:r>
            <w:r>
              <w:rPr>
                <w:b w:val="0"/>
                <w:i w:val="0"/>
                <w:sz w:val="18"/>
              </w:rPr>
              <w:t xml:space="preserve">, </w:t>
            </w:r>
            <w:r>
              <w:rPr>
                <w:b w:val="0"/>
                <w:i/>
                <w:sz w:val="18"/>
              </w:rPr>
              <w:t>alerter</w:t>
            </w:r>
            <w:r>
              <w:rPr>
                <w:b w:val="0"/>
                <w:i w:val="0"/>
                <w:sz w:val="18"/>
              </w:rPr>
              <w:t xml:space="preserve">, </w:t>
            </w:r>
            <w:r>
              <w:rPr>
                <w:b w:val="0"/>
                <w:i/>
                <w:sz w:val="18"/>
              </w:rPr>
              <w:t>auditor</w:t>
            </w:r>
          </w:p>
        </w:tc>
        <w:tc>
          <w:tcPr>
            <w:tcW w:type="dxa" w:w="3249"/>
          </w:tcPr>
          <w:p>
            <w:r/>
            <w:r>
              <w:rPr>
                <w:b w:val="0"/>
                <w:i w:val="0"/>
                <w:sz w:val="18"/>
              </w:rPr>
              <w:t>enregistrement, alertes, journal d'audit</w:t>
            </w:r>
          </w:p>
        </w:tc>
      </w:tr>
      <w:tr>
        <w:tc>
          <w:tcPr>
            <w:tcW w:type="dxa" w:w="3249"/>
          </w:tcPr>
          <w:p>
            <w:r/>
            <w:r>
              <w:rPr>
                <w:b w:val="0"/>
                <w:i w:val="0"/>
                <w:sz w:val="18"/>
              </w:rPr>
              <w:t>Back-office</w:t>
            </w:r>
          </w:p>
        </w:tc>
        <w:tc>
          <w:tcPr>
            <w:tcW w:type="dxa" w:w="3249"/>
          </w:tcPr>
          <w:p>
            <w:r/>
            <w:r>
              <w:rPr>
                <w:b w:val="0"/>
                <w:i w:val="0"/>
                <w:sz w:val="18"/>
              </w:rPr>
              <w:t>API interne : transactions, dossiers, rapports, audit, institutions, réentraînement</w:t>
            </w:r>
          </w:p>
        </w:tc>
        <w:tc>
          <w:tcPr>
            <w:tcW w:type="dxa" w:w="3249"/>
          </w:tcPr>
          <w:p>
            <w:r/>
            <w:r>
              <w:rPr>
                <w:b w:val="0"/>
                <w:i w:val="0"/>
                <w:sz w:val="18"/>
              </w:rPr>
              <w:t>travail des analystes et des administrateurs</w:t>
            </w:r>
          </w:p>
        </w:tc>
      </w:tr>
      <w:tr>
        <w:tc>
          <w:tcPr>
            <w:tcW w:type="dxa" w:w="3249"/>
          </w:tcPr>
          <w:p>
            <w:r/>
            <w:r>
              <w:rPr>
                <w:b w:val="0"/>
                <w:i w:val="0"/>
                <w:sz w:val="18"/>
              </w:rPr>
              <w:t>Apprentissage continu</w:t>
            </w:r>
          </w:p>
        </w:tc>
        <w:tc>
          <w:tcPr>
            <w:tcW w:type="dxa" w:w="3249"/>
          </w:tcPr>
          <w:p>
            <w:r/>
            <w:r>
              <w:rPr>
                <w:b w:val="0"/>
                <w:i w:val="0"/>
                <w:sz w:val="18"/>
              </w:rPr>
              <w:t>moniteur de dérive, planificateur, entraînement du challenger, MLflow</w:t>
            </w:r>
          </w:p>
        </w:tc>
        <w:tc>
          <w:tcPr>
            <w:tcW w:type="dxa" w:w="3249"/>
          </w:tcPr>
          <w:p>
            <w:r/>
            <w:r>
              <w:rPr>
                <w:b w:val="0"/>
                <w:i w:val="0"/>
                <w:sz w:val="18"/>
              </w:rPr>
              <w:t>adaptation du modèle</w:t>
            </w:r>
          </w:p>
        </w:tc>
      </w:tr>
      <w:tr>
        <w:tc>
          <w:tcPr>
            <w:tcW w:type="dxa" w:w="3249"/>
          </w:tcPr>
          <w:p>
            <w:r/>
            <w:r>
              <w:rPr>
                <w:b w:val="0"/>
                <w:i w:val="0"/>
                <w:sz w:val="18"/>
              </w:rPr>
              <w:t>Données</w:t>
            </w:r>
          </w:p>
        </w:tc>
        <w:tc>
          <w:tcPr>
            <w:tcW w:type="dxa" w:w="3249"/>
          </w:tcPr>
          <w:p>
            <w:r/>
            <w:r>
              <w:rPr>
                <w:b w:val="0"/>
                <w:i w:val="0"/>
                <w:sz w:val="18"/>
              </w:rPr>
              <w:t>PostgreSQL / TimescaleDB, Redis, artefacts des modèles</w:t>
            </w:r>
          </w:p>
        </w:tc>
        <w:tc>
          <w:tcPr>
            <w:tcW w:type="dxa" w:w="3249"/>
          </w:tcPr>
          <w:p>
            <w:r/>
            <w:r>
              <w:rPr>
                <w:b w:val="0"/>
                <w:i w:val="0"/>
                <w:sz w:val="18"/>
              </w:rPr>
              <w:t>persistance</w:t>
            </w:r>
          </w:p>
        </w:tc>
      </w:tr>
      <w:tr>
        <w:tc>
          <w:tcPr>
            <w:tcW w:type="dxa" w:w="3249"/>
          </w:tcPr>
          <w:p>
            <w:r/>
            <w:r>
              <w:rPr>
                <w:b w:val="0"/>
                <w:i w:val="0"/>
                <w:sz w:val="18"/>
              </w:rPr>
              <w:t>Supervision</w:t>
            </w:r>
          </w:p>
        </w:tc>
        <w:tc>
          <w:tcPr>
            <w:tcW w:type="dxa" w:w="3249"/>
          </w:tcPr>
          <w:p>
            <w:r/>
            <w:r>
              <w:rPr>
                <w:b w:val="0"/>
                <w:i w:val="0"/>
                <w:sz w:val="18"/>
              </w:rPr>
              <w:t>Prometheus, Grafana, Loki</w:t>
            </w:r>
          </w:p>
        </w:tc>
        <w:tc>
          <w:tcPr>
            <w:tcW w:type="dxa" w:w="3249"/>
          </w:tcPr>
          <w:p>
            <w:r/>
            <w:r>
              <w:rPr>
                <w:b w:val="0"/>
                <w:i w:val="0"/>
                <w:sz w:val="18"/>
              </w:rPr>
              <w:t>observabilité</w:t>
            </w:r>
          </w:p>
        </w:tc>
      </w:tr>
    </w:tbl>
    <w:p/>
    <w:p>
      <w:pPr>
        <w:spacing w:after="120"/>
      </w:pPr>
      <w:r>
        <w:rPr>
          <w:b w:val="0"/>
          <w:i/>
        </w:rPr>
        <w:t>Tableau II.35 — Couches de l'architecture.</w:t>
      </w:r>
    </w:p>
    <w:p>
      <w:pPr>
        <w:spacing w:after="120"/>
      </w:pPr>
      <w:r>
        <w:rPr>
          <w:b w:val="0"/>
          <w:i w:val="0"/>
        </w:rPr>
        <w:t xml:space="preserve">Quatre </w:t>
      </w:r>
      <w:r>
        <w:rPr>
          <w:b/>
          <w:i w:val="0"/>
        </w:rPr>
        <w:t>sujets Kafka</w:t>
      </w:r>
      <w:r>
        <w:rPr>
          <w:b w:val="0"/>
          <w:i w:val="0"/>
        </w:rPr>
        <w:t xml:space="preserve"> relient les composants : </w:t>
      </w:r>
      <w:r>
        <w:rPr>
          <w:rFonts w:ascii="Consolas" w:hAnsi="Consolas"/>
          <w:b w:val="0"/>
          <w:i w:val="0"/>
          <w:color w:val="1F3A8A"/>
          <w:sz w:val="18"/>
        </w:rPr>
        <w:t>transactions.scored</w:t>
      </w:r>
      <w:r>
        <w:rPr>
          <w:b w:val="0"/>
          <w:i w:val="0"/>
        </w:rPr>
        <w:t xml:space="preserve"> (toute opération notée), </w:t>
      </w:r>
      <w:r>
        <w:rPr>
          <w:rFonts w:ascii="Consolas" w:hAnsi="Consolas"/>
          <w:b w:val="0"/>
          <w:i w:val="0"/>
          <w:color w:val="1F3A8A"/>
          <w:sz w:val="18"/>
        </w:rPr>
        <w:t>fraud.alerts</w:t>
      </w:r>
      <w:r>
        <w:rPr>
          <w:b w:val="0"/>
          <w:i w:val="0"/>
        </w:rPr>
        <w:t xml:space="preserve"> (décisions VERIFY et BLOCK), </w:t>
      </w:r>
      <w:r>
        <w:rPr>
          <w:rFonts w:ascii="Consolas" w:hAnsi="Consolas"/>
          <w:b w:val="0"/>
          <w:i w:val="0"/>
          <w:color w:val="1F3A8A"/>
          <w:sz w:val="18"/>
        </w:rPr>
        <w:t>analyst.feedback</w:t>
      </w:r>
      <w:r>
        <w:rPr>
          <w:b w:val="0"/>
          <w:i w:val="0"/>
        </w:rPr>
        <w:t xml:space="preserve"> (verdicts) et </w:t>
      </w:r>
      <w:r>
        <w:rPr>
          <w:rFonts w:ascii="Consolas" w:hAnsi="Consolas"/>
          <w:b w:val="0"/>
          <w:i w:val="0"/>
          <w:color w:val="1F3A8A"/>
          <w:sz w:val="18"/>
        </w:rPr>
        <w:t>audit.logs</w:t>
      </w:r>
      <w:r>
        <w:rPr>
          <w:b w:val="0"/>
          <w:i w:val="0"/>
        </w:rPr>
        <w:t xml:space="preserve"> (actions des utilisateurs).</w:t>
      </w:r>
    </w:p>
    <w:p>
      <w:pPr>
        <w:pStyle w:val="Heading3"/>
      </w:pPr>
      <w:r>
        <w:t>II.3.3 Organisation en packages</w:t>
      </w:r>
    </w:p>
    <w:p>
      <w:pPr>
        <w:jc w:val="center"/>
      </w:pPr>
      <w:r>
        <w:drawing>
          <wp:inline xmlns:a="http://schemas.openxmlformats.org/drawingml/2006/main" xmlns:pic="http://schemas.openxmlformats.org/drawingml/2006/picture">
            <wp:extent cx="5760000" cy="3355741"/>
            <wp:docPr id="21" name="Picture 21"/>
            <wp:cNvGraphicFramePr>
              <a:graphicFrameLocks noChangeAspect="1"/>
            </wp:cNvGraphicFramePr>
            <a:graphic>
              <a:graphicData uri="http://schemas.openxmlformats.org/drawingml/2006/picture">
                <pic:pic>
                  <pic:nvPicPr>
                    <pic:cNvPr id="0" name="diagramme_packages.png"/>
                    <pic:cNvPicPr/>
                  </pic:nvPicPr>
                  <pic:blipFill>
                    <a:blip r:embed="rId29"/>
                    <a:stretch>
                      <a:fillRect/>
                    </a:stretch>
                  </pic:blipFill>
                  <pic:spPr>
                    <a:xfrm>
                      <a:off x="0" y="0"/>
                      <a:ext cx="5760000" cy="3355741"/>
                    </a:xfrm>
                    <a:prstGeom prst="rect"/>
                  </pic:spPr>
                </pic:pic>
              </a:graphicData>
            </a:graphic>
          </wp:inline>
        </w:drawing>
      </w:r>
    </w:p>
    <w:p>
      <w:pPr>
        <w:jc w:val="center"/>
      </w:pPr>
      <w:r>
        <w:rPr>
          <w:b w:val="0"/>
          <w:i/>
          <w:sz w:val="18"/>
        </w:rPr>
        <w:t>Figure II.21 — Diagramme de packages (</w:t>
      </w:r>
      <w:r>
        <w:rPr>
          <w:rFonts w:ascii="Consolas" w:hAnsi="Consolas"/>
          <w:b w:val="0"/>
          <w:i/>
          <w:color w:val="1F3A8A"/>
          <w:sz w:val="18"/>
        </w:rPr>
        <w:t>docs/uml/diagramme_packages.puml</w:t>
      </w:r>
      <w:r>
        <w:rPr>
          <w:b w:val="0"/>
          <w:i/>
          <w:sz w:val="18"/>
        </w:rPr>
        <w: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Package</w:t>
            </w:r>
          </w:p>
        </w:tc>
        <w:tc>
          <w:tcPr>
            <w:tcW w:type="dxa" w:w="4873"/>
            <w:shd w:val="clear" w:color="auto" w:fill="DCE6F7"/>
          </w:tcPr>
          <w:p>
            <w:r/>
            <w:r>
              <w:rPr>
                <w:b/>
                <w:i w:val="0"/>
                <w:sz w:val="18"/>
              </w:rPr>
              <w:t>Contenu</w:t>
            </w:r>
          </w:p>
        </w:tc>
      </w:tr>
      <w:tr>
        <w:tc>
          <w:tcPr>
            <w:tcW w:type="dxa" w:w="4873"/>
          </w:tcPr>
          <w:p>
            <w:r/>
            <w:r>
              <w:rPr>
                <w:rFonts w:ascii="Consolas" w:hAnsi="Consolas"/>
                <w:b w:val="0"/>
                <w:i w:val="0"/>
                <w:color w:val="1F3A8A"/>
                <w:sz w:val="18"/>
              </w:rPr>
              <w:t>frontend/</w:t>
            </w:r>
          </w:p>
        </w:tc>
        <w:tc>
          <w:tcPr>
            <w:tcW w:type="dxa" w:w="4873"/>
          </w:tcPr>
          <w:p>
            <w:r/>
            <w:r>
              <w:rPr>
                <w:b w:val="0"/>
                <w:i w:val="0"/>
                <w:sz w:val="18"/>
              </w:rPr>
              <w:t>tableau de bord : pages, composants, accès à l'API</w:t>
            </w:r>
          </w:p>
        </w:tc>
      </w:tr>
      <w:tr>
        <w:tc>
          <w:tcPr>
            <w:tcW w:type="dxa" w:w="4873"/>
          </w:tcPr>
          <w:p>
            <w:r/>
            <w:r>
              <w:rPr>
                <w:rFonts w:ascii="Consolas" w:hAnsi="Consolas"/>
                <w:b w:val="0"/>
                <w:i w:val="0"/>
                <w:color w:val="1F3A8A"/>
                <w:sz w:val="18"/>
              </w:rPr>
              <w:t>services/integration-layer</w:t>
            </w:r>
          </w:p>
        </w:tc>
        <w:tc>
          <w:tcPr>
            <w:tcW w:type="dxa" w:w="4873"/>
          </w:tcPr>
          <w:p>
            <w:r/>
            <w:r>
              <w:rPr>
                <w:b w:val="0"/>
                <w:i w:val="0"/>
                <w:sz w:val="18"/>
              </w:rPr>
              <w:t>API publique : adaptateurs, format commun, gestion des partenaires</w:t>
            </w:r>
          </w:p>
        </w:tc>
      </w:tr>
      <w:tr>
        <w:tc>
          <w:tcPr>
            <w:tcW w:type="dxa" w:w="4873"/>
          </w:tcPr>
          <w:p>
            <w:r/>
            <w:r>
              <w:rPr>
                <w:rFonts w:ascii="Consolas" w:hAnsi="Consolas"/>
                <w:b w:val="0"/>
                <w:i w:val="0"/>
                <w:color w:val="1F3A8A"/>
                <w:sz w:val="18"/>
              </w:rPr>
              <w:t>services/scoring-service</w:t>
            </w:r>
          </w:p>
        </w:tc>
        <w:tc>
          <w:tcPr>
            <w:tcW w:type="dxa" w:w="4873"/>
          </w:tcPr>
          <w:p>
            <w:r/>
            <w:r>
              <w:rPr>
                <w:b w:val="0"/>
                <w:i w:val="0"/>
                <w:sz w:val="18"/>
              </w:rPr>
              <w:t>service de décision en temps réel</w:t>
            </w:r>
          </w:p>
        </w:tc>
      </w:tr>
      <w:tr>
        <w:tc>
          <w:tcPr>
            <w:tcW w:type="dxa" w:w="4873"/>
          </w:tcPr>
          <w:p>
            <w:r/>
            <w:r>
              <w:rPr>
                <w:rFonts w:ascii="Consolas" w:hAnsi="Consolas"/>
                <w:b w:val="0"/>
                <w:i w:val="0"/>
                <w:color w:val="1F3A8A"/>
                <w:sz w:val="18"/>
              </w:rPr>
              <w:t>services/backoffice-api</w:t>
            </w:r>
          </w:p>
        </w:tc>
        <w:tc>
          <w:tcPr>
            <w:tcW w:type="dxa" w:w="4873"/>
          </w:tcPr>
          <w:p>
            <w:r/>
            <w:r>
              <w:rPr>
                <w:b w:val="0"/>
                <w:i w:val="0"/>
                <w:sz w:val="18"/>
              </w:rPr>
              <w:t>API interne, migrations de la base (Alembic)</w:t>
            </w:r>
          </w:p>
        </w:tc>
      </w:tr>
      <w:tr>
        <w:tc>
          <w:tcPr>
            <w:tcW w:type="dxa" w:w="4873"/>
          </w:tcPr>
          <w:p>
            <w:r/>
            <w:r>
              <w:rPr>
                <w:rFonts w:ascii="Consolas" w:hAnsi="Consolas"/>
                <w:b w:val="0"/>
                <w:i w:val="0"/>
                <w:color w:val="1F3A8A"/>
                <w:sz w:val="18"/>
              </w:rPr>
              <w:t>services/workers</w:t>
            </w:r>
          </w:p>
        </w:tc>
        <w:tc>
          <w:tcPr>
            <w:tcW w:type="dxa" w:w="4873"/>
          </w:tcPr>
          <w:p>
            <w:r/>
            <w:r>
              <w:rPr>
                <w:b w:val="0"/>
                <w:i w:val="0"/>
                <w:sz w:val="18"/>
              </w:rPr>
              <w:t xml:space="preserve">workers </w:t>
            </w:r>
            <w:r>
              <w:rPr>
                <w:b w:val="0"/>
                <w:i/>
                <w:sz w:val="18"/>
              </w:rPr>
              <w:t>persister</w:t>
            </w:r>
            <w:r>
              <w:rPr>
                <w:b w:val="0"/>
                <w:i w:val="0"/>
                <w:sz w:val="18"/>
              </w:rPr>
              <w:t xml:space="preserve">, </w:t>
            </w:r>
            <w:r>
              <w:rPr>
                <w:b w:val="0"/>
                <w:i/>
                <w:sz w:val="18"/>
              </w:rPr>
              <w:t>alerter</w:t>
            </w:r>
            <w:r>
              <w:rPr>
                <w:b w:val="0"/>
                <w:i w:val="0"/>
                <w:sz w:val="18"/>
              </w:rPr>
              <w:t xml:space="preserve">, </w:t>
            </w:r>
            <w:r>
              <w:rPr>
                <w:b w:val="0"/>
                <w:i/>
                <w:sz w:val="18"/>
              </w:rPr>
              <w:t>auditor</w:t>
            </w:r>
          </w:p>
        </w:tc>
      </w:tr>
      <w:tr>
        <w:tc>
          <w:tcPr>
            <w:tcW w:type="dxa" w:w="4873"/>
          </w:tcPr>
          <w:p>
            <w:r/>
            <w:r>
              <w:rPr>
                <w:rFonts w:ascii="Consolas" w:hAnsi="Consolas"/>
                <w:b w:val="0"/>
                <w:i w:val="0"/>
                <w:color w:val="1F3A8A"/>
                <w:sz w:val="18"/>
              </w:rPr>
              <w:t>ml/</w:t>
            </w:r>
          </w:p>
        </w:tc>
        <w:tc>
          <w:tcPr>
            <w:tcW w:type="dxa" w:w="4873"/>
          </w:tcPr>
          <w:p>
            <w:r/>
            <w:r>
              <w:rPr>
                <w:b w:val="0"/>
                <w:i w:val="0"/>
                <w:sz w:val="18"/>
              </w:rPr>
              <w:t>générateur, variables, lois physiques, modèles, entraînement, mise en service, surveillance, réentraînement</w:t>
            </w:r>
          </w:p>
        </w:tc>
      </w:tr>
      <w:tr>
        <w:tc>
          <w:tcPr>
            <w:tcW w:type="dxa" w:w="4873"/>
          </w:tcPr>
          <w:p>
            <w:r/>
            <w:r>
              <w:rPr>
                <w:rFonts w:ascii="Consolas" w:hAnsi="Consolas"/>
                <w:b w:val="0"/>
                <w:i w:val="0"/>
                <w:color w:val="1F3A8A"/>
                <w:sz w:val="18"/>
              </w:rPr>
              <w:t>shared/</w:t>
            </w:r>
          </w:p>
        </w:tc>
        <w:tc>
          <w:tcPr>
            <w:tcW w:type="dxa" w:w="4873"/>
          </w:tcPr>
          <w:p>
            <w:r/>
            <w:r>
              <w:rPr>
                <w:b w:val="0"/>
                <w:i w:val="0"/>
                <w:sz w:val="18"/>
              </w:rPr>
              <w:t>modèles de base, schémas, sujets Kafka, NLP, recherche de cas, utilitaires (taux de change, clés d'API)</w:t>
            </w:r>
          </w:p>
        </w:tc>
      </w:tr>
      <w:tr>
        <w:tc>
          <w:tcPr>
            <w:tcW w:type="dxa" w:w="4873"/>
          </w:tcPr>
          <w:p>
            <w:r/>
            <w:r>
              <w:rPr>
                <w:rFonts w:ascii="Consolas" w:hAnsi="Consolas"/>
                <w:b w:val="0"/>
                <w:i w:val="0"/>
                <w:color w:val="1F3A8A"/>
                <w:sz w:val="18"/>
              </w:rPr>
              <w:t>infra/</w:t>
            </w:r>
          </w:p>
        </w:tc>
        <w:tc>
          <w:tcPr>
            <w:tcW w:type="dxa" w:w="4873"/>
          </w:tcPr>
          <w:p>
            <w:r/>
            <w:r>
              <w:rPr>
                <w:b w:val="0"/>
                <w:i w:val="0"/>
                <w:sz w:val="18"/>
              </w:rPr>
              <w:t>Nginx, Prometheus, Grafana, Loki, Kubernetes</w:t>
            </w:r>
          </w:p>
        </w:tc>
      </w:tr>
    </w:tbl>
    <w:p/>
    <w:p>
      <w:pPr>
        <w:spacing w:after="120"/>
      </w:pPr>
      <w:r>
        <w:rPr>
          <w:b w:val="0"/>
          <w:i/>
        </w:rPr>
        <w:t>Tableau II.36 — Packages du système.</w:t>
      </w:r>
    </w:p>
    <w:p>
      <w:pPr>
        <w:pStyle w:val="Heading3"/>
      </w:pPr>
      <w:r>
        <w:t>II.3.4 Conception de la base de données</w:t>
      </w:r>
    </w:p>
    <w:p>
      <w:pPr>
        <w:pStyle w:val="Heading3"/>
      </w:pPr>
      <w:r>
        <w:t>a) Diagramme de classes</w:t>
      </w:r>
    </w:p>
    <w:p>
      <w:pPr>
        <w:jc w:val="center"/>
      </w:pPr>
      <w:r>
        <w:drawing>
          <wp:inline xmlns:a="http://schemas.openxmlformats.org/drawingml/2006/main" xmlns:pic="http://schemas.openxmlformats.org/drawingml/2006/picture">
            <wp:extent cx="5760000" cy="4577344"/>
            <wp:docPr id="22" name="Picture 22"/>
            <wp:cNvGraphicFramePr>
              <a:graphicFrameLocks noChangeAspect="1"/>
            </wp:cNvGraphicFramePr>
            <a:graphic>
              <a:graphicData uri="http://schemas.openxmlformats.org/drawingml/2006/picture">
                <pic:pic>
                  <pic:nvPicPr>
                    <pic:cNvPr id="0" name="diagramme_classes.png"/>
                    <pic:cNvPicPr/>
                  </pic:nvPicPr>
                  <pic:blipFill>
                    <a:blip r:embed="rId30"/>
                    <a:stretch>
                      <a:fillRect/>
                    </a:stretch>
                  </pic:blipFill>
                  <pic:spPr>
                    <a:xfrm>
                      <a:off x="0" y="0"/>
                      <a:ext cx="5760000" cy="4577344"/>
                    </a:xfrm>
                    <a:prstGeom prst="rect"/>
                  </pic:spPr>
                </pic:pic>
              </a:graphicData>
            </a:graphic>
          </wp:inline>
        </w:drawing>
      </w:r>
    </w:p>
    <w:p>
      <w:pPr>
        <w:jc w:val="center"/>
      </w:pPr>
      <w:r>
        <w:rPr>
          <w:b w:val="0"/>
          <w:i/>
          <w:sz w:val="18"/>
        </w:rPr>
        <w:t>Figure II.22 — Diagramme de classes (</w:t>
      </w:r>
      <w:r>
        <w:rPr>
          <w:rFonts w:ascii="Consolas" w:hAnsi="Consolas"/>
          <w:b w:val="0"/>
          <w:i/>
          <w:color w:val="1F3A8A"/>
          <w:sz w:val="18"/>
        </w:rPr>
        <w:t>docs/uml/diagramme_classes.puml</w:t>
      </w:r>
      <w:r>
        <w:rPr>
          <w:b w:val="0"/>
          <w:i/>
          <w:sz w:val="18"/>
        </w:rPr>
        <w:t>).</w:t>
      </w:r>
    </w:p>
    <w:p>
      <w:pPr>
        <w:pStyle w:val="Heading3"/>
      </w:pPr>
      <w:r>
        <w:t>b) Description des tables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Table</w:t>
            </w:r>
          </w:p>
        </w:tc>
        <w:tc>
          <w:tcPr>
            <w:tcW w:type="dxa" w:w="3249"/>
            <w:shd w:val="clear" w:color="auto" w:fill="DCE6F7"/>
          </w:tcPr>
          <w:p>
            <w:r/>
            <w:r>
              <w:rPr>
                <w:b/>
                <w:i w:val="0"/>
                <w:sz w:val="18"/>
              </w:rPr>
              <w:t>Rôle</w:t>
            </w:r>
          </w:p>
        </w:tc>
        <w:tc>
          <w:tcPr>
            <w:tcW w:type="dxa" w:w="3249"/>
            <w:shd w:val="clear" w:color="auto" w:fill="DCE6F7"/>
          </w:tcPr>
          <w:p>
            <w:r/>
            <w:r>
              <w:rPr>
                <w:b/>
                <w:i w:val="0"/>
                <w:sz w:val="18"/>
              </w:rPr>
              <w:t>Particularités</w:t>
            </w:r>
          </w:p>
        </w:tc>
      </w:tr>
      <w:tr>
        <w:tc>
          <w:tcPr>
            <w:tcW w:type="dxa" w:w="3249"/>
          </w:tcPr>
          <w:p>
            <w:r/>
            <w:r>
              <w:rPr>
                <w:rFonts w:ascii="Consolas" w:hAnsi="Consolas"/>
                <w:b w:val="0"/>
                <w:i w:val="0"/>
                <w:color w:val="1F3A8A"/>
                <w:sz w:val="18"/>
              </w:rPr>
              <w:t>scored_transactions</w:t>
            </w:r>
          </w:p>
        </w:tc>
        <w:tc>
          <w:tcPr>
            <w:tcW w:type="dxa" w:w="3249"/>
          </w:tcPr>
          <w:p>
            <w:r/>
            <w:r>
              <w:rPr>
                <w:b w:val="0"/>
                <w:i w:val="0"/>
                <w:sz w:val="18"/>
              </w:rPr>
              <w:t>toute opération notée : données, décision, explication, variables, étiquette</w:t>
            </w:r>
          </w:p>
        </w:tc>
        <w:tc>
          <w:tcPr>
            <w:tcW w:type="dxa" w:w="3249"/>
          </w:tcPr>
          <w:p>
            <w:r/>
            <w:r>
              <w:rPr>
                <w:b w:val="0"/>
                <w:i w:val="0"/>
                <w:sz w:val="18"/>
              </w:rPr>
              <w:t>hypertable TimescaleDB partitionnée par le temps ; clé (</w:t>
            </w:r>
            <w:r>
              <w:rPr>
                <w:rFonts w:ascii="Consolas" w:hAnsi="Consolas"/>
                <w:b w:val="0"/>
                <w:i w:val="0"/>
                <w:color w:val="1F3A8A"/>
                <w:sz w:val="18"/>
              </w:rPr>
              <w:t>transaction_id</w:t>
            </w:r>
            <w:r>
              <w:rPr>
                <w:b w:val="0"/>
                <w:i w:val="0"/>
                <w:sz w:val="18"/>
              </w:rPr>
              <w:t xml:space="preserve">, </w:t>
            </w:r>
            <w:r>
              <w:rPr>
                <w:rFonts w:ascii="Consolas" w:hAnsi="Consolas"/>
                <w:b w:val="0"/>
                <w:i w:val="0"/>
                <w:color w:val="1F3A8A"/>
                <w:sz w:val="18"/>
              </w:rPr>
              <w:t>tx_time</w:t>
            </w:r>
            <w:r>
              <w:rPr>
                <w:b w:val="0"/>
                <w:i w:val="0"/>
                <w:sz w:val="18"/>
              </w:rPr>
              <w:t>) ; rattachée à une institution</w:t>
            </w:r>
          </w:p>
        </w:tc>
      </w:tr>
      <w:tr>
        <w:tc>
          <w:tcPr>
            <w:tcW w:type="dxa" w:w="3249"/>
          </w:tcPr>
          <w:p>
            <w:r/>
            <w:r>
              <w:rPr>
                <w:rFonts w:ascii="Consolas" w:hAnsi="Consolas"/>
                <w:b w:val="0"/>
                <w:i w:val="0"/>
                <w:color w:val="1F3A8A"/>
                <w:sz w:val="18"/>
              </w:rPr>
              <w:t>cases</w:t>
            </w:r>
          </w:p>
        </w:tc>
        <w:tc>
          <w:tcPr>
            <w:tcW w:type="dxa" w:w="3249"/>
          </w:tcPr>
          <w:p>
            <w:r/>
            <w:r>
              <w:rPr>
                <w:b w:val="0"/>
                <w:i w:val="0"/>
                <w:sz w:val="18"/>
              </w:rPr>
              <w:t>dossier d'alerte : statut, affectation, résolution</w:t>
            </w:r>
          </w:p>
        </w:tc>
        <w:tc>
          <w:tcPr>
            <w:tcW w:type="dxa" w:w="3249"/>
          </w:tcPr>
          <w:p>
            <w:r/>
            <w:r>
              <w:rPr>
                <w:b w:val="0"/>
                <w:i w:val="0"/>
                <w:sz w:val="18"/>
              </w:rPr>
              <w:t>statuts OUVERT, EN_COURS, FRAUDE_CONFIRMEE, FAUX_POSITIF</w:t>
            </w:r>
          </w:p>
        </w:tc>
      </w:tr>
      <w:tr>
        <w:tc>
          <w:tcPr>
            <w:tcW w:type="dxa" w:w="3249"/>
          </w:tcPr>
          <w:p>
            <w:r/>
            <w:r>
              <w:rPr>
                <w:rFonts w:ascii="Consolas" w:hAnsi="Consolas"/>
                <w:b w:val="0"/>
                <w:i w:val="0"/>
                <w:color w:val="1F3A8A"/>
                <w:sz w:val="18"/>
              </w:rPr>
              <w:t>notifications</w:t>
            </w:r>
          </w:p>
        </w:tc>
        <w:tc>
          <w:tcPr>
            <w:tcW w:type="dxa" w:w="3249"/>
          </w:tcPr>
          <w:p>
            <w:r/>
            <w:r>
              <w:rPr>
                <w:b w:val="0"/>
                <w:i w:val="0"/>
                <w:sz w:val="18"/>
              </w:rPr>
              <w:t>SMS et e-mails envoyés</w:t>
            </w:r>
          </w:p>
        </w:tc>
        <w:tc>
          <w:tcPr>
            <w:tcW w:type="dxa" w:w="3249"/>
          </w:tcPr>
          <w:p>
            <w:r/>
            <w:r>
              <w:rPr>
                <w:b w:val="0"/>
                <w:i w:val="0"/>
                <w:sz w:val="18"/>
              </w:rPr>
              <w:t>liées au dossier</w:t>
            </w:r>
          </w:p>
        </w:tc>
      </w:tr>
      <w:tr>
        <w:tc>
          <w:tcPr>
            <w:tcW w:type="dxa" w:w="3249"/>
          </w:tcPr>
          <w:p>
            <w:r/>
            <w:r>
              <w:rPr>
                <w:rFonts w:ascii="Consolas" w:hAnsi="Consolas"/>
                <w:b w:val="0"/>
                <w:i w:val="0"/>
                <w:color w:val="1F3A8A"/>
                <w:sz w:val="18"/>
              </w:rPr>
              <w:t>audit_logs</w:t>
            </w:r>
          </w:p>
        </w:tc>
        <w:tc>
          <w:tcPr>
            <w:tcW w:type="dxa" w:w="3249"/>
          </w:tcPr>
          <w:p>
            <w:r/>
            <w:r>
              <w:rPr>
                <w:b w:val="0"/>
                <w:i w:val="0"/>
                <w:sz w:val="18"/>
              </w:rPr>
              <w:t>journal d'audit inaltérable</w:t>
            </w:r>
          </w:p>
        </w:tc>
        <w:tc>
          <w:tcPr>
            <w:tcW w:type="dxa" w:w="3249"/>
          </w:tcPr>
          <w:p>
            <w:r/>
            <w:r>
              <w:rPr>
                <w:b w:val="0"/>
                <w:i w:val="0"/>
                <w:sz w:val="18"/>
              </w:rPr>
              <w:t xml:space="preserve">chaînage </w:t>
            </w:r>
            <w:r>
              <w:rPr>
                <w:rFonts w:ascii="Consolas" w:hAnsi="Consolas"/>
                <w:b w:val="0"/>
                <w:i w:val="0"/>
                <w:color w:val="1F3A8A"/>
                <w:sz w:val="18"/>
              </w:rPr>
              <w:t>prev_hash</w:t>
            </w:r>
            <w:r>
              <w:rPr>
                <w:b w:val="0"/>
                <w:i w:val="0"/>
                <w:sz w:val="18"/>
              </w:rPr>
              <w:t xml:space="preserve"> → </w:t>
            </w:r>
            <w:r>
              <w:rPr>
                <w:rFonts w:ascii="Consolas" w:hAnsi="Consolas"/>
                <w:b w:val="0"/>
                <w:i w:val="0"/>
                <w:color w:val="1F3A8A"/>
                <w:sz w:val="18"/>
              </w:rPr>
              <w:t>hash</w:t>
            </w:r>
            <w:r>
              <w:rPr>
                <w:b w:val="0"/>
                <w:i w:val="0"/>
                <w:sz w:val="18"/>
              </w:rPr>
              <w:t xml:space="preserve"> (SHA-256) ; modification et suppression interdites par déclencheur</w:t>
            </w:r>
          </w:p>
        </w:tc>
      </w:tr>
      <w:tr>
        <w:tc>
          <w:tcPr>
            <w:tcW w:type="dxa" w:w="3249"/>
          </w:tcPr>
          <w:p>
            <w:r/>
            <w:r>
              <w:rPr>
                <w:rFonts w:ascii="Consolas" w:hAnsi="Consolas"/>
                <w:b w:val="0"/>
                <w:i w:val="0"/>
                <w:color w:val="1F3A8A"/>
                <w:sz w:val="18"/>
              </w:rPr>
              <w:t>bo_users</w:t>
            </w:r>
          </w:p>
        </w:tc>
        <w:tc>
          <w:tcPr>
            <w:tcW w:type="dxa" w:w="3249"/>
          </w:tcPr>
          <w:p>
            <w:r/>
            <w:r>
              <w:rPr>
                <w:b w:val="0"/>
                <w:i w:val="0"/>
                <w:sz w:val="18"/>
              </w:rPr>
              <w:t>utilisateurs internes</w:t>
            </w:r>
          </w:p>
        </w:tc>
        <w:tc>
          <w:tcPr>
            <w:tcW w:type="dxa" w:w="3249"/>
          </w:tcPr>
          <w:p>
            <w:r/>
            <w:r>
              <w:rPr>
                <w:b w:val="0"/>
                <w:i w:val="0"/>
                <w:sz w:val="18"/>
              </w:rPr>
              <w:t>rôle ANALYSTE, SUPERVISEUR ou ADMIN ; mot de passe haché par bcrypt</w:t>
            </w:r>
          </w:p>
        </w:tc>
      </w:tr>
      <w:tr>
        <w:tc>
          <w:tcPr>
            <w:tcW w:type="dxa" w:w="3249"/>
          </w:tcPr>
          <w:p>
            <w:r/>
            <w:r>
              <w:rPr>
                <w:rFonts w:ascii="Consolas" w:hAnsi="Consolas"/>
                <w:b w:val="0"/>
                <w:i w:val="0"/>
                <w:color w:val="1F3A8A"/>
                <w:sz w:val="18"/>
              </w:rPr>
              <w:t>institutions</w:t>
            </w:r>
          </w:p>
        </w:tc>
        <w:tc>
          <w:tcPr>
            <w:tcW w:type="dxa" w:w="3249"/>
          </w:tcPr>
          <w:p>
            <w:r/>
            <w:r>
              <w:rPr>
                <w:b w:val="0"/>
                <w:i w:val="0"/>
                <w:sz w:val="18"/>
              </w:rPr>
              <w:t>partenaires de l'API</w:t>
            </w:r>
          </w:p>
        </w:tc>
        <w:tc>
          <w:tcPr>
            <w:tcW w:type="dxa" w:w="3249"/>
          </w:tcPr>
          <w:p>
            <w:r/>
            <w:r>
              <w:rPr>
                <w:b w:val="0"/>
                <w:i w:val="0"/>
                <w:sz w:val="18"/>
              </w:rPr>
              <w:t>type, droits, formats natifs, empreinte de la clé</w:t>
            </w:r>
          </w:p>
        </w:tc>
      </w:tr>
      <w:tr>
        <w:tc>
          <w:tcPr>
            <w:tcW w:type="dxa" w:w="3249"/>
          </w:tcPr>
          <w:p>
            <w:r/>
            <w:r>
              <w:rPr>
                <w:rFonts w:ascii="Consolas" w:hAnsi="Consolas"/>
                <w:b w:val="0"/>
                <w:i w:val="0"/>
                <w:color w:val="1F3A8A"/>
                <w:sz w:val="18"/>
              </w:rPr>
              <w:t>model_registry</w:t>
            </w:r>
          </w:p>
        </w:tc>
        <w:tc>
          <w:tcPr>
            <w:tcW w:type="dxa" w:w="3249"/>
          </w:tcPr>
          <w:p>
            <w:r/>
            <w:r>
              <w:rPr>
                <w:b w:val="0"/>
                <w:i w:val="0"/>
                <w:sz w:val="18"/>
              </w:rPr>
              <w:t>versions des modèles</w:t>
            </w:r>
          </w:p>
        </w:tc>
        <w:tc>
          <w:tcPr>
            <w:tcW w:type="dxa" w:w="3249"/>
          </w:tcPr>
          <w:p>
            <w:r/>
            <w:r>
              <w:rPr>
                <w:b w:val="0"/>
                <w:i w:val="0"/>
                <w:sz w:val="18"/>
              </w:rPr>
              <w:t>statut CHAMPION, CHALLENGER, ARCHIVE ou REJETE ; métriques</w:t>
            </w:r>
          </w:p>
        </w:tc>
      </w:tr>
      <w:tr>
        <w:tc>
          <w:tcPr>
            <w:tcW w:type="dxa" w:w="3249"/>
          </w:tcPr>
          <w:p>
            <w:r/>
            <w:r>
              <w:rPr>
                <w:rFonts w:ascii="Consolas" w:hAnsi="Consolas"/>
                <w:b w:val="0"/>
                <w:i w:val="0"/>
                <w:color w:val="1F3A8A"/>
                <w:sz w:val="18"/>
              </w:rPr>
              <w:t>retrain_events</w:t>
            </w:r>
            <w:r>
              <w:rPr>
                <w:b w:val="0"/>
                <w:i w:val="0"/>
                <w:sz w:val="18"/>
              </w:rPr>
              <w:t xml:space="preserve">, </w:t>
            </w:r>
            <w:r>
              <w:rPr>
                <w:rFonts w:ascii="Consolas" w:hAnsi="Consolas"/>
                <w:b w:val="0"/>
                <w:i w:val="0"/>
                <w:color w:val="1F3A8A"/>
                <w:sz w:val="18"/>
              </w:rPr>
              <w:t>retrain_state</w:t>
            </w:r>
          </w:p>
        </w:tc>
        <w:tc>
          <w:tcPr>
            <w:tcW w:type="dxa" w:w="3249"/>
          </w:tcPr>
          <w:p>
            <w:r/>
            <w:r>
              <w:rPr>
                <w:b w:val="0"/>
                <w:i w:val="0"/>
                <w:sz w:val="18"/>
              </w:rPr>
              <w:t>journal et signaux de l'apprentissage continu</w:t>
            </w:r>
          </w:p>
        </w:tc>
        <w:tc>
          <w:tcPr>
            <w:tcW w:type="dxa" w:w="3249"/>
          </w:tcPr>
          <w:p>
            <w:r/>
            <w:r>
              <w:rPr>
                <w:b w:val="0"/>
                <w:i w:val="0"/>
                <w:sz w:val="18"/>
              </w:rPr>
              <w:t>déclencheur AUTO ou MANUEL, motifs</w:t>
            </w:r>
          </w:p>
        </w:tc>
      </w:tr>
    </w:tbl>
    <w:p/>
    <w:p>
      <w:pPr>
        <w:spacing w:after="120"/>
      </w:pPr>
      <w:r>
        <w:rPr>
          <w:b w:val="0"/>
          <w:i/>
        </w:rPr>
        <w:t>Tableau II.37 — Tables de la base de données.</w:t>
      </w:r>
    </w:p>
    <w:p>
      <w:pPr>
        <w:pStyle w:val="Heading3"/>
      </w:pPr>
      <w:r>
        <w:t>c) Le magasin de profils</w:t>
      </w:r>
    </w:p>
    <w:p>
      <w:pPr>
        <w:spacing w:after="120"/>
      </w:pPr>
      <w:r>
        <w:rPr>
          <w:b w:val="0"/>
          <w:i w:val="0"/>
        </w:rPr>
        <w:t xml:space="preserve">L'état comportemental de chaque client est conservé dans </w:t>
      </w:r>
      <w:r>
        <w:rPr>
          <w:b/>
          <w:i w:val="0"/>
        </w:rPr>
        <w:t>Redis</w:t>
      </w:r>
      <w:r>
        <w:rPr>
          <w:b w:val="0"/>
          <w:i w:val="0"/>
        </w:rPr>
        <w:t xml:space="preserve">, en mémoire, pour être lu en moins d'une milliseconde : agrégats de montants, appareils, agents et destinataires connus, dernière province, séquence des 10 dernières opérations. Les décisions y sont aussi conservées 30 minutes, pour l'idempotence (RG-03). La mise à jour du profil se fait sous </w:t>
      </w:r>
      <w:r>
        <w:rPr>
          <w:b/>
          <w:i w:val="0"/>
        </w:rPr>
        <w:t>verrou</w:t>
      </w:r>
      <w:r>
        <w:rPr>
          <w:b w:val="0"/>
          <w:i w:val="0"/>
        </w:rPr>
        <w:t>, afin que deux opérations simultanées d'un même client ne se contredisent pas.</w:t>
      </w:r>
    </w:p>
    <w:p>
      <w:pPr>
        <w:pStyle w:val="Heading3"/>
      </w:pPr>
      <w:r>
        <w:t>d) Intégrité du journal d'audit</w:t>
      </w:r>
    </w:p>
    <w:p>
      <w:pPr>
        <w:spacing w:after="120"/>
      </w:pPr>
      <w:r>
        <w:rPr>
          <w:b w:val="0"/>
          <w:i w:val="0"/>
        </w:rPr>
        <w:t>Chaque entrée du journal contient l'empreinte de l'entrée précédente :</w:t>
      </w:r>
    </w:p>
    <w:p>
      <w:pPr>
        <w:jc w:val="center"/>
      </w:pPr>
      <m:oMath>
        <m:sSub>
          <m:e>
            <m:r>
              <m:t>h</m:t>
            </m:r>
          </m:e>
          <m:sub>
            <m:r>
              <m:t>n</m:t>
            </m:r>
          </m:sub>
        </m:sSub>
        <m:r>
          <m:t>=</m:t>
        </m:r>
        <m:r>
          <m:rPr>
            <m:sty m:val="p"/>
          </m:rPr>
          <m:t>SHA</m:t>
        </m:r>
        <m:r>
          <m:t>256</m:t>
        </m:r>
        <m:r>
          <m:t>(</m:t>
        </m:r>
        <m:sSub>
          <m:e>
            <m:r>
              <m:t>h</m:t>
            </m:r>
          </m:e>
          <m:sub>
            <m:r>
              <m:t>n−1</m:t>
            </m:r>
          </m:sub>
        </m:sSub>
        <m:r>
          <m:rPr>
            <m:sty m:val="p"/>
          </m:rPr>
          <m:t> </m:t>
        </m:r>
        <m:r>
          <m:t>‖</m:t>
        </m:r>
        <m:r>
          <m:rPr>
            <m:sty m:val="p"/>
          </m:rPr>
          <m:t> </m:t>
        </m:r>
        <m:sSub>
          <m:e>
            <m:r>
              <m:rPr>
                <m:nor/>
              </m:rPr>
              <m:t>contenu</m:t>
            </m:r>
          </m:e>
          <m:sub>
            <m:r>
              <m:t>n</m:t>
            </m:r>
          </m:sub>
        </m:sSub>
        <m:r>
          <m:t>)</m:t>
        </m:r>
      </m:oMath>
    </w:p>
    <w:p>
      <w:pPr>
        <w:spacing w:after="120"/>
      </w:pPr>
      <w:r>
        <w:rPr>
          <w:b w:val="0"/>
          <w:i w:val="0"/>
        </w:rPr>
        <w:t>Modifier une entrée passée change son empreinte et rompt toute la chaîne qui suit. Une vérification de la chaîne, accessible au superviseur, permet donc de prouver que le journal n'a pas été altéré (BM-17, BT-22).</w:t>
      </w:r>
    </w:p>
    <w:p>
      <w:pPr>
        <w:pStyle w:val="Heading3"/>
      </w:pPr>
      <w:r>
        <w:t>II.3.5 Comportement dynamique</w:t>
      </w:r>
    </w:p>
    <w:p>
      <w:pPr>
        <w:pStyle w:val="Heading3"/>
      </w:pPr>
      <w:r>
        <w:t>a) Notation d'une opération en temps réel</w:t>
      </w:r>
    </w:p>
    <w:p>
      <w:pPr>
        <w:jc w:val="center"/>
      </w:pPr>
      <w:r>
        <w:drawing>
          <wp:inline xmlns:a="http://schemas.openxmlformats.org/drawingml/2006/main" xmlns:pic="http://schemas.openxmlformats.org/drawingml/2006/picture">
            <wp:extent cx="5760000" cy="4661827"/>
            <wp:docPr id="23" name="Picture 23"/>
            <wp:cNvGraphicFramePr>
              <a:graphicFrameLocks noChangeAspect="1"/>
            </wp:cNvGraphicFramePr>
            <a:graphic>
              <a:graphicData uri="http://schemas.openxmlformats.org/drawingml/2006/picture">
                <pic:pic>
                  <pic:nvPicPr>
                    <pic:cNvPr id="0" name="sequence_scoring_temps_reel.png"/>
                    <pic:cNvPicPr/>
                  </pic:nvPicPr>
                  <pic:blipFill>
                    <a:blip r:embed="rId31"/>
                    <a:stretch>
                      <a:fillRect/>
                    </a:stretch>
                  </pic:blipFill>
                  <pic:spPr>
                    <a:xfrm>
                      <a:off x="0" y="0"/>
                      <a:ext cx="5760000" cy="4661827"/>
                    </a:xfrm>
                    <a:prstGeom prst="rect"/>
                  </pic:spPr>
                </pic:pic>
              </a:graphicData>
            </a:graphic>
          </wp:inline>
        </w:drawing>
      </w:r>
    </w:p>
    <w:p>
      <w:pPr>
        <w:jc w:val="center"/>
      </w:pPr>
      <w:r>
        <w:rPr>
          <w:b w:val="0"/>
          <w:i/>
          <w:sz w:val="18"/>
        </w:rPr>
        <w:t>Figure II.23 — Diagramme de séquence de la notation en temps réel (</w:t>
      </w:r>
      <w:r>
        <w:rPr>
          <w:rFonts w:ascii="Consolas" w:hAnsi="Consolas"/>
          <w:b w:val="0"/>
          <w:i/>
          <w:color w:val="1F3A8A"/>
          <w:sz w:val="18"/>
        </w:rPr>
        <w:t>docs/uml/sequence_scoring_temps_reel.puml</w:t>
      </w:r>
      <w:r>
        <w:rPr>
          <w:b w:val="0"/>
          <w:i/>
          <w:sz w:val="18"/>
        </w:rPr>
        <w:t>).</w:t>
      </w:r>
    </w:p>
    <w:p>
      <w:pPr>
        <w:pStyle w:val="ListNumber"/>
      </w:pPr>
      <w:r>
        <w:rPr>
          <w:b w:val="0"/>
          <w:i w:val="0"/>
        </w:rPr>
        <w:t xml:space="preserve">L'institution envoie l'opération </w:t>
      </w:r>
      <w:r>
        <w:rPr>
          <w:b/>
          <w:i w:val="0"/>
        </w:rPr>
        <w:t>avant de l'exécuter</w:t>
      </w:r>
      <w:r>
        <w:rPr>
          <w:b w:val="0"/>
          <w:i w:val="0"/>
        </w:rPr>
        <w:t>.</w:t>
      </w:r>
    </w:p>
    <w:p>
      <w:pPr>
        <w:pStyle w:val="ListNumber"/>
      </w:pPr>
      <w:r>
        <w:rPr>
          <w:b w:val="0"/>
          <w:i w:val="0"/>
        </w:rPr>
        <w:t>L'API d'intégration vérifie la clé, convertit le format et rattache l'opération à l'institution.</w:t>
      </w:r>
    </w:p>
    <w:p>
      <w:pPr>
        <w:pStyle w:val="ListNumber"/>
      </w:pPr>
      <w:r>
        <w:rPr>
          <w:b w:val="0"/>
          <w:i w:val="0"/>
        </w:rPr>
        <w:t>Le service de notation vérifie l'idempotence, met à jour le profil sous verrou, calcule les variables et les lois physiques, applique le modèle hybride puis le classifieur de typologie, analyse le message éventuel et décide.</w:t>
      </w:r>
    </w:p>
    <w:p>
      <w:pPr>
        <w:pStyle w:val="ListNumber"/>
      </w:pPr>
      <w:r>
        <w:rPr>
          <w:b w:val="0"/>
          <w:i w:val="0"/>
        </w:rPr>
        <w:t>La décision est renvoyée de façon synchrone. En parallèle, l'événement est publié dans Kafka : les workers enregistrent l'opération, ouvrent un dossier si nécessaire, préviennent le client et écrivent le journal d'audit.</w:t>
      </w:r>
    </w:p>
    <w:p>
      <w:pPr>
        <w:pStyle w:val="Heading3"/>
      </w:pPr>
      <w:r>
        <w:t>b) Processus cible de traitement d'une alerte</w:t>
      </w:r>
    </w:p>
    <w:p>
      <w:pPr>
        <w:spacing w:after="120"/>
      </w:pPr>
      <w:r>
        <w:rPr>
          <w:b w:val="0"/>
          <w:i w:val="0"/>
        </w:rPr>
        <w:t xml:space="preserve">Le diagramme d'activité suivant montre le processus complet, de la soumission de l'opération jusqu'au verdict de l'analyste. Il est à comparer au processus existant (figure II.2) : la détection a lieu </w:t>
      </w:r>
      <w:r>
        <w:rPr>
          <w:b/>
          <w:i w:val="0"/>
        </w:rPr>
        <w:t>avant</w:t>
      </w:r>
      <w:r>
        <w:rPr>
          <w:b w:val="0"/>
          <w:i w:val="0"/>
        </w:rPr>
        <w:t xml:space="preserve"> l'exécution, la réponse est graduée, et le verdict de l'analyste alimente l'apprentissage.</w:t>
      </w:r>
    </w:p>
    <w:p>
      <w:pPr>
        <w:jc w:val="center"/>
      </w:pPr>
      <w:r>
        <w:drawing>
          <wp:inline xmlns:a="http://schemas.openxmlformats.org/drawingml/2006/main" xmlns:pic="http://schemas.openxmlformats.org/drawingml/2006/picture">
            <wp:extent cx="5760000" cy="5971034"/>
            <wp:docPr id="24" name="Picture 24"/>
            <wp:cNvGraphicFramePr>
              <a:graphicFrameLocks noChangeAspect="1"/>
            </wp:cNvGraphicFramePr>
            <a:graphic>
              <a:graphicData uri="http://schemas.openxmlformats.org/drawingml/2006/picture">
                <pic:pic>
                  <pic:nvPicPr>
                    <pic:cNvPr id="0" name="activite_traitement_alerte.png"/>
                    <pic:cNvPicPr/>
                  </pic:nvPicPr>
                  <pic:blipFill>
                    <a:blip r:embed="rId32"/>
                    <a:stretch>
                      <a:fillRect/>
                    </a:stretch>
                  </pic:blipFill>
                  <pic:spPr>
                    <a:xfrm>
                      <a:off x="0" y="0"/>
                      <a:ext cx="5760000" cy="5971034"/>
                    </a:xfrm>
                    <a:prstGeom prst="rect"/>
                  </pic:spPr>
                </pic:pic>
              </a:graphicData>
            </a:graphic>
          </wp:inline>
        </w:drawing>
      </w:r>
    </w:p>
    <w:p>
      <w:pPr>
        <w:jc w:val="center"/>
      </w:pPr>
      <w:r>
        <w:rPr>
          <w:b w:val="0"/>
          <w:i/>
          <w:sz w:val="18"/>
        </w:rPr>
        <w:t>Figure II.24 — Diagramme d'activité du processus cible (</w:t>
      </w:r>
      <w:r>
        <w:rPr>
          <w:rFonts w:ascii="Consolas" w:hAnsi="Consolas"/>
          <w:b w:val="0"/>
          <w:i/>
          <w:color w:val="1F3A8A"/>
          <w:sz w:val="18"/>
        </w:rPr>
        <w:t>docs/uml/activite_traitement_alerte.puml</w:t>
      </w:r>
      <w:r>
        <w:rPr>
          <w:b w:val="0"/>
          <w:i/>
          <w:sz w:val="18"/>
        </w:rPr>
        <w:t>).</w:t>
      </w:r>
    </w:p>
    <w:p>
      <w:pPr>
        <w:pStyle w:val="Heading3"/>
      </w:pPr>
      <w:r>
        <w:t>c) Cycle de vie d'un dossier d'alerte</w:t>
      </w:r>
    </w:p>
    <w:p>
      <w:pPr>
        <w:jc w:val="center"/>
      </w:pPr>
      <w:r>
        <w:drawing>
          <wp:inline xmlns:a="http://schemas.openxmlformats.org/drawingml/2006/main" xmlns:pic="http://schemas.openxmlformats.org/drawingml/2006/picture">
            <wp:extent cx="5760000" cy="5464385"/>
            <wp:docPr id="25" name="Picture 25"/>
            <wp:cNvGraphicFramePr>
              <a:graphicFrameLocks noChangeAspect="1"/>
            </wp:cNvGraphicFramePr>
            <a:graphic>
              <a:graphicData uri="http://schemas.openxmlformats.org/drawingml/2006/picture">
                <pic:pic>
                  <pic:nvPicPr>
                    <pic:cNvPr id="0" name="etats_dossier.png"/>
                    <pic:cNvPicPr/>
                  </pic:nvPicPr>
                  <pic:blipFill>
                    <a:blip r:embed="rId33"/>
                    <a:stretch>
                      <a:fillRect/>
                    </a:stretch>
                  </pic:blipFill>
                  <pic:spPr>
                    <a:xfrm>
                      <a:off x="0" y="0"/>
                      <a:ext cx="5760000" cy="5464385"/>
                    </a:xfrm>
                    <a:prstGeom prst="rect"/>
                  </pic:spPr>
                </pic:pic>
              </a:graphicData>
            </a:graphic>
          </wp:inline>
        </w:drawing>
      </w:r>
    </w:p>
    <w:p>
      <w:pPr>
        <w:jc w:val="center"/>
      </w:pPr>
      <w:r>
        <w:rPr>
          <w:b w:val="0"/>
          <w:i/>
          <w:sz w:val="18"/>
        </w:rPr>
        <w:t>Figure II.25 — Diagramme d'états-transitions d'un dossier (</w:t>
      </w:r>
      <w:r>
        <w:rPr>
          <w:rFonts w:ascii="Consolas" w:hAnsi="Consolas"/>
          <w:b w:val="0"/>
          <w:i/>
          <w:color w:val="1F3A8A"/>
          <w:sz w:val="18"/>
        </w:rPr>
        <w:t>docs/uml/etats_dossier.puml</w:t>
      </w:r>
      <w:r>
        <w:rPr>
          <w:b w:val="0"/>
          <w:i/>
          <w:sz w:val="18"/>
        </w:rPr>
        <w:t>).</w:t>
      </w:r>
    </w:p>
    <w:p>
      <w:pPr>
        <w:spacing w:after="120"/>
      </w:pPr>
      <w:r>
        <w:rPr>
          <w:b w:val="0"/>
          <w:i w:val="0"/>
        </w:rPr>
        <w:t>Un dossier naît OUVERT lorsqu'une décision VERIFY ou BLOCK est rendue, ou directement FRAUDE_CONFIRMEE lorsqu'il résulte d'une plainte ou d'un retour d'institution. Les deux états finaux produisent une étiquette (</w:t>
      </w:r>
      <m:oMath>
        <m:r>
          <m:t>y=1</m:t>
        </m:r>
      </m:oMath>
      <w:r>
        <w:rPr>
          <w:b w:val="0"/>
          <w:i w:val="0"/>
        </w:rPr>
        <w:t xml:space="preserve"> ou </w:t>
      </w:r>
      <m:oMath>
        <m:r>
          <m:t>y=0</m:t>
        </m:r>
      </m:oMath>
      <w:r>
        <w:rPr>
          <w:b w:val="0"/>
          <w:i w:val="0"/>
        </w:rPr>
        <w:t>) et ne peuvent plus être quittés (RG-13).</w:t>
      </w:r>
    </w:p>
    <w:p>
      <w:pPr>
        <w:pStyle w:val="Heading3"/>
      </w:pPr>
      <w:r>
        <w:t>d) Réentraînement champion / challenger</w:t>
      </w:r>
    </w:p>
    <w:p>
      <w:pPr>
        <w:jc w:val="center"/>
      </w:pPr>
      <w:r>
        <w:drawing>
          <wp:inline xmlns:a="http://schemas.openxmlformats.org/drawingml/2006/main" xmlns:pic="http://schemas.openxmlformats.org/drawingml/2006/picture">
            <wp:extent cx="5760000" cy="4895643"/>
            <wp:docPr id="26" name="Picture 26"/>
            <wp:cNvGraphicFramePr>
              <a:graphicFrameLocks noChangeAspect="1"/>
            </wp:cNvGraphicFramePr>
            <a:graphic>
              <a:graphicData uri="http://schemas.openxmlformats.org/drawingml/2006/picture">
                <pic:pic>
                  <pic:nvPicPr>
                    <pic:cNvPr id="0" name="sequence_reentrainement.png"/>
                    <pic:cNvPicPr/>
                  </pic:nvPicPr>
                  <pic:blipFill>
                    <a:blip r:embed="rId34"/>
                    <a:stretch>
                      <a:fillRect/>
                    </a:stretch>
                  </pic:blipFill>
                  <pic:spPr>
                    <a:xfrm>
                      <a:off x="0" y="0"/>
                      <a:ext cx="5760000" cy="4895643"/>
                    </a:xfrm>
                    <a:prstGeom prst="rect"/>
                  </pic:spPr>
                </pic:pic>
              </a:graphicData>
            </a:graphic>
          </wp:inline>
        </w:drawing>
      </w:r>
    </w:p>
    <w:p>
      <w:pPr>
        <w:jc w:val="center"/>
      </w:pPr>
      <w:r>
        <w:rPr>
          <w:b w:val="0"/>
          <w:i/>
          <w:sz w:val="18"/>
        </w:rPr>
        <w:t>Figure II.26 — Diagramme de séquence du réentraînement (</w:t>
      </w:r>
      <w:r>
        <w:rPr>
          <w:rFonts w:ascii="Consolas" w:hAnsi="Consolas"/>
          <w:b w:val="0"/>
          <w:i/>
          <w:color w:val="1F3A8A"/>
          <w:sz w:val="18"/>
        </w:rPr>
        <w:t>docs/uml/sequence_reentrainement.puml</w:t>
      </w:r>
      <w:r>
        <w:rPr>
          <w:b w:val="0"/>
          <w:i/>
          <w:sz w:val="18"/>
        </w:rPr>
        <w:t>).</w:t>
      </w:r>
    </w:p>
    <w:p>
      <w:pPr>
        <w:pStyle w:val="Heading3"/>
      </w:pPr>
      <w:r>
        <w:t>II.3.6 Conception du moteur de détection</w:t>
      </w:r>
    </w:p>
    <w:p>
      <w:pPr>
        <w:pStyle w:val="Heading3"/>
      </w:pPr>
      <w:r>
        <w:t>a) Le modèle hybride</w:t>
      </w:r>
    </w:p>
    <w:p>
      <w:pPr>
        <w:spacing w:after="120"/>
      </w:pPr>
      <w:r>
        <w:rPr>
          <w:b w:val="0"/>
          <w:i w:val="0"/>
        </w:rPr>
        <w:t>L'étude comparative (§ II.2.9) a montré qu'aucune famille de modèles ne capte seule toutes les formes de fraude, et que leur combinaison est significativement plus performante. Le modèle retenu combine donc trois composantes complémentaires :</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Composante</w:t>
            </w:r>
          </w:p>
        </w:tc>
        <w:tc>
          <w:tcPr>
            <w:tcW w:type="dxa" w:w="3249"/>
            <w:shd w:val="clear" w:color="auto" w:fill="DCE6F7"/>
          </w:tcPr>
          <w:p>
            <w:r/>
            <w:r>
              <w:rPr>
                <w:b/>
                <w:i w:val="0"/>
                <w:sz w:val="18"/>
              </w:rPr>
              <w:t>Entrée</w:t>
            </w:r>
          </w:p>
        </w:tc>
        <w:tc>
          <w:tcPr>
            <w:tcW w:type="dxa" w:w="3249"/>
            <w:shd w:val="clear" w:color="auto" w:fill="DCE6F7"/>
          </w:tcPr>
          <w:p>
            <w:r/>
            <w:r>
              <w:rPr>
                <w:b/>
                <w:i w:val="0"/>
                <w:sz w:val="18"/>
              </w:rPr>
              <w:t>Ce qu'elle capte</w:t>
            </w:r>
          </w:p>
        </w:tc>
      </w:tr>
      <w:tr>
        <w:tc>
          <w:tcPr>
            <w:tcW w:type="dxa" w:w="3249"/>
          </w:tcPr>
          <w:p>
            <w:r/>
            <w:r>
              <w:rPr>
                <w:b w:val="0"/>
                <w:i w:val="0"/>
                <w:sz w:val="18"/>
              </w:rPr>
              <w:t>XGBoost</w:t>
            </w:r>
          </w:p>
        </w:tc>
        <w:tc>
          <w:tcPr>
            <w:tcW w:type="dxa" w:w="3249"/>
          </w:tcPr>
          <w:p>
            <w:r/>
            <w:r>
              <w:rPr>
                <w:b w:val="0"/>
                <w:i w:val="0"/>
                <w:sz w:val="18"/>
              </w:rPr>
              <w:t>58 variables de l'opération courante</w:t>
            </w:r>
          </w:p>
        </w:tc>
        <w:tc>
          <w:tcPr>
            <w:tcW w:type="dxa" w:w="3249"/>
          </w:tcPr>
          <w:p>
            <w:r/>
            <w:r>
              <w:rPr>
                <w:b w:val="0"/>
                <w:i w:val="0"/>
                <w:sz w:val="18"/>
              </w:rPr>
              <w:t>profil instantané, interactions non linéaires entre variables</w:t>
            </w:r>
          </w:p>
        </w:tc>
      </w:tr>
      <w:tr>
        <w:tc>
          <w:tcPr>
            <w:tcW w:type="dxa" w:w="3249"/>
          </w:tcPr>
          <w:p>
            <w:r/>
            <w:r>
              <w:rPr>
                <w:b w:val="0"/>
                <w:i w:val="0"/>
                <w:sz w:val="18"/>
              </w:rPr>
              <w:t>LSTM + attention</w:t>
            </w:r>
          </w:p>
        </w:tc>
        <w:tc>
          <w:tcPr>
            <w:tcW w:type="dxa" w:w="3249"/>
          </w:tcPr>
          <w:p>
            <w:r/>
            <w:r>
              <w:rPr>
                <w:b w:val="0"/>
                <w:i w:val="0"/>
                <w:sz w:val="18"/>
              </w:rPr>
              <w:t>séquence des 10 dernières opérations</w:t>
            </w:r>
          </w:p>
        </w:tc>
        <w:tc>
          <w:tcPr>
            <w:tcW w:type="dxa" w:w="3249"/>
          </w:tcPr>
          <w:p>
            <w:r/>
            <w:r>
              <w:rPr>
                <w:b w:val="0"/>
                <w:i w:val="0"/>
                <w:sz w:val="18"/>
              </w:rPr>
              <w:t>dynamique : escalade, salves, changement soudain</w:t>
            </w:r>
          </w:p>
        </w:tc>
      </w:tr>
      <w:tr>
        <w:tc>
          <w:tcPr>
            <w:tcW w:type="dxa" w:w="3249"/>
          </w:tcPr>
          <w:p>
            <w:r/>
            <w:r>
              <w:rPr>
                <w:b w:val="0"/>
                <w:i w:val="0"/>
                <w:sz w:val="18"/>
              </w:rPr>
              <w:t>Autoencodeur</w:t>
            </w:r>
          </w:p>
        </w:tc>
        <w:tc>
          <w:tcPr>
            <w:tcW w:type="dxa" w:w="3249"/>
          </w:tcPr>
          <w:p>
            <w:r/>
            <w:r>
              <w:rPr>
                <w:b w:val="0"/>
                <w:i w:val="0"/>
                <w:sz w:val="18"/>
              </w:rPr>
              <w:t>58 variables ; entraîné sur les seules opérations légitimes</w:t>
            </w:r>
          </w:p>
        </w:tc>
        <w:tc>
          <w:tcPr>
            <w:tcW w:type="dxa" w:w="3249"/>
          </w:tcPr>
          <w:p>
            <w:r/>
            <w:r>
              <w:rPr>
                <w:b w:val="0"/>
                <w:i w:val="0"/>
                <w:sz w:val="18"/>
              </w:rPr>
              <w:t>anomalie, y compris des fraudes jamais vues</w:t>
            </w:r>
          </w:p>
        </w:tc>
      </w:tr>
    </w:tbl>
    <w:p/>
    <w:p>
      <w:pPr>
        <w:spacing w:after="120"/>
      </w:pPr>
      <w:r>
        <w:rPr>
          <w:b w:val="0"/>
          <w:i/>
        </w:rPr>
        <w:t>Tableau II.38 — Composantes du modèle hybride.</w:t>
      </w:r>
    </w:p>
    <w:p>
      <w:pPr>
        <w:spacing w:after="120"/>
      </w:pPr>
      <w:r>
        <w:rPr>
          <w:b/>
          <w:i w:val="0"/>
        </w:rPr>
        <w:t>XGBoost</w:t>
      </w:r>
      <w:r>
        <w:rPr>
          <w:b w:val="0"/>
          <w:i w:val="0"/>
        </w:rPr>
        <w:t xml:space="preserve"> construit un modèle additif de </w:t>
      </w:r>
      <m:oMath>
        <m:r>
          <m:t>K</m:t>
        </m:r>
      </m:oMath>
      <w:r>
        <w:rPr>
          <w:b w:val="0"/>
          <w:i w:val="0"/>
        </w:rPr>
        <w:t xml:space="preserve"> arbres de décision, </w:t>
      </w:r>
      <m:oMath>
        <m:r>
          <m:t>F(</m:t>
        </m:r>
        <m:limUpp>
          <m:e>
            <m:r>
              <m:t>x</m:t>
            </m:r>
          </m:e>
          <m:lim>
            <m:r>
              <m:t>~</m:t>
            </m:r>
          </m:lim>
        </m:limUpp>
        <m:r>
          <m:t>)=</m:t>
        </m:r>
        <m:nary>
          <m:naryPr>
            <m:chr m:val="∑"/>
            <m:limLoc m:val="subSup"/>
            <m:grow m:val="1"/>
            <m:subHide m:val="off"/>
            <m:supHide m:val="off"/>
          </m:naryPr>
          <m:sub>
            <m:r>
              <m:t>k=1</m:t>
            </m:r>
          </m:sub>
          <m:sup>
            <m:r>
              <m:t>K</m:t>
            </m:r>
          </m:sup>
          <m:e>
            <m:sSub>
              <m:e>
                <m:r>
                  <m:t>f</m:t>
                </m:r>
              </m:e>
              <m:sub>
                <m:r>
                  <m:t>k</m:t>
                </m:r>
              </m:sub>
            </m:sSub>
          </m:e>
        </m:nary>
        <m:r>
          <m:t>(</m:t>
        </m:r>
        <m:limUpp>
          <m:e>
            <m:r>
              <m:t>x</m:t>
            </m:r>
          </m:e>
          <m:lim>
            <m:r>
              <m:t>~</m:t>
            </m:r>
          </m:lim>
        </m:limUpp>
        <m:r>
          <m:t>)</m:t>
        </m:r>
      </m:oMath>
      <w:r>
        <w:rPr>
          <w:b w:val="0"/>
          <w:i w:val="0"/>
        </w:rPr>
        <w:t>, en minimisant une perte logistique pondérée et régularisée :</w:t>
      </w:r>
    </w:p>
    <w:p>
      <w:pPr>
        <w:jc w:val="center"/>
      </w:pPr>
      <m:oMath>
        <m:r>
          <m:t>ℒ=</m:t>
        </m:r>
        <m:nary>
          <m:naryPr>
            <m:chr m:val="∑"/>
            <m:limLoc m:val="subSup"/>
            <m:grow m:val="1"/>
            <m:subHide m:val="off"/>
            <m:supHide m:val="on"/>
          </m:naryPr>
          <m:sub>
            <m:r>
              <m:t>i</m:t>
            </m:r>
          </m:sub>
          <m:sup/>
          <m:e>
            <m:sSub>
              <m:e>
                <m:r>
                  <m:t>w</m:t>
                </m:r>
              </m:e>
              <m:sub>
                <m:r>
                  <m:t>i</m:t>
                </m:r>
              </m:sub>
            </m:sSub>
          </m:e>
        </m:nary>
        <m:r>
          <m:t>[−</m:t>
        </m:r>
        <m:sSub>
          <m:e>
            <m:r>
              <m:t>y</m:t>
            </m:r>
          </m:e>
          <m:sub>
            <m:r>
              <m:t>i</m:t>
            </m:r>
          </m:sub>
        </m:sSub>
        <m:r>
          <m:rPr>
            <m:sty m:val="p"/>
          </m:rPr>
          <m:t>ln</m:t>
        </m:r>
        <m:r>
          <m:t>σ(</m:t>
        </m:r>
        <m:sSub>
          <m:e>
            <m:r>
              <m:t>F</m:t>
            </m:r>
          </m:e>
          <m:sub>
            <m:r>
              <m:t>i</m:t>
            </m:r>
          </m:sub>
        </m:sSub>
        <m:r>
          <m:t>)−(1−</m:t>
        </m:r>
        <m:sSub>
          <m:e>
            <m:r>
              <m:t>y</m:t>
            </m:r>
          </m:e>
          <m:sub>
            <m:r>
              <m:t>i</m:t>
            </m:r>
          </m:sub>
        </m:sSub>
        <m:r>
          <m:t>)</m:t>
        </m:r>
        <m:r>
          <m:rPr>
            <m:sty m:val="p"/>
          </m:rPr>
          <m:t>ln</m:t>
        </m:r>
        <m:r>
          <m:t>(1−σ(</m:t>
        </m:r>
        <m:sSub>
          <m:e>
            <m:r>
              <m:t>F</m:t>
            </m:r>
          </m:e>
          <m:sub>
            <m:r>
              <m:t>i</m:t>
            </m:r>
          </m:sub>
        </m:sSub>
        <m:r>
          <m:t>))]+</m:t>
        </m:r>
        <m:nary>
          <m:naryPr>
            <m:chr m:val="∑"/>
            <m:limLoc m:val="subSup"/>
            <m:grow m:val="1"/>
            <m:subHide m:val="off"/>
            <m:supHide m:val="on"/>
          </m:naryPr>
          <m:sub>
            <m:r>
              <m:t>k</m:t>
            </m:r>
          </m:sub>
          <m:sup/>
          <m:e>
            <m:r>
              <m:t>Ω(</m:t>
            </m:r>
          </m:e>
        </m:nary>
        <m:sSub>
          <m:e>
            <m:r>
              <m:t>f</m:t>
            </m:r>
          </m:e>
          <m:sub>
            <m:r>
              <m:t>k</m:t>
            </m:r>
          </m:sub>
        </m:sSub>
        <m:r>
          <m:t>),</m:t>
        </m:r>
        <m:r>
          <m:t>Ω(f)=γT+</m:t>
        </m:r>
        <m:f>
          <m:fPr>
            <m:type m:val="bar"/>
          </m:fPr>
          <m:num>
            <m:r>
              <m:t>1</m:t>
            </m:r>
          </m:num>
          <m:den>
            <m:r>
              <m:t>2</m:t>
            </m:r>
          </m:den>
        </m:f>
        <m:r>
          <m:t>λ‖w</m:t>
        </m:r>
        <m:sSup>
          <m:e>
            <m:r>
              <m:t>‖</m:t>
            </m:r>
          </m:e>
          <m:sup>
            <m:r>
              <m:t>2</m:t>
            </m:r>
          </m:sup>
        </m:sSup>
      </m:oMath>
    </w:p>
    <w:p>
      <w:pPr>
        <w:spacing w:after="120"/>
      </w:pPr>
      <w:r>
        <w:rPr>
          <w:b/>
          <w:i w:val="0"/>
        </w:rPr>
        <w:t>Le LSTM avec attention</w:t>
      </w:r>
      <w:r>
        <w:rPr>
          <w:b w:val="0"/>
          <w:i w:val="0"/>
        </w:rPr>
        <w:t xml:space="preserve"> lit la séquence des 10 dernières opérations. Un mécanisme d'attention attribue à chaque opération passée un poids </w:t>
      </w:r>
      <m:oMath>
        <m:sSub>
          <m:e>
            <m:r>
              <m:t>α</m:t>
            </m:r>
          </m:e>
          <m:sub>
            <m:r>
              <m:t>τ</m:t>
            </m:r>
          </m:sub>
        </m:sSub>
      </m:oMath>
      <w:r>
        <w:rPr>
          <w:b w:val="0"/>
          <w:i w:val="0"/>
        </w:rPr>
        <w:t xml:space="preserve"> :</w:t>
      </w:r>
    </w:p>
    <w:p>
      <w:pPr>
        <w:jc w:val="center"/>
      </w:pPr>
      <m:oMath>
        <m:sSub>
          <m:e>
            <m:r>
              <m:t>e</m:t>
            </m:r>
          </m:e>
          <m:sub>
            <m:r>
              <m:t>τ</m:t>
            </m:r>
          </m:sub>
        </m:sSub>
        <m:r>
          <m:t>=</m:t>
        </m:r>
        <m:sSup>
          <m:e>
            <m:r>
              <m:t>v</m:t>
            </m:r>
          </m:e>
          <m:sup>
            <m:r>
              <m:t>⊤</m:t>
            </m:r>
          </m:sup>
        </m:sSup>
        <m:r>
          <m:rPr>
            <m:sty m:val="p"/>
          </m:rPr>
          <m:t>tanh</m:t>
        </m:r>
        <m:r>
          <m:t>(</m:t>
        </m:r>
        <m:sSub>
          <m:e>
            <m:r>
              <m:t>W</m:t>
            </m:r>
          </m:e>
          <m:sub>
            <m:r>
              <m:t>a</m:t>
            </m:r>
          </m:sub>
        </m:sSub>
        <m:sSub>
          <m:e>
            <m:r>
              <m:t>h</m:t>
            </m:r>
          </m:e>
          <m:sub>
            <m:r>
              <m:t>τ</m:t>
            </m:r>
          </m:sub>
        </m:sSub>
        <m:r>
          <m:t>+</m:t>
        </m:r>
        <m:sSub>
          <m:e>
            <m:r>
              <m:t>b</m:t>
            </m:r>
          </m:e>
          <m:sub>
            <m:r>
              <m:t>a</m:t>
            </m:r>
          </m:sub>
        </m:sSub>
        <m:r>
          <m:t>),</m:t>
        </m:r>
        <m:sSub>
          <m:e>
            <m:r>
              <m:t>α</m:t>
            </m:r>
          </m:e>
          <m:sub>
            <m:r>
              <m:t>τ</m:t>
            </m:r>
          </m:sub>
        </m:sSub>
        <m:r>
          <m:t>=</m:t>
        </m:r>
        <m:f>
          <m:fPr>
            <m:type m:val="bar"/>
          </m:fPr>
          <m:num>
            <m:sSup>
              <m:e>
                <m:r>
                  <m:t>e</m:t>
                </m:r>
              </m:e>
              <m:sup>
                <m:sSub>
                  <m:e>
                    <m:r>
                      <m:t>e</m:t>
                    </m:r>
                  </m:e>
                  <m:sub>
                    <m:r>
                      <m:t>τ</m:t>
                    </m:r>
                  </m:sub>
                </m:sSub>
              </m:sup>
            </m:sSup>
          </m:num>
          <m:den>
            <m:nary>
              <m:naryPr>
                <m:chr m:val="∑"/>
                <m:limLoc m:val="subSup"/>
                <m:grow m:val="1"/>
                <m:subHide m:val="off"/>
                <m:supHide m:val="on"/>
              </m:naryPr>
              <m:sub>
                <m:sSup>
                  <m:e>
                    <m:r>
                      <m:t>τ</m:t>
                    </m:r>
                  </m:e>
                  <m:sup>
                    <m:r>
                      <m:t>′</m:t>
                    </m:r>
                  </m:sup>
                </m:sSup>
              </m:sub>
              <m:sup/>
              <m:e>
                <m:sSup>
                  <m:e>
                    <m:r>
                      <m:t>e</m:t>
                    </m:r>
                  </m:e>
                  <m:sup>
                    <m:sSub>
                      <m:e>
                        <m:r>
                          <m:t>e</m:t>
                        </m:r>
                      </m:e>
                      <m:sub>
                        <m:sSup>
                          <m:e>
                            <m:r>
                              <m:t>τ</m:t>
                            </m:r>
                          </m:e>
                          <m:sup>
                            <m:r>
                              <m:t>′</m:t>
                            </m:r>
                          </m:sup>
                        </m:sSup>
                      </m:sub>
                    </m:sSub>
                  </m:sup>
                </m:sSup>
              </m:e>
            </m:nary>
          </m:den>
        </m:f>
        <m:r>
          <m:t>,</m:t>
        </m:r>
        <m:r>
          <m:t>c=</m:t>
        </m:r>
        <m:nary>
          <m:naryPr>
            <m:chr m:val="∑"/>
            <m:limLoc m:val="subSup"/>
            <m:grow m:val="1"/>
            <m:subHide m:val="off"/>
            <m:supHide m:val="on"/>
          </m:naryPr>
          <m:sub>
            <m:r>
              <m:t>τ</m:t>
            </m:r>
          </m:sub>
          <m:sup/>
          <m:e>
            <m:sSub>
              <m:e>
                <m:r>
                  <m:t>α</m:t>
                </m:r>
              </m:e>
              <m:sub>
                <m:r>
                  <m:t>τ</m:t>
                </m:r>
              </m:sub>
            </m:sSub>
          </m:e>
        </m:nary>
        <m:sSub>
          <m:e>
            <m:r>
              <m:t>h</m:t>
            </m:r>
          </m:e>
          <m:sub>
            <m:r>
              <m:t>τ</m:t>
            </m:r>
          </m:sub>
        </m:sSub>
      </m:oMath>
    </w:p>
    <w:p>
      <w:pPr>
        <w:spacing w:after="120"/>
      </w:pPr>
      <w:r>
        <w:rPr>
          <w:b w:val="0"/>
          <w:i w:val="0"/>
        </w:rPr>
        <w:t xml:space="preserve">Ces poids indiquent à l'analyste </w:t>
      </w:r>
      <w:r>
        <w:rPr>
          <w:b/>
          <w:i w:val="0"/>
        </w:rPr>
        <w:t>quelles opérations passées</w:t>
      </w:r>
      <w:r>
        <w:rPr>
          <w:b w:val="0"/>
          <w:i w:val="0"/>
        </w:rPr>
        <w:t xml:space="preserve"> ont pesé dans la décision.</w:t>
      </w:r>
    </w:p>
    <w:p>
      <w:pPr>
        <w:spacing w:after="120"/>
      </w:pPr>
      <w:r>
        <w:rPr>
          <w:b/>
          <w:i w:val="0"/>
        </w:rPr>
        <w:t>L'autoencodeur</w:t>
      </w:r>
      <w:r>
        <w:rPr>
          <w:b w:val="0"/>
          <w:i w:val="0"/>
        </w:rPr>
        <w:t xml:space="preserve"> (</w:t>
      </w:r>
      <m:oMath>
        <m:r>
          <m:t>58→32→16→8→16→32→58</m:t>
        </m:r>
      </m:oMath>
      <w:r>
        <w:rPr>
          <w:b w:val="0"/>
          <w:i w:val="0"/>
        </w:rPr>
        <w:t>) apprend à reconstruire les opérations légitimes. Une opération qu'il reconstruit mal est inhabituelle : son erreur de reconstruction sert de score d'anomalie.</w:t>
      </w:r>
    </w:p>
    <w:p>
      <w:pPr>
        <w:spacing w:after="120"/>
      </w:pPr>
      <w:r>
        <w:rPr>
          <w:b/>
          <w:i w:val="0"/>
        </w:rPr>
        <w:t>La combinaison</w:t>
      </w:r>
      <w:r>
        <w:rPr>
          <w:b w:val="0"/>
          <w:i w:val="0"/>
        </w:rPr>
        <w:t xml:space="preserve"> se fait par empilement (</w:t>
      </w:r>
      <w:r>
        <w:rPr>
          <w:b w:val="0"/>
          <w:i/>
        </w:rPr>
        <w:t>stacking</w:t>
      </w:r>
      <w:r>
        <w:rPr>
          <w:b w:val="0"/>
          <w:i w:val="0"/>
        </w:rPr>
        <w:t>). Les scores des trois composantes sont standardisés (</w:t>
      </w:r>
      <m:oMath>
        <m:sSub>
          <m:e>
            <m:r>
              <m:t>z</m:t>
            </m:r>
          </m:e>
          <m:sub>
            <m:r>
              <m:t>k</m:t>
            </m:r>
          </m:sub>
        </m:sSub>
      </m:oMath>
      <w:r>
        <w:rPr>
          <w:b w:val="0"/>
          <w:i w:val="0"/>
        </w:rPr>
        <w:t>), puis combinés par une régression logistique apprise sur la validation :</w:t>
      </w:r>
    </w:p>
    <w:p>
      <w:pPr>
        <w:jc w:val="center"/>
      </w:pPr>
      <m:oMath>
        <m:r>
          <m:t>p=σ(</m:t>
        </m:r>
        <m:sSub>
          <m:e>
            <m:r>
              <m:t>β</m:t>
            </m:r>
          </m:e>
          <m:sub>
            <m:r>
              <m:t>0</m:t>
            </m:r>
          </m:sub>
        </m:sSub>
        <m:r>
          <m:t>+</m:t>
        </m:r>
        <m:nary>
          <m:naryPr>
            <m:chr m:val="∑"/>
            <m:limLoc m:val="subSup"/>
            <m:grow m:val="1"/>
            <m:subHide m:val="off"/>
            <m:supHide m:val="on"/>
          </m:naryPr>
          <m:sub>
            <m:r>
              <m:t>k</m:t>
            </m:r>
          </m:sub>
          <m:sup/>
          <m:e>
            <m:sSub>
              <m:e>
                <m:r>
                  <m:t>β</m:t>
                </m:r>
              </m:e>
              <m:sub>
                <m:r>
                  <m:t>k</m:t>
                </m:r>
              </m:sub>
            </m:sSub>
          </m:e>
        </m:nary>
        <m:sSub>
          <m:e>
            <m:r>
              <m:t>z</m:t>
            </m:r>
          </m:e>
          <m:sub>
            <m:r>
              <m:t>k</m:t>
            </m:r>
          </m:sub>
        </m:sSub>
        <m:r>
          <m:t>)</m:t>
        </m:r>
      </m:oMath>
    </w:p>
    <w:p>
      <w:pPr>
        <w:spacing w:after="120"/>
      </w:pPr>
      <w:r>
        <w:rPr>
          <w:b w:val="0"/>
          <w:i w:val="0"/>
        </w:rPr>
        <w:t xml:space="preserve">Le terme </w:t>
      </w:r>
      <m:oMath>
        <m:sSub>
          <m:e>
            <m:r>
              <m:t>β</m:t>
            </m:r>
          </m:e>
          <m:sub>
            <m:r>
              <m:t>k</m:t>
            </m:r>
          </m:sub>
        </m:sSub>
        <m:sSub>
          <m:e>
            <m:r>
              <m:t>z</m:t>
            </m:r>
          </m:e>
          <m:sub>
            <m:r>
              <m:t>k</m:t>
            </m:r>
          </m:sub>
        </m:sSub>
      </m:oMath>
      <w:r>
        <w:rPr>
          <w:b w:val="0"/>
          <w:i w:val="0"/>
        </w:rPr>
        <w:t xml:space="preserve"> mesure la </w:t>
      </w:r>
      <w:r>
        <w:rPr>
          <w:b/>
          <w:i w:val="0"/>
        </w:rPr>
        <w:t>contribution de chaque composante</w:t>
      </w:r>
      <w:r>
        <w:rPr>
          <w:b w:val="0"/>
          <w:i w:val="0"/>
        </w:rPr>
        <w:t>, affichée à l'analyste.</w:t>
      </w:r>
    </w:p>
    <w:p>
      <w:pPr>
        <w:pStyle w:val="Heading3"/>
      </w:pPr>
      <w:r>
        <w:t>b) La décision coût-sensible</w:t>
      </w:r>
    </w:p>
    <w:p>
      <w:pPr>
        <w:spacing w:after="120"/>
      </w:pPr>
      <w:r>
        <w:rPr>
          <w:b w:val="0"/>
          <w:i w:val="0"/>
        </w:rPr>
        <w:t xml:space="preserve">Un seuil unique « fraude / pas fraude » ignore le montant en jeu. Le système choisit plutôt l'action dont le </w:t>
      </w:r>
      <w:r>
        <w:rPr>
          <w:b/>
          <w:i w:val="0"/>
        </w:rPr>
        <w:t>coût attendu</w:t>
      </w:r>
      <w:r>
        <w:rPr>
          <w:b w:val="0"/>
          <w:i w:val="0"/>
        </w:rPr>
        <w:t xml:space="preserve"> est minimal. Pour une probabilité </w:t>
      </w:r>
      <m:oMath>
        <m:r>
          <m:t>p</m:t>
        </m:r>
      </m:oMath>
      <w:r>
        <w:rPr>
          <w:b w:val="0"/>
          <w:i w:val="0"/>
        </w:rPr>
        <w:t xml:space="preserve"> et un montant </w:t>
      </w:r>
      <m:oMath>
        <m:r>
          <m:t>m</m:t>
        </m:r>
      </m:oMath>
      <w:r>
        <w:rPr>
          <w:b w:val="0"/>
          <w:i w:val="0"/>
        </w:rPr>
        <w:t xml:space="preserve"> :</w:t>
      </w:r>
    </w:p>
    <w:p>
      <w:pPr>
        <w:jc w:val="center"/>
      </w:pPr>
      <m:oMath>
        <m:r>
          <m:t>𝔼[</m:t>
        </m:r>
        <m:r>
          <m:rPr>
            <m:nor/>
          </m:rPr>
          <m:t>APPROVE</m:t>
        </m:r>
        <m:r>
          <m:t>]=pm,</m:t>
        </m:r>
        <m:r>
          <m:t>𝔼[</m:t>
        </m:r>
        <m:r>
          <m:rPr>
            <m:nor/>
          </m:rPr>
          <m:t>VERIFY</m:t>
        </m:r>
        <m:r>
          <m:t>]=</m:t>
        </m:r>
        <m:sSub>
          <m:e>
            <m:r>
              <m:t>c</m:t>
            </m:r>
          </m:e>
          <m:sub>
            <m:r>
              <m:t>f</m:t>
            </m:r>
          </m:sub>
        </m:sSub>
        <m:r>
          <m:t>+pm(1−κ),</m:t>
        </m:r>
        <m:r>
          <m:t>𝔼[</m:t>
        </m:r>
        <m:r>
          <m:rPr>
            <m:nor/>
          </m:rPr>
          <m:t>BLOCK</m:t>
        </m:r>
        <m:r>
          <m:t>]=(1−p)(</m:t>
        </m:r>
        <m:sSub>
          <m:e>
            <m:r>
              <m:t>c</m:t>
            </m:r>
          </m:e>
          <m:sub>
            <m:r>
              <m:t>b</m:t>
            </m:r>
          </m:sub>
        </m:sSub>
        <m:r>
          <m:t>+λm)</m:t>
        </m:r>
      </m:oMath>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CE6F7"/>
          </w:tcPr>
          <w:p>
            <w:r/>
            <w:r>
              <w:rPr>
                <w:b/>
                <w:i w:val="0"/>
                <w:sz w:val="18"/>
              </w:rPr>
              <w:t>Paramètre</w:t>
            </w:r>
          </w:p>
        </w:tc>
        <w:tc>
          <w:tcPr>
            <w:tcW w:type="dxa" w:w="2436"/>
            <w:shd w:val="clear" w:color="auto" w:fill="DCE6F7"/>
          </w:tcPr>
          <w:p>
            <w:r/>
            <w:r>
              <w:rPr>
                <w:b/>
                <w:i w:val="0"/>
                <w:sz w:val="18"/>
              </w:rPr>
              <w:t>Signification</w:t>
            </w:r>
          </w:p>
        </w:tc>
        <w:tc>
          <w:tcPr>
            <w:tcW w:type="dxa" w:w="2436"/>
            <w:shd w:val="clear" w:color="auto" w:fill="DCE6F7"/>
          </w:tcPr>
          <w:p>
            <w:r/>
            <w:r>
              <w:rPr>
                <w:b/>
                <w:i w:val="0"/>
                <w:sz w:val="18"/>
              </w:rPr>
              <w:t>Mobile Money</w:t>
            </w:r>
          </w:p>
        </w:tc>
        <w:tc>
          <w:tcPr>
            <w:tcW w:type="dxa" w:w="2436"/>
            <w:shd w:val="clear" w:color="auto" w:fill="DCE6F7"/>
          </w:tcPr>
          <w:p>
            <w:r/>
            <w:r>
              <w:rPr>
                <w:b/>
                <w:i w:val="0"/>
                <w:sz w:val="18"/>
              </w:rPr>
              <w:t>Visa virtuelle</w:t>
            </w:r>
          </w:p>
        </w:tc>
      </w:tr>
      <w:tr>
        <w:tc>
          <w:tcPr>
            <w:tcW w:type="dxa" w:w="2436"/>
          </w:tcPr>
          <w:p>
            <w:r/>
            <m:oMath>
              <m:sSub>
                <m:e>
                  <m:r>
                    <m:t>c</m:t>
                  </m:r>
                </m:e>
                <m:sub>
                  <m:r>
                    <m:t>f</m:t>
                  </m:r>
                </m:sub>
              </m:sSub>
            </m:oMath>
          </w:p>
        </w:tc>
        <w:tc>
          <w:tcPr>
            <w:tcW w:type="dxa" w:w="2436"/>
          </w:tcPr>
          <w:p>
            <w:r/>
            <w:r>
              <w:rPr>
                <w:b w:val="0"/>
                <w:i w:val="0"/>
                <w:sz w:val="18"/>
              </w:rPr>
              <w:t>coût de friction d'une vérification (USD)</w:t>
            </w:r>
          </w:p>
        </w:tc>
        <w:tc>
          <w:tcPr>
            <w:tcW w:type="dxa" w:w="2436"/>
          </w:tcPr>
          <w:p>
            <w:r/>
            <w:r>
              <w:rPr>
                <w:b w:val="0"/>
                <w:i w:val="0"/>
                <w:sz w:val="18"/>
              </w:rPr>
              <w:t>0,30</w:t>
            </w:r>
          </w:p>
        </w:tc>
        <w:tc>
          <w:tcPr>
            <w:tcW w:type="dxa" w:w="2436"/>
          </w:tcPr>
          <w:p>
            <w:r/>
            <w:r>
              <w:rPr>
                <w:b w:val="0"/>
                <w:i w:val="0"/>
                <w:sz w:val="18"/>
              </w:rPr>
              <w:t>0,15</w:t>
            </w:r>
          </w:p>
        </w:tc>
      </w:tr>
      <w:tr>
        <w:tc>
          <w:tcPr>
            <w:tcW w:type="dxa" w:w="2436"/>
          </w:tcPr>
          <w:p>
            <w:r/>
            <m:oMath>
              <m:r>
                <m:t>κ</m:t>
              </m:r>
            </m:oMath>
          </w:p>
        </w:tc>
        <w:tc>
          <w:tcPr>
            <w:tcW w:type="dxa" w:w="2436"/>
          </w:tcPr>
          <w:p>
            <w:r/>
            <w:r>
              <w:rPr>
                <w:b w:val="0"/>
                <w:i w:val="0"/>
                <w:sz w:val="18"/>
              </w:rPr>
              <w:t>part des fraudes stoppées par la vérification</w:t>
            </w:r>
          </w:p>
        </w:tc>
        <w:tc>
          <w:tcPr>
            <w:tcW w:type="dxa" w:w="2436"/>
          </w:tcPr>
          <w:p>
            <w:r/>
            <w:r>
              <w:rPr>
                <w:b w:val="0"/>
                <w:i w:val="0"/>
                <w:sz w:val="18"/>
              </w:rPr>
              <w:t>0,85</w:t>
            </w:r>
          </w:p>
        </w:tc>
        <w:tc>
          <w:tcPr>
            <w:tcW w:type="dxa" w:w="2436"/>
          </w:tcPr>
          <w:p>
            <w:r/>
            <w:r>
              <w:rPr>
                <w:b w:val="0"/>
                <w:i w:val="0"/>
                <w:sz w:val="18"/>
              </w:rPr>
              <w:t>0,90</w:t>
            </w:r>
          </w:p>
        </w:tc>
      </w:tr>
      <w:tr>
        <w:tc>
          <w:tcPr>
            <w:tcW w:type="dxa" w:w="2436"/>
          </w:tcPr>
          <w:p>
            <w:r/>
            <m:oMath>
              <m:sSub>
                <m:e>
                  <m:r>
                    <m:t>c</m:t>
                  </m:r>
                </m:e>
                <m:sub>
                  <m:r>
                    <m:t>b</m:t>
                  </m:r>
                </m:sub>
              </m:sSub>
            </m:oMath>
          </w:p>
        </w:tc>
        <w:tc>
          <w:tcPr>
            <w:tcW w:type="dxa" w:w="2436"/>
          </w:tcPr>
          <w:p>
            <w:r/>
            <w:r>
              <w:rPr>
                <w:b w:val="0"/>
                <w:i w:val="0"/>
                <w:sz w:val="18"/>
              </w:rPr>
              <w:t>coût fixe d'un client honnête bloqué (USD)</w:t>
            </w:r>
          </w:p>
        </w:tc>
        <w:tc>
          <w:tcPr>
            <w:tcW w:type="dxa" w:w="2436"/>
          </w:tcPr>
          <w:p>
            <w:r/>
            <w:r>
              <w:rPr>
                <w:b w:val="0"/>
                <w:i w:val="0"/>
                <w:sz w:val="18"/>
              </w:rPr>
              <w:t>4,00</w:t>
            </w:r>
          </w:p>
        </w:tc>
        <w:tc>
          <w:tcPr>
            <w:tcW w:type="dxa" w:w="2436"/>
          </w:tcPr>
          <w:p>
            <w:r/>
            <w:r>
              <w:rPr>
                <w:b w:val="0"/>
                <w:i w:val="0"/>
                <w:sz w:val="18"/>
              </w:rPr>
              <w:t>6,00</w:t>
            </w:r>
          </w:p>
        </w:tc>
      </w:tr>
      <w:tr>
        <w:tc>
          <w:tcPr>
            <w:tcW w:type="dxa" w:w="2436"/>
          </w:tcPr>
          <w:p>
            <w:r/>
            <m:oMath>
              <m:r>
                <m:t>λ</m:t>
              </m:r>
            </m:oMath>
          </w:p>
        </w:tc>
        <w:tc>
          <w:tcPr>
            <w:tcW w:type="dxa" w:w="2436"/>
          </w:tcPr>
          <w:p>
            <w:r/>
            <w:r>
              <w:rPr>
                <w:b w:val="0"/>
                <w:i w:val="0"/>
                <w:sz w:val="18"/>
              </w:rPr>
              <w:t>part du montant perdue lors d'un blocage à tort</w:t>
            </w:r>
          </w:p>
        </w:tc>
        <w:tc>
          <w:tcPr>
            <w:tcW w:type="dxa" w:w="2436"/>
          </w:tcPr>
          <w:p>
            <w:r/>
            <w:r>
              <w:rPr>
                <w:b w:val="0"/>
                <w:i w:val="0"/>
                <w:sz w:val="18"/>
              </w:rPr>
              <w:t>0,05</w:t>
            </w:r>
          </w:p>
        </w:tc>
        <w:tc>
          <w:tcPr>
            <w:tcW w:type="dxa" w:w="2436"/>
          </w:tcPr>
          <w:p>
            <w:r/>
            <w:r>
              <w:rPr>
                <w:b w:val="0"/>
                <w:i w:val="0"/>
                <w:sz w:val="18"/>
              </w:rPr>
              <w:t>0,05</w:t>
            </w:r>
          </w:p>
        </w:tc>
      </w:tr>
    </w:tbl>
    <w:p/>
    <w:p>
      <w:pPr>
        <w:spacing w:after="120"/>
      </w:pPr>
      <w:r>
        <w:rPr>
          <w:b w:val="0"/>
          <w:i/>
        </w:rPr>
        <w:t>Tableau II.39 — Paramètres de coût par canal.</w:t>
      </w:r>
    </w:p>
    <w:p>
      <w:pPr>
        <w:spacing w:after="120"/>
      </w:pPr>
      <w:r>
        <w:rPr>
          <w:b w:val="0"/>
          <w:i w:val="0"/>
        </w:rPr>
        <w:t xml:space="preserve">Ces paramètres sont réglables </w:t>
      </w:r>
      <w:r>
        <w:rPr>
          <w:b/>
          <w:i w:val="0"/>
        </w:rPr>
        <w:t>sans réentraîner</w:t>
      </w:r>
      <w:r>
        <w:rPr>
          <w:b w:val="0"/>
          <w:i w:val="0"/>
        </w:rPr>
        <w:t xml:space="preserve"> le modèle. La vérification est moins coûteuse et plus efficace sur carte, grâce au protocole 3-D Secure. Les règles métier (RG-07 à RG-11) sont appliquées ensuite et ne peuvent que renforcer l'action.</w:t>
      </w:r>
    </w:p>
    <w:p>
      <w:pPr>
        <w:spacing w:after="120"/>
      </w:pPr>
      <w:r>
        <w:rPr>
          <w:b w:val="0"/>
          <w:i w:val="0"/>
        </w:rPr>
        <w:t xml:space="preserve">Le </w:t>
      </w:r>
      <w:r>
        <w:rPr>
          <w:b/>
          <w:i w:val="0"/>
        </w:rPr>
        <w:t>niveau de risque</w:t>
      </w:r>
      <w:r>
        <w:rPr>
          <w:b w:val="0"/>
          <w:i w:val="0"/>
        </w:rPr>
        <w:t xml:space="preserve"> affiché à l'analyste dépend de la position de </w:t>
      </w:r>
      <m:oMath>
        <m:r>
          <m:t>p</m:t>
        </m:r>
      </m:oMath>
      <w:r>
        <w:rPr>
          <w:b w:val="0"/>
          <w:i w:val="0"/>
        </w:rPr>
        <w:t xml:space="preserve"> par rapport au seuil </w:t>
      </w:r>
      <m:oMath>
        <m:sSup>
          <m:e>
            <m:r>
              <m:t>τ</m:t>
            </m:r>
          </m:e>
          <m:sup>
            <m:r>
              <m:t>*</m:t>
            </m:r>
          </m:sup>
        </m:sSup>
      </m:oMath>
      <w:r>
        <w:rPr>
          <w:b w:val="0"/>
          <w:i w:val="0"/>
        </w:rPr>
        <w:t xml:space="preserve"> : CRITIQUE si </w:t>
      </w:r>
      <m:oMath>
        <m:r>
          <m:t>p≥max(0,9;</m:t>
        </m:r>
        <m:r>
          <m:rPr>
            <m:sty m:val="p"/>
          </m:rPr>
          <m:t> </m:t>
        </m:r>
        <m:sSup>
          <m:e>
            <m:r>
              <m:t>τ</m:t>
            </m:r>
          </m:e>
          <m:sup>
            <m:r>
              <m:t>*</m:t>
            </m:r>
          </m:sup>
        </m:sSup>
        <m:r>
          <m:t>)</m:t>
        </m:r>
      </m:oMath>
      <w:r>
        <w:rPr>
          <w:b w:val="0"/>
          <w:i w:val="0"/>
        </w:rPr>
        <w:t xml:space="preserve">, ÉLEVÉ si </w:t>
      </w:r>
      <m:oMath>
        <m:r>
          <m:t>p≥</m:t>
        </m:r>
        <m:sSup>
          <m:e>
            <m:r>
              <m:t>τ</m:t>
            </m:r>
          </m:e>
          <m:sup>
            <m:r>
              <m:t>*</m:t>
            </m:r>
          </m:sup>
        </m:sSup>
      </m:oMath>
      <w:r>
        <w:rPr>
          <w:b w:val="0"/>
          <w:i w:val="0"/>
        </w:rPr>
        <w:t xml:space="preserve">, MOYEN si </w:t>
      </w:r>
      <m:oMath>
        <m:r>
          <m:t>p≥</m:t>
        </m:r>
        <m:sSup>
          <m:e>
            <m:r>
              <m:t>τ</m:t>
            </m:r>
          </m:e>
          <m:sup>
            <m:r>
              <m:t>*</m:t>
            </m:r>
          </m:sup>
        </m:sSup>
        <m:r>
          <m:t>/5</m:t>
        </m:r>
      </m:oMath>
      <w:r>
        <w:rPr>
          <w:b w:val="0"/>
          <w:i w:val="0"/>
        </w:rPr>
        <w:t>, FAIBLE sinon.</w:t>
      </w:r>
    </w:p>
    <w:p>
      <w:pPr>
        <w:pStyle w:val="Heading3"/>
      </w:pPr>
      <w:r>
        <w:t>c) Les lois physiques</w:t>
      </w:r>
    </w:p>
    <w:p>
      <w:pPr>
        <w:spacing w:after="120"/>
      </w:pPr>
      <w:r>
        <w:rPr>
          <w:b w:val="0"/>
          <w:i w:val="0"/>
        </w:rPr>
        <w:t xml:space="preserve">Un modèle appris ne connaît que les fraudes qu'il a vues. Les </w:t>
      </w:r>
      <w:r>
        <w:rPr>
          <w:b/>
          <w:i w:val="0"/>
        </w:rPr>
        <w:t>lois physiques</w:t>
      </w:r>
      <w:r>
        <w:rPr>
          <w:b w:val="0"/>
          <w:i w:val="0"/>
        </w:rPr>
        <w:t xml:space="preserve"> ajoutent des contraintes que toute fraude, même inédite, doit respecter :</w:t>
      </w:r>
    </w:p>
    <w:p>
      <w:pPr>
        <w:pStyle w:val="ListBullet"/>
      </w:pPr>
      <w:r>
        <w:rPr>
          <w:b/>
          <w:i w:val="0"/>
        </w:rPr>
        <w:t>Cinématique.</w:t>
      </w:r>
      <w:r>
        <w:rPr>
          <w:b w:val="0"/>
          <w:i w:val="0"/>
        </w:rPr>
        <w:t xml:space="preserve"> Le système calcule la distance de grand cercle </w:t>
      </w:r>
      <m:oMath>
        <m:r>
          <m:t>d</m:t>
        </m:r>
      </m:oMath>
      <w:r>
        <w:rPr>
          <w:b w:val="0"/>
          <w:i w:val="0"/>
        </w:rPr>
        <w:t xml:space="preserve"> entre les chefs-lieux des provinces de deux opérations consécutives, puis la durée minimale du trajet, par la route (80 km/h) ou par avion (800 km/h plus 2 h de formalités) :</w:t>
      </w:r>
    </w:p>
    <w:p>
      <w:pPr>
        <w:jc w:val="center"/>
      </w:pPr>
      <m:oMath>
        <m:sSub>
          <m:e>
            <m:r>
              <m:t>t</m:t>
            </m:r>
          </m:e>
          <m:sub>
            <m:r>
              <m:t>min</m:t>
            </m:r>
          </m:sub>
        </m:sSub>
        <m:r>
          <m:t>(d)=min(</m:t>
        </m:r>
        <m:f>
          <m:fPr>
            <m:type m:val="bar"/>
          </m:fPr>
          <m:num>
            <m:r>
              <m:t>d</m:t>
            </m:r>
          </m:num>
          <m:den>
            <m:r>
              <m:t>80</m:t>
            </m:r>
          </m:den>
        </m:f>
        <m:r>
          <m:t>,</m:t>
        </m:r>
        <m:r>
          <m:rPr>
            <m:sty m:val="p"/>
          </m:rPr>
          <m:t> </m:t>
        </m:r>
        <m:r>
          <m:t>2+</m:t>
        </m:r>
        <m:f>
          <m:fPr>
            <m:type m:val="bar"/>
          </m:fPr>
          <m:num>
            <m:r>
              <m:t>d</m:t>
            </m:r>
          </m:num>
          <m:den>
            <m:r>
              <m:t>800</m:t>
            </m:r>
          </m:den>
        </m:f>
        <m:r>
          <m:t>),</m:t>
        </m:r>
        <m:r>
          <m:t>I=max(0,</m:t>
        </m:r>
        <m:r>
          <m:rPr>
            <m:sty m:val="p"/>
          </m:rPr>
          <m:t> </m:t>
        </m:r>
        <m:f>
          <m:fPr>
            <m:type m:val="bar"/>
          </m:fPr>
          <m:num>
            <m:sSub>
              <m:e>
                <m:r>
                  <m:t>t</m:t>
                </m:r>
              </m:e>
              <m:sub>
                <m:r>
                  <m:t>min</m:t>
                </m:r>
              </m:sub>
            </m:sSub>
            <m:r>
              <m:t>(d)</m:t>
            </m:r>
          </m:num>
          <m:den>
            <m:r>
              <m:t>Δt</m:t>
            </m:r>
          </m:den>
        </m:f>
        <m:r>
          <m:t>−1)</m:t>
        </m:r>
      </m:oMath>
    </w:p>
    <w:p>
      <w:pPr>
        <w:spacing w:after="120"/>
      </w:pPr>
      <w:r>
        <w:rPr>
          <w:b w:val="0"/>
          <w:i w:val="0"/>
        </w:rPr>
        <w:t xml:space="preserve">Une infaisabilité </w:t>
      </w:r>
      <m:oMath>
        <m:r>
          <m:t>I≥1</m:t>
        </m:r>
      </m:oMath>
      <w:r>
        <w:rPr>
          <w:b w:val="0"/>
          <w:i w:val="0"/>
        </w:rPr>
        <w:t xml:space="preserve"> signifie que le client aurait dû voyager au moins deux fois plus vite que le moyen le plus rapide : c'est une violation nette, typique d'une attaque par relais.</w:t>
      </w:r>
    </w:p>
    <w:p>
      <w:pPr>
        <w:pStyle w:val="ListBullet"/>
      </w:pPr>
      <w:r>
        <w:rPr>
          <w:b/>
          <w:i w:val="0"/>
        </w:rPr>
        <w:t>Conservation.</w:t>
      </w:r>
      <w:r>
        <w:rPr>
          <w:b w:val="0"/>
          <w:i w:val="0"/>
        </w:rPr>
        <w:t xml:space="preserve"> Un débit ne peut dépasser le solde. La vitesse de vidage du compte est également mesurée.</w:t>
      </w:r>
    </w:p>
    <w:p>
      <w:pPr>
        <w:spacing w:after="120"/>
      </w:pPr>
      <w:r>
        <w:rPr>
          <w:b w:val="0"/>
          <w:i w:val="0"/>
        </w:rPr>
        <w:t xml:space="preserve">En mode </w:t>
      </w:r>
      <w:r>
        <w:rPr>
          <w:rFonts w:ascii="Consolas" w:hAnsi="Consolas"/>
          <w:b w:val="0"/>
          <w:i w:val="0"/>
          <w:color w:val="1F3A8A"/>
          <w:sz w:val="18"/>
        </w:rPr>
        <w:t>enforce</w:t>
      </w:r>
      <w:r>
        <w:rPr>
          <w:b w:val="0"/>
          <w:i w:val="0"/>
        </w:rPr>
        <w:t>, une violation nette impose au minimum une vérification (RG-11).</w:t>
      </w:r>
    </w:p>
    <w:p>
      <w:pPr>
        <w:pStyle w:val="Heading3"/>
      </w:pPr>
      <w:r>
        <w:t>d) Explication et preuves</w:t>
      </w:r>
    </w:p>
    <w:p>
      <w:pPr>
        <w:spacing w:after="120"/>
      </w:pPr>
      <w:r>
        <w:rPr>
          <w:b w:val="0"/>
          <w:i w:val="0"/>
        </w:rPr>
        <w:t>Chaque décision est accompagnée de plusieurs éléments d'explication :</w:t>
      </w:r>
    </w:p>
    <w:p>
      <w:pPr>
        <w:pStyle w:val="ListBullet"/>
      </w:pPr>
      <w:r>
        <w:rPr>
          <w:b/>
          <w:i w:val="0"/>
        </w:rPr>
        <w:t>SHAP exact</w:t>
      </w:r>
      <w:r>
        <w:rPr>
          <w:b w:val="0"/>
          <w:i w:val="0"/>
        </w:rPr>
        <w:t xml:space="preserve"> (TreeSHAP) : la contribution de chaque variable à la décision de XGBoost, qui répond à la question « pourquoi cette opération ? » ;</w:t>
      </w:r>
    </w:p>
    <w:p>
      <w:pPr>
        <w:pStyle w:val="ListBullet"/>
      </w:pPr>
      <w:r>
        <w:rPr>
          <w:b/>
          <w:i w:val="0"/>
        </w:rPr>
        <w:t>contributions des composantes</w:t>
      </w:r>
      <w:r>
        <w:rPr>
          <w:b w:val="0"/>
          <w:i w:val="0"/>
        </w:rPr>
        <w:t xml:space="preserve"> et </w:t>
      </w:r>
      <w:r>
        <w:rPr>
          <w:b/>
          <w:i w:val="0"/>
        </w:rPr>
        <w:t>poids d'attention</w:t>
      </w:r>
      <w:r>
        <w:rPr>
          <w:b w:val="0"/>
          <w:i w:val="0"/>
        </w:rPr>
        <w:t xml:space="preserve"> : la part de chaque composante et les opérations passées qui ont compté ;</w:t>
      </w:r>
    </w:p>
    <w:p>
      <w:pPr>
        <w:pStyle w:val="ListBullet"/>
      </w:pPr>
      <w:r>
        <w:rPr>
          <w:b/>
          <w:i w:val="0"/>
        </w:rPr>
        <w:t>recherche de cas similaires</w:t>
      </w:r>
      <w:r>
        <w:rPr>
          <w:b w:val="0"/>
          <w:i w:val="0"/>
        </w:rPr>
        <w:t>, sans modèle de langage externe :</w:t>
      </w:r>
    </w:p>
    <w:p>
      <w:pPr>
        <w:pStyle w:val="ListBullet2"/>
      </w:pPr>
      <w:r>
        <w:rPr>
          <w:b w:val="0"/>
          <w:i w:val="0"/>
        </w:rPr>
        <w:t>les opérations passées les plus proches dans l'espace des variables (k plus proches voisins), avec leur proportion de fraudes et un indicateur de cohérence avec la décision ;</w:t>
      </w:r>
    </w:p>
    <w:p>
      <w:pPr>
        <w:pStyle w:val="ListBullet2"/>
      </w:pPr>
      <w:r>
        <w:rPr>
          <w:b w:val="0"/>
          <w:i w:val="0"/>
        </w:rPr>
        <w:t>les passages pertinents d'une base de procédures par type de fraude, retrouvés par TF-IDF ;</w:t>
      </w:r>
    </w:p>
    <w:p>
      <w:pPr>
        <w:pStyle w:val="ListBullet"/>
      </w:pPr>
      <w:r>
        <w:rPr>
          <w:b/>
          <w:i w:val="0"/>
        </w:rPr>
        <w:t>analyse du message</w:t>
      </w:r>
      <w:r>
        <w:rPr>
          <w:b w:val="0"/>
          <w:i w:val="0"/>
        </w:rPr>
        <w:t xml:space="preserve"> du transfert (NLP) : score d'ingénierie sociale fondé sur des indices lexicaux de manipulation (urgence, gain, faux agent). Le texte n'est jamais stocké en clair.</w:t>
      </w:r>
    </w:p>
    <w:p>
      <w:pPr>
        <w:pStyle w:val="Heading3"/>
      </w:pPr>
      <w:r>
        <w:t>e) La typologie</w:t>
      </w:r>
    </w:p>
    <w:p>
      <w:pPr>
        <w:spacing w:after="120"/>
      </w:pPr>
      <w:r>
        <w:rPr>
          <w:b w:val="0"/>
          <w:i w:val="0"/>
        </w:rPr>
        <w:t xml:space="preserve">Un second modèle, XGBoost multiclasse, est entraîné sur les seules fraudes. Sa sortie est restreinte aux typologies possibles pour le canal </w:t>
      </w:r>
      <m:oMath>
        <m:r>
          <m:t>c</m:t>
        </m:r>
      </m:oMath>
      <w:r>
        <w:rPr>
          <w:b w:val="0"/>
          <w:i w:val="0"/>
        </w:rPr>
        <w:t xml:space="preserve"> (un test de carte n'a pas de sens en Mobile Money), puis renormalisée :</w:t>
      </w:r>
    </w:p>
    <w:p>
      <w:pPr>
        <w:jc w:val="center"/>
      </w:pPr>
      <m:oMath>
        <m:acc>
          <m:accPr>
            <m:chr m:val="̂"/>
          </m:accPr>
          <m:e>
            <m:r>
              <m:t>P</m:t>
            </m:r>
          </m:e>
        </m:acc>
        <m:r>
          <m:t>(k∣</m:t>
        </m:r>
        <m:limUpp>
          <m:e>
            <m:r>
              <m:t>x</m:t>
            </m:r>
          </m:e>
          <m:lim>
            <m:r>
              <m:t>~</m:t>
            </m:r>
          </m:lim>
        </m:limUpp>
        <m:r>
          <m:t>,c)=</m:t>
        </m:r>
        <m:f>
          <m:fPr>
            <m:type m:val="bar"/>
          </m:fPr>
          <m:num>
            <m:r>
              <m:t>P(k∣</m:t>
            </m:r>
            <m:limUpp>
              <m:e>
                <m:r>
                  <m:t>x</m:t>
                </m:r>
              </m:e>
              <m:lim>
                <m:r>
                  <m:t>~</m:t>
                </m:r>
              </m:lim>
            </m:limUpp>
            <m:r>
              <m:t>)</m:t>
            </m:r>
            <m:r>
              <m:rPr>
                <m:scr m:val="double-struck"/>
                <m:sty m:val="p"/>
              </m:rPr>
              <m:t>1</m:t>
            </m:r>
            <m:r>
              <m:t>[k∈</m:t>
            </m:r>
            <m:sSub>
              <m:e>
                <m:r>
                  <m:t>𝒦</m:t>
                </m:r>
              </m:e>
              <m:sub>
                <m:r>
                  <m:t>c</m:t>
                </m:r>
              </m:sub>
            </m:sSub>
            <m:r>
              <m:t>]</m:t>
            </m:r>
          </m:num>
          <m:den>
            <m:nary>
              <m:naryPr>
                <m:chr m:val="∑"/>
                <m:limLoc m:val="subSup"/>
                <m:grow m:val="1"/>
                <m:subHide m:val="off"/>
                <m:supHide m:val="on"/>
              </m:naryPr>
              <m:sub>
                <m:sSup>
                  <m:e>
                    <m:r>
                      <m:t>k</m:t>
                    </m:r>
                  </m:e>
                  <m:sup>
                    <m:r>
                      <m:t>′</m:t>
                    </m:r>
                  </m:sup>
                </m:sSup>
                <m:r>
                  <m:t>∈</m:t>
                </m:r>
                <m:sSub>
                  <m:e>
                    <m:r>
                      <m:t>𝒦</m:t>
                    </m:r>
                  </m:e>
                  <m:sub>
                    <m:r>
                      <m:t>c</m:t>
                    </m:r>
                  </m:sub>
                </m:sSub>
              </m:sub>
              <m:sup/>
              <m:e>
                <m:r>
                  <m:t>P(</m:t>
                </m:r>
              </m:e>
            </m:nary>
            <m:sSup>
              <m:e>
                <m:r>
                  <m:t>k</m:t>
                </m:r>
              </m:e>
              <m:sup>
                <m:r>
                  <m:t>′</m:t>
                </m:r>
              </m:sup>
            </m:sSup>
            <m:r>
              <m:t>∣</m:t>
            </m:r>
            <m:limUpp>
              <m:e>
                <m:r>
                  <m:t>x</m:t>
                </m:r>
              </m:e>
              <m:lim>
                <m:r>
                  <m:t>~</m:t>
                </m:r>
              </m:lim>
            </m:limUpp>
            <m:r>
              <m:t>)</m:t>
            </m:r>
          </m:den>
        </m:f>
      </m:oMath>
    </w:p>
    <w:p>
      <w:pPr>
        <w:pStyle w:val="Heading3"/>
      </w:pPr>
      <w:r>
        <w:t>II.3.7 Conception de l'API partenaires</w:t>
      </w:r>
    </w:p>
    <w:p>
      <w:pPr>
        <w:spacing w:after="120"/>
      </w:pPr>
      <w:r>
        <w:rPr>
          <w:b w:val="0"/>
          <w:i w:val="0"/>
        </w:rPr>
        <w:t>L'API ouvre le système aux opérateurs, aux banques et au régulateur. Elle est versionnée (</w:t>
      </w:r>
      <w:r>
        <w:rPr>
          <w:rFonts w:ascii="Consolas" w:hAnsi="Consolas"/>
          <w:b w:val="0"/>
          <w:i w:val="0"/>
          <w:color w:val="1F3A8A"/>
          <w:sz w:val="18"/>
        </w:rPr>
        <w:t>/v1</w:t>
      </w:r>
      <w:r>
        <w:rPr>
          <w:b w:val="0"/>
          <w:i w:val="0"/>
        </w:rPr>
        <w:t>) et documentée au format OpenAPI.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Route</w:t>
            </w:r>
          </w:p>
        </w:tc>
        <w:tc>
          <w:tcPr>
            <w:tcW w:type="dxa" w:w="3249"/>
            <w:shd w:val="clear" w:color="auto" w:fill="DCE6F7"/>
          </w:tcPr>
          <w:p>
            <w:r/>
            <w:r>
              <w:rPr>
                <w:b/>
                <w:i w:val="0"/>
                <w:sz w:val="18"/>
              </w:rPr>
              <w:t>Droit requis</w:t>
            </w:r>
          </w:p>
        </w:tc>
        <w:tc>
          <w:tcPr>
            <w:tcW w:type="dxa" w:w="3249"/>
            <w:shd w:val="clear" w:color="auto" w:fill="DCE6F7"/>
          </w:tcPr>
          <w:p>
            <w:r/>
            <w:r>
              <w:rPr>
                <w:b/>
                <w:i w:val="0"/>
                <w:sz w:val="18"/>
              </w:rPr>
              <w:t>Rôle</w:t>
            </w:r>
          </w:p>
        </w:tc>
      </w:tr>
      <w:tr>
        <w:tc>
          <w:tcPr>
            <w:tcW w:type="dxa" w:w="3249"/>
          </w:tcPr>
          <w:p>
            <w:r/>
            <w:r>
              <w:rPr>
                <w:rFonts w:ascii="Consolas" w:hAnsi="Consolas"/>
                <w:b w:val="0"/>
                <w:i w:val="0"/>
                <w:color w:val="1F3A8A"/>
                <w:sz w:val="18"/>
              </w:rPr>
              <w:t>POST /v1/transactions</w:t>
            </w:r>
          </w:p>
        </w:tc>
        <w:tc>
          <w:tcPr>
            <w:tcW w:type="dxa" w:w="3249"/>
          </w:tcPr>
          <w:p>
            <w:r/>
            <w:r>
              <w:rPr>
                <w:b w:val="0"/>
                <w:i w:val="0"/>
                <w:sz w:val="18"/>
              </w:rPr>
              <w:t>transactions</w:t>
            </w:r>
          </w:p>
        </w:tc>
        <w:tc>
          <w:tcPr>
            <w:tcW w:type="dxa" w:w="3249"/>
          </w:tcPr>
          <w:p>
            <w:r/>
            <w:r>
              <w:rPr>
                <w:b w:val="0"/>
                <w:i w:val="0"/>
                <w:sz w:val="18"/>
              </w:rPr>
              <w:t>notation au format commun</w:t>
            </w:r>
          </w:p>
        </w:tc>
      </w:tr>
      <w:tr>
        <w:tc>
          <w:tcPr>
            <w:tcW w:type="dxa" w:w="3249"/>
          </w:tcPr>
          <w:p>
            <w:r/>
            <w:r>
              <w:rPr>
                <w:rFonts w:ascii="Consolas" w:hAnsi="Consolas"/>
                <w:b w:val="0"/>
                <w:i w:val="0"/>
                <w:color w:val="1F3A8A"/>
                <w:sz w:val="18"/>
              </w:rPr>
              <w:t>POST /v1/transactions/{format}</w:t>
            </w:r>
          </w:p>
        </w:tc>
        <w:tc>
          <w:tcPr>
            <w:tcW w:type="dxa" w:w="3249"/>
          </w:tcPr>
          <w:p>
            <w:r/>
            <w:r>
              <w:rPr>
                <w:b w:val="0"/>
                <w:i w:val="0"/>
                <w:sz w:val="18"/>
              </w:rPr>
              <w:t>transactions</w:t>
            </w:r>
          </w:p>
        </w:tc>
        <w:tc>
          <w:tcPr>
            <w:tcW w:type="dxa" w:w="3249"/>
          </w:tcPr>
          <w:p>
            <w:r/>
            <w:r>
              <w:rPr>
                <w:b w:val="0"/>
                <w:i w:val="0"/>
                <w:sz w:val="18"/>
              </w:rPr>
              <w:t>notation au format natif d'un opérateur (Vodacom, Airtel, Orange, Visa)</w:t>
            </w:r>
          </w:p>
        </w:tc>
      </w:tr>
      <w:tr>
        <w:tc>
          <w:tcPr>
            <w:tcW w:type="dxa" w:w="3249"/>
          </w:tcPr>
          <w:p>
            <w:r/>
            <w:r>
              <w:rPr>
                <w:rFonts w:ascii="Consolas" w:hAnsi="Consolas"/>
                <w:b w:val="0"/>
                <w:i w:val="0"/>
                <w:color w:val="1F3A8A"/>
                <w:sz w:val="18"/>
              </w:rPr>
              <w:t>GET /v1/transactions/{id}</w:t>
            </w:r>
          </w:p>
        </w:tc>
        <w:tc>
          <w:tcPr>
            <w:tcW w:type="dxa" w:w="3249"/>
          </w:tcPr>
          <w:p>
            <w:r/>
            <w:r>
              <w:rPr>
                <w:b w:val="0"/>
                <w:i w:val="0"/>
                <w:sz w:val="18"/>
              </w:rPr>
              <w:t>transactions</w:t>
            </w:r>
          </w:p>
        </w:tc>
        <w:tc>
          <w:tcPr>
            <w:tcW w:type="dxa" w:w="3249"/>
          </w:tcPr>
          <w:p>
            <w:r/>
            <w:r>
              <w:rPr>
                <w:b w:val="0"/>
                <w:i w:val="0"/>
                <w:sz w:val="18"/>
              </w:rPr>
              <w:t>décision, dossier et étiquette d'une opération de l'institution</w:t>
            </w:r>
          </w:p>
        </w:tc>
      </w:tr>
      <w:tr>
        <w:tc>
          <w:tcPr>
            <w:tcW w:type="dxa" w:w="3249"/>
          </w:tcPr>
          <w:p>
            <w:r/>
            <w:r>
              <w:rPr>
                <w:rFonts w:ascii="Consolas" w:hAnsi="Consolas"/>
                <w:b w:val="0"/>
                <w:i w:val="0"/>
                <w:color w:val="1F3A8A"/>
                <w:sz w:val="18"/>
              </w:rPr>
              <w:t>POST /v1/feedback</w:t>
            </w:r>
          </w:p>
        </w:tc>
        <w:tc>
          <w:tcPr>
            <w:tcW w:type="dxa" w:w="3249"/>
          </w:tcPr>
          <w:p>
            <w:r/>
            <w:r>
              <w:rPr>
                <w:b w:val="0"/>
                <w:i w:val="0"/>
                <w:sz w:val="18"/>
              </w:rPr>
              <w:t>feedback</w:t>
            </w:r>
          </w:p>
        </w:tc>
        <w:tc>
          <w:tcPr>
            <w:tcW w:type="dxa" w:w="3249"/>
          </w:tcPr>
          <w:p>
            <w:r/>
            <w:r>
              <w:rPr>
                <w:b w:val="0"/>
                <w:i w:val="0"/>
                <w:sz w:val="18"/>
              </w:rPr>
              <w:t>fraude constatée ou fausse alerte → étiquette</w:t>
            </w:r>
          </w:p>
        </w:tc>
      </w:tr>
      <w:tr>
        <w:tc>
          <w:tcPr>
            <w:tcW w:type="dxa" w:w="3249"/>
          </w:tcPr>
          <w:p>
            <w:r/>
            <w:r>
              <w:rPr>
                <w:rFonts w:ascii="Consolas" w:hAnsi="Consolas"/>
                <w:b w:val="0"/>
                <w:i w:val="0"/>
                <w:color w:val="1F3A8A"/>
                <w:sz w:val="18"/>
              </w:rPr>
              <w:t>GET /v1/stats</w:t>
            </w:r>
          </w:p>
        </w:tc>
        <w:tc>
          <w:tcPr>
            <w:tcW w:type="dxa" w:w="3249"/>
          </w:tcPr>
          <w:p>
            <w:r/>
            <w:r>
              <w:rPr>
                <w:b w:val="0"/>
                <w:i w:val="0"/>
                <w:sz w:val="18"/>
              </w:rPr>
              <w:t>transactions</w:t>
            </w:r>
          </w:p>
        </w:tc>
        <w:tc>
          <w:tcPr>
            <w:tcW w:type="dxa" w:w="3249"/>
          </w:tcPr>
          <w:p>
            <w:r/>
            <w:r>
              <w:rPr>
                <w:b w:val="0"/>
                <w:i w:val="0"/>
                <w:sz w:val="18"/>
              </w:rPr>
              <w:t>statistiques de l'institution</w:t>
            </w:r>
          </w:p>
        </w:tc>
      </w:tr>
      <w:tr>
        <w:tc>
          <w:tcPr>
            <w:tcW w:type="dxa" w:w="3249"/>
          </w:tcPr>
          <w:p>
            <w:r/>
            <w:r>
              <w:rPr>
                <w:rFonts w:ascii="Consolas" w:hAnsi="Consolas"/>
                <w:b w:val="0"/>
                <w:i w:val="0"/>
                <w:color w:val="1F3A8A"/>
                <w:sz w:val="18"/>
              </w:rPr>
              <w:t>GET /v1/supervision/summary</w:t>
            </w:r>
            <w:r>
              <w:rPr>
                <w:b w:val="0"/>
                <w:i w:val="0"/>
                <w:sz w:val="18"/>
              </w:rPr>
              <w:t xml:space="preserve">, </w:t>
            </w:r>
            <w:r>
              <w:rPr>
                <w:rFonts w:ascii="Consolas" w:hAnsi="Consolas"/>
                <w:b w:val="0"/>
                <w:i w:val="0"/>
                <w:color w:val="1F3A8A"/>
                <w:sz w:val="18"/>
              </w:rPr>
              <w:t>/daily</w:t>
            </w:r>
          </w:p>
        </w:tc>
        <w:tc>
          <w:tcPr>
            <w:tcW w:type="dxa" w:w="3249"/>
          </w:tcPr>
          <w:p>
            <w:r/>
            <w:r>
              <w:rPr>
                <w:b w:val="0"/>
                <w:i w:val="0"/>
                <w:sz w:val="18"/>
              </w:rPr>
              <w:t>supervision</w:t>
            </w:r>
          </w:p>
        </w:tc>
        <w:tc>
          <w:tcPr>
            <w:tcW w:type="dxa" w:w="3249"/>
          </w:tcPr>
          <w:p>
            <w:r/>
            <w:r>
              <w:rPr>
                <w:b w:val="0"/>
                <w:i w:val="0"/>
                <w:sz w:val="18"/>
              </w:rPr>
              <w:t>agrégats de toutes les institutions, sans donnée personnelle</w:t>
            </w:r>
          </w:p>
        </w:tc>
      </w:tr>
    </w:tbl>
    <w:p/>
    <w:p>
      <w:pPr>
        <w:spacing w:after="120"/>
      </w:pPr>
      <w:r>
        <w:rPr>
          <w:b w:val="0"/>
          <w:i/>
        </w:rPr>
        <w:t>Tableau II.40 — Routes de l'API partenaires.</w:t>
      </w:r>
    </w:p>
    <w:p>
      <w:pPr>
        <w:spacing w:after="120"/>
      </w:pPr>
      <w:r>
        <w:rPr>
          <w:b/>
          <w:i w:val="0"/>
        </w:rPr>
        <w:t>Choix de conception :</w:t>
      </w:r>
    </w:p>
    <w:p>
      <w:pPr>
        <w:pStyle w:val="ListBullet"/>
      </w:pPr>
      <w:r>
        <w:rPr>
          <w:b w:val="0"/>
          <w:i w:val="0"/>
        </w:rPr>
        <w:t>*</w:t>
      </w:r>
      <w:r>
        <w:rPr>
          <w:b w:val="0"/>
          <w:i/>
        </w:rPr>
        <w:t xml:space="preserve">Patron </w:t>
      </w:r>
      <w:r>
        <w:rPr>
          <w:b w:val="0"/>
          <w:i w:val="0"/>
        </w:rPr>
        <w:t>Adapter</w:t>
      </w:r>
      <w:r>
        <w:rPr>
          <w:b w:val="0"/>
          <w:i/>
        </w:rPr>
        <w:t>.</w:t>
      </w:r>
      <w:r>
        <w:rPr>
          <w:b w:val="0"/>
          <w:i w:val="0"/>
        </w:rPr>
        <w:t xml:space="preserve">* Chaque format d'opérateur dispose d'un adaptateur qui le convertit vers </w:t>
      </w:r>
      <w:r>
        <w:rPr>
          <w:rFonts w:ascii="Consolas" w:hAnsi="Consolas"/>
          <w:b w:val="0"/>
          <w:i w:val="0"/>
          <w:color w:val="1F3A8A"/>
          <w:sz w:val="18"/>
        </w:rPr>
        <w:t>UnifiedTransaction</w:t>
      </w:r>
      <w:r>
        <w:rPr>
          <w:b w:val="0"/>
          <w:i w:val="0"/>
        </w:rPr>
        <w:t>. Ajouter un opérateur revient à écrire un adaptateur, sans toucher au moteur.</w:t>
      </w:r>
    </w:p>
    <w:p>
      <w:pPr>
        <w:pStyle w:val="ListBullet"/>
      </w:pPr>
      <w:r>
        <w:rPr>
          <w:b/>
          <w:i w:val="0"/>
        </w:rPr>
        <w:t>Clé de 256 bits par institution.</w:t>
      </w:r>
      <w:r>
        <w:rPr>
          <w:b w:val="0"/>
          <w:i w:val="0"/>
        </w:rPr>
        <w:t xml:space="preserve"> Seule son empreinte SHA-256 est conservée ; la clé n'est affichée qu'une fois, à sa création.</w:t>
      </w:r>
    </w:p>
    <w:p>
      <w:pPr>
        <w:pStyle w:val="ListBullet"/>
      </w:pPr>
      <w:r>
        <w:rPr>
          <w:b/>
          <w:i w:val="0"/>
        </w:rPr>
        <w:t>Droits par institution.</w:t>
      </w:r>
      <w:r>
        <w:rPr>
          <w:b w:val="0"/>
          <w:i w:val="0"/>
        </w:rPr>
        <w:t xml:space="preserve"> Un régulateur ne soumet pas d'opérations ; une banque ne supervise pas le secteur.</w:t>
      </w:r>
    </w:p>
    <w:p>
      <w:pPr>
        <w:pStyle w:val="ListBullet"/>
      </w:pPr>
      <w:r>
        <w:rPr>
          <w:b/>
          <w:i w:val="0"/>
        </w:rPr>
        <w:t>Isolement des données.</w:t>
      </w:r>
      <w:r>
        <w:rPr>
          <w:b w:val="0"/>
          <w:i w:val="0"/>
        </w:rPr>
        <w:t xml:space="preserve"> Le code de l'institution est fixé par le serveur d'après la clé, jamais d'après la requête. Une institution reçoit la même réponse 404 pour l'opération d'une autre que pour une opération inexistante.</w:t>
      </w:r>
    </w:p>
    <w:p>
      <w:pPr>
        <w:pStyle w:val="ListBullet"/>
      </w:pPr>
      <w:r>
        <w:rPr>
          <w:b/>
          <w:i w:val="0"/>
        </w:rPr>
        <w:t>Limitation de débit</w:t>
      </w:r>
      <w:r>
        <w:rPr>
          <w:b w:val="0"/>
          <w:i w:val="0"/>
        </w:rPr>
        <w:t xml:space="preserve"> et audit des créations de clés, des retours et des consultations du régulateur.</w:t>
      </w:r>
    </w:p>
    <w:p>
      <w:pPr>
        <w:pStyle w:val="Heading3"/>
      </w:pPr>
      <w:r>
        <w:t>II.3.8 Conception de l'apprentissage continu</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Signal</w:t>
            </w:r>
          </w:p>
        </w:tc>
        <w:tc>
          <w:tcPr>
            <w:tcW w:type="dxa" w:w="3249"/>
            <w:shd w:val="clear" w:color="auto" w:fill="DCE6F7"/>
          </w:tcPr>
          <w:p>
            <w:r/>
            <w:r>
              <w:rPr>
                <w:b/>
                <w:i w:val="0"/>
                <w:sz w:val="18"/>
              </w:rPr>
              <w:t>Mesure</w:t>
            </w:r>
          </w:p>
        </w:tc>
        <w:tc>
          <w:tcPr>
            <w:tcW w:type="dxa" w:w="3249"/>
            <w:shd w:val="clear" w:color="auto" w:fill="DCE6F7"/>
          </w:tcPr>
          <w:p>
            <w:r/>
            <w:r>
              <w:rPr>
                <w:b/>
                <w:i w:val="0"/>
                <w:sz w:val="18"/>
              </w:rPr>
              <w:t>Déclenchement</w:t>
            </w:r>
          </w:p>
        </w:tc>
      </w:tr>
      <w:tr>
        <w:tc>
          <w:tcPr>
            <w:tcW w:type="dxa" w:w="3249"/>
          </w:tcPr>
          <w:p>
            <w:r/>
            <w:r>
              <w:rPr>
                <w:b w:val="0"/>
                <w:i w:val="0"/>
                <w:sz w:val="18"/>
              </w:rPr>
              <w:t>Nouvelles étiquettes</w:t>
            </w:r>
          </w:p>
        </w:tc>
        <w:tc>
          <w:tcPr>
            <w:tcW w:type="dxa" w:w="3249"/>
          </w:tcPr>
          <w:p>
            <w:r/>
            <w:r>
              <w:rPr>
                <w:b w:val="0"/>
                <w:i w:val="0"/>
                <w:sz w:val="18"/>
              </w:rPr>
              <w:t>verdicts d'analystes, plaintes, retours des institutions</w:t>
            </w:r>
          </w:p>
        </w:tc>
        <w:tc>
          <w:tcPr>
            <w:tcW w:type="dxa" w:w="3249"/>
          </w:tcPr>
          <w:p>
            <w:r/>
            <w:r>
              <w:rPr>
                <w:b w:val="0"/>
                <w:i w:val="0"/>
                <w:sz w:val="18"/>
              </w:rPr>
              <w:t>seuil d'étiquettes nouvelles atteint</w:t>
            </w:r>
          </w:p>
        </w:tc>
      </w:tr>
      <w:tr>
        <w:tc>
          <w:tcPr>
            <w:tcW w:type="dxa" w:w="3249"/>
          </w:tcPr>
          <w:p>
            <w:r/>
            <w:r>
              <w:rPr>
                <w:b w:val="0"/>
                <w:i w:val="0"/>
                <w:sz w:val="18"/>
              </w:rPr>
              <w:t>Dérive des données</w:t>
            </w:r>
          </w:p>
        </w:tc>
        <w:tc>
          <w:tcPr>
            <w:tcW w:type="dxa" w:w="3249"/>
          </w:tcPr>
          <w:p>
            <w:r/>
            <w:r>
              <w:rPr>
                <w:b w:val="0"/>
                <w:i w:val="0"/>
                <w:sz w:val="18"/>
              </w:rPr>
              <w:t>test de Kolmogorov-Smirnov et indice PSI par variable, PSI du score</w:t>
            </w:r>
          </w:p>
        </w:tc>
        <w:tc>
          <w:tcPr>
            <w:tcW w:type="dxa" w:w="3249"/>
          </w:tcPr>
          <w:p>
            <w:r/>
            <w:r>
              <w:rPr>
                <w:b w:val="0"/>
                <w:i w:val="0"/>
                <w:sz w:val="18"/>
              </w:rPr>
              <w:t>PSI au-dessus du seuil</w:t>
            </w:r>
          </w:p>
        </w:tc>
      </w:tr>
      <w:tr>
        <w:tc>
          <w:tcPr>
            <w:tcW w:type="dxa" w:w="3249"/>
          </w:tcPr>
          <w:p>
            <w:r/>
            <w:r>
              <w:rPr>
                <w:b w:val="0"/>
                <w:i w:val="0"/>
                <w:sz w:val="18"/>
              </w:rPr>
              <w:t>Comportements nouveaux</w:t>
            </w:r>
          </w:p>
        </w:tc>
        <w:tc>
          <w:tcPr>
            <w:tcW w:type="dxa" w:w="3249"/>
          </w:tcPr>
          <w:p>
            <w:r/>
            <w:r>
              <w:rPr>
                <w:b w:val="0"/>
                <w:i w:val="0"/>
                <w:sz w:val="18"/>
              </w:rPr>
              <w:t>part des opérations dont l'erreur de reconstruction dépasse le 99ᵉ centile de référence</w:t>
            </w:r>
          </w:p>
        </w:tc>
        <w:tc>
          <w:tcPr>
            <w:tcW w:type="dxa" w:w="3249"/>
          </w:tcPr>
          <w:p>
            <w:r/>
            <w:r>
              <w:rPr>
                <w:b w:val="0"/>
                <w:i w:val="0"/>
                <w:sz w:val="18"/>
              </w:rPr>
              <w:t>taux supérieur à 4 %</w:t>
            </w:r>
          </w:p>
        </w:tc>
      </w:tr>
      <w:tr>
        <w:tc>
          <w:tcPr>
            <w:tcW w:type="dxa" w:w="3249"/>
          </w:tcPr>
          <w:p>
            <w:r/>
            <w:r>
              <w:rPr>
                <w:b w:val="0"/>
                <w:i w:val="0"/>
                <w:sz w:val="18"/>
              </w:rPr>
              <w:t>Demande manuelle</w:t>
            </w:r>
          </w:p>
        </w:tc>
        <w:tc>
          <w:tcPr>
            <w:tcW w:type="dxa" w:w="3249"/>
          </w:tcPr>
          <w:p>
            <w:r/>
            <w:r>
              <w:rPr>
                <w:b w:val="0"/>
                <w:i w:val="0"/>
                <w:sz w:val="18"/>
              </w:rPr>
              <w:t>superviseur</w:t>
            </w:r>
          </w:p>
        </w:tc>
        <w:tc>
          <w:tcPr>
            <w:tcW w:type="dxa" w:w="3249"/>
          </w:tcPr>
          <w:p>
            <w:r/>
            <w:r>
              <w:rPr>
                <w:b w:val="0"/>
                <w:i w:val="0"/>
                <w:sz w:val="18"/>
              </w:rPr>
              <w:t>immédiat</w:t>
            </w:r>
          </w:p>
        </w:tc>
      </w:tr>
    </w:tbl>
    <w:p/>
    <w:p>
      <w:pPr>
        <w:spacing w:after="120"/>
      </w:pPr>
      <w:r>
        <w:rPr>
          <w:b w:val="0"/>
          <w:i/>
        </w:rPr>
        <w:t>Tableau II.41 — Signaux de réentraînement.</w:t>
      </w:r>
    </w:p>
    <w:p>
      <w:pPr>
        <w:spacing w:after="120"/>
      </w:pPr>
      <w:r>
        <w:rPr>
          <w:b w:val="0"/>
          <w:i w:val="0"/>
        </w:rPr>
        <w:t>L'indice de stabilité de population (PSI) compare la distribution d'une variable en production (</w:t>
      </w:r>
      <m:oMath>
        <m:sSub>
          <m:e>
            <m:r>
              <m:t>q</m:t>
            </m:r>
          </m:e>
          <m:sub>
            <m:r>
              <m:t>i</m:t>
            </m:r>
          </m:sub>
        </m:sSub>
      </m:oMath>
      <w:r>
        <w:rPr>
          <w:b w:val="0"/>
          <w:i w:val="0"/>
        </w:rPr>
        <w:t>) à sa distribution de référence (</w:t>
      </w:r>
      <m:oMath>
        <m:sSub>
          <m:e>
            <m:r>
              <m:t>p</m:t>
            </m:r>
          </m:e>
          <m:sub>
            <m:r>
              <m:t>i</m:t>
            </m:r>
          </m:sub>
        </m:sSub>
      </m:oMath>
      <w:r>
        <w:rPr>
          <w:b w:val="0"/>
          <w:i w:val="0"/>
        </w:rPr>
        <w:t xml:space="preserve">), sur des classes </w:t>
      </w:r>
      <m:oMath>
        <m:r>
          <m:t>i</m:t>
        </m:r>
      </m:oMath>
      <w:r>
        <w:rPr>
          <w:b w:val="0"/>
          <w:i w:val="0"/>
        </w:rPr>
        <w:t xml:space="preserve"> :</w:t>
      </w:r>
    </w:p>
    <w:p>
      <w:pPr>
        <w:jc w:val="center"/>
      </w:pPr>
      <m:oMath>
        <m:r>
          <m:rPr>
            <m:sty m:val="p"/>
          </m:rPr>
          <m:t>PSI</m:t>
        </m:r>
        <m:r>
          <m:t>=</m:t>
        </m:r>
        <m:nary>
          <m:naryPr>
            <m:chr m:val="∑"/>
            <m:limLoc m:val="subSup"/>
            <m:grow m:val="1"/>
            <m:subHide m:val="off"/>
            <m:supHide m:val="on"/>
          </m:naryPr>
          <m:sub>
            <m:r>
              <m:t>i</m:t>
            </m:r>
          </m:sub>
          <m:sup/>
          <m:e>
            <m:r>
              <m:t>(</m:t>
            </m:r>
          </m:e>
        </m:nary>
        <m:sSub>
          <m:e>
            <m:r>
              <m:t>q</m:t>
            </m:r>
          </m:e>
          <m:sub>
            <m:r>
              <m:t>i</m:t>
            </m:r>
          </m:sub>
        </m:sSub>
        <m:r>
          <m:t>−</m:t>
        </m:r>
        <m:sSub>
          <m:e>
            <m:r>
              <m:t>p</m:t>
            </m:r>
          </m:e>
          <m:sub>
            <m:r>
              <m:t>i</m:t>
            </m:r>
          </m:sub>
        </m:sSub>
        <m:r>
          <m:t>)</m:t>
        </m:r>
        <m:r>
          <m:rPr>
            <m:sty m:val="p"/>
          </m:rPr>
          <m:t>ln</m:t>
        </m:r>
        <m:f>
          <m:fPr>
            <m:type m:val="bar"/>
          </m:fPr>
          <m:num>
            <m:sSub>
              <m:e>
                <m:r>
                  <m:t>q</m:t>
                </m:r>
              </m:e>
              <m:sub>
                <m:r>
                  <m:t>i</m:t>
                </m:r>
              </m:sub>
            </m:sSub>
          </m:num>
          <m:den>
            <m:sSub>
              <m:e>
                <m:r>
                  <m:t>p</m:t>
                </m:r>
              </m:e>
              <m:sub>
                <m:r>
                  <m:t>i</m:t>
                </m:r>
              </m:sub>
            </m:sSub>
          </m:den>
        </m:f>
      </m:oMath>
    </w:p>
    <w:p>
      <w:pPr>
        <w:spacing w:after="120"/>
      </w:pPr>
      <w:r>
        <w:rPr>
          <w:b w:val="0"/>
          <w:i w:val="0"/>
        </w:rPr>
        <w:t>Le cycle de réentraînement suit quatre étapes :</w:t>
      </w:r>
    </w:p>
    <w:p>
      <w:pPr>
        <w:pStyle w:val="ListNumber"/>
      </w:pPr>
      <w:r>
        <w:rPr>
          <w:b w:val="0"/>
          <w:i w:val="0"/>
        </w:rPr>
        <w:t>le planificateur décide, en respectant un délai de carence entre deux réentraînements ;</w:t>
      </w:r>
    </w:p>
    <w:p>
      <w:pPr>
        <w:pStyle w:val="ListNumber"/>
      </w:pPr>
      <w:r>
        <w:rPr>
          <w:b w:val="0"/>
          <w:i w:val="0"/>
        </w:rPr>
        <w:t xml:space="preserve">un </w:t>
      </w:r>
      <w:r>
        <w:rPr>
          <w:b/>
          <w:i w:val="0"/>
        </w:rPr>
        <w:t>challenger</w:t>
      </w:r>
      <w:r>
        <w:rPr>
          <w:b w:val="0"/>
          <w:i w:val="0"/>
        </w:rPr>
        <w:t xml:space="preserve"> est entraîné sur l'historique et les données de production étiquetées ;</w:t>
      </w:r>
    </w:p>
    <w:p>
      <w:pPr>
        <w:pStyle w:val="ListNumber"/>
      </w:pPr>
      <w:r>
        <w:rPr>
          <w:b w:val="0"/>
          <w:i w:val="0"/>
        </w:rPr>
        <w:t xml:space="preserve">le challenger doit passer trois contrôles : le diagnostic de surapprentissage ; la </w:t>
      </w:r>
      <w:r>
        <w:rPr>
          <w:b/>
          <w:i w:val="0"/>
        </w:rPr>
        <w:t>porte de détection</w:t>
      </w:r>
      <w:r>
        <w:rPr>
          <w:b w:val="0"/>
          <w:i w:val="0"/>
        </w:rPr>
        <w:t xml:space="preserve"> (rappel minimal par type de fraude, taux maximal de faux positifs) ; la comparaison avec le champion sur la même période ;</w:t>
      </w:r>
    </w:p>
    <w:p>
      <w:pPr>
        <w:pStyle w:val="ListNumber"/>
      </w:pPr>
      <w:r>
        <w:rPr>
          <w:b w:val="0"/>
          <w:i w:val="0"/>
        </w:rPr>
        <w:t>s'il est meilleur, il est promu par écriture atomique et enregistré dans MLflow. Le service de notation le recharge à chaud, après un contrôle de cohérence ; en cas d'échec, l'ancien modèle est conservé et une alerte est levée.</w:t>
      </w:r>
    </w:p>
    <w:p>
      <w:pPr>
        <w:pStyle w:val="Heading3"/>
      </w:pPr>
      <w:r>
        <w:t>II.3.9 Conception de la sécurité</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Menace</w:t>
            </w:r>
          </w:p>
        </w:tc>
        <w:tc>
          <w:tcPr>
            <w:tcW w:type="dxa" w:w="4873"/>
            <w:shd w:val="clear" w:color="auto" w:fill="DCE6F7"/>
          </w:tcPr>
          <w:p>
            <w:r/>
            <w:r>
              <w:rPr>
                <w:b/>
                <w:i w:val="0"/>
                <w:sz w:val="18"/>
              </w:rPr>
              <w:t>Contre-mesure</w:t>
            </w:r>
          </w:p>
        </w:tc>
      </w:tr>
      <w:tr>
        <w:tc>
          <w:tcPr>
            <w:tcW w:type="dxa" w:w="4873"/>
          </w:tcPr>
          <w:p>
            <w:r/>
            <w:r>
              <w:rPr>
                <w:b w:val="0"/>
                <w:i w:val="0"/>
                <w:sz w:val="18"/>
              </w:rPr>
              <w:t>Accès non autorisé à l'interface</w:t>
            </w:r>
          </w:p>
        </w:tc>
        <w:tc>
          <w:tcPr>
            <w:tcW w:type="dxa" w:w="4873"/>
          </w:tcPr>
          <w:p>
            <w:r/>
            <w:r>
              <w:rPr>
                <w:b w:val="0"/>
                <w:i w:val="0"/>
                <w:sz w:val="18"/>
              </w:rPr>
              <w:t>Jeton JWT, rôles, routes protégées côté serveur et côté interface</w:t>
            </w:r>
          </w:p>
        </w:tc>
      </w:tr>
      <w:tr>
        <w:tc>
          <w:tcPr>
            <w:tcW w:type="dxa" w:w="4873"/>
          </w:tcPr>
          <w:p>
            <w:r/>
            <w:r>
              <w:rPr>
                <w:b w:val="0"/>
                <w:i w:val="0"/>
                <w:sz w:val="18"/>
              </w:rPr>
              <w:t>Système partenaire non autorisé</w:t>
            </w:r>
          </w:p>
        </w:tc>
        <w:tc>
          <w:tcPr>
            <w:tcW w:type="dxa" w:w="4873"/>
          </w:tcPr>
          <w:p>
            <w:r/>
            <w:r>
              <w:rPr>
                <w:b w:val="0"/>
                <w:i w:val="0"/>
                <w:sz w:val="18"/>
              </w:rPr>
              <w:t>Clés d'API par institution, droits, révocation</w:t>
            </w:r>
          </w:p>
        </w:tc>
      </w:tr>
      <w:tr>
        <w:tc>
          <w:tcPr>
            <w:tcW w:type="dxa" w:w="4873"/>
          </w:tcPr>
          <w:p>
            <w:r/>
            <w:r>
              <w:rPr>
                <w:b w:val="0"/>
                <w:i w:val="0"/>
                <w:sz w:val="18"/>
              </w:rPr>
              <w:t>Fuite de données entre institutions</w:t>
            </w:r>
          </w:p>
        </w:tc>
        <w:tc>
          <w:tcPr>
            <w:tcW w:type="dxa" w:w="4873"/>
          </w:tcPr>
          <w:p>
            <w:r/>
            <w:r>
              <w:rPr>
                <w:b w:val="0"/>
                <w:i w:val="0"/>
                <w:sz w:val="18"/>
              </w:rPr>
              <w:t>Rattachement fixé par le serveur, filtrage systématique</w:t>
            </w:r>
          </w:p>
        </w:tc>
      </w:tr>
      <w:tr>
        <w:tc>
          <w:tcPr>
            <w:tcW w:type="dxa" w:w="4873"/>
          </w:tcPr>
          <w:p>
            <w:r/>
            <w:r>
              <w:rPr>
                <w:b w:val="0"/>
                <w:i w:val="0"/>
                <w:sz w:val="18"/>
              </w:rPr>
              <w:t>Altération des preuves</w:t>
            </w:r>
          </w:p>
        </w:tc>
        <w:tc>
          <w:tcPr>
            <w:tcW w:type="dxa" w:w="4873"/>
          </w:tcPr>
          <w:p>
            <w:r/>
            <w:r>
              <w:rPr>
                <w:b w:val="0"/>
                <w:i w:val="0"/>
                <w:sz w:val="18"/>
              </w:rPr>
              <w:t>Journal d'audit chaîné, modification et suppression interdites en base</w:t>
            </w:r>
          </w:p>
        </w:tc>
      </w:tr>
      <w:tr>
        <w:tc>
          <w:tcPr>
            <w:tcW w:type="dxa" w:w="4873"/>
          </w:tcPr>
          <w:p>
            <w:r/>
            <w:r>
              <w:rPr>
                <w:b w:val="0"/>
                <w:i w:val="0"/>
                <w:sz w:val="18"/>
              </w:rPr>
              <w:t>Abus et déni de service</w:t>
            </w:r>
          </w:p>
        </w:tc>
        <w:tc>
          <w:tcPr>
            <w:tcW w:type="dxa" w:w="4873"/>
          </w:tcPr>
          <w:p>
            <w:r/>
            <w:r>
              <w:rPr>
                <w:b w:val="0"/>
                <w:i w:val="0"/>
                <w:sz w:val="18"/>
              </w:rPr>
              <w:t>Limitation de débit (Nginx), délais bornés</w:t>
            </w:r>
          </w:p>
        </w:tc>
      </w:tr>
      <w:tr>
        <w:tc>
          <w:tcPr>
            <w:tcW w:type="dxa" w:w="4873"/>
          </w:tcPr>
          <w:p>
            <w:r/>
            <w:r>
              <w:rPr>
                <w:b w:val="0"/>
                <w:i w:val="0"/>
                <w:sz w:val="18"/>
              </w:rPr>
              <w:t>Fuite de données personnelles</w:t>
            </w:r>
          </w:p>
        </w:tc>
        <w:tc>
          <w:tcPr>
            <w:tcW w:type="dxa" w:w="4873"/>
          </w:tcPr>
          <w:p>
            <w:r/>
            <w:r>
              <w:rPr>
                <w:b w:val="0"/>
                <w:i w:val="0"/>
                <w:sz w:val="18"/>
              </w:rPr>
              <w:t>Aucun service externe, texte des messages non stocké, supervision par agrégats</w:t>
            </w:r>
          </w:p>
        </w:tc>
      </w:tr>
      <w:tr>
        <w:tc>
          <w:tcPr>
            <w:tcW w:type="dxa" w:w="4873"/>
          </w:tcPr>
          <w:p>
            <w:r/>
            <w:r>
              <w:rPr>
                <w:b w:val="0"/>
                <w:i w:val="0"/>
                <w:sz w:val="18"/>
              </w:rPr>
              <w:t>Injection SQL, XSS</w:t>
            </w:r>
          </w:p>
        </w:tc>
        <w:tc>
          <w:tcPr>
            <w:tcW w:type="dxa" w:w="4873"/>
          </w:tcPr>
          <w:p>
            <w:r/>
            <w:r>
              <w:rPr>
                <w:b w:val="0"/>
                <w:i w:val="0"/>
                <w:sz w:val="18"/>
              </w:rPr>
              <w:t>Requêtes paramétrées (SQLAlchemy), échappement à l'affichage, en-têtes de sécurité</w:t>
            </w:r>
          </w:p>
        </w:tc>
      </w:tr>
    </w:tbl>
    <w:p/>
    <w:p>
      <w:pPr>
        <w:spacing w:after="120"/>
      </w:pPr>
      <w:r>
        <w:rPr>
          <w:b w:val="0"/>
          <w:i/>
        </w:rPr>
        <w:t>Tableau II.42 — Menaces et contre-mesures.</w:t>
      </w:r>
    </w:p>
    <w:p>
      <w:pPr>
        <w:spacing w:after="120"/>
      </w:pPr>
      <w:r>
        <w:rPr>
          <w:b w:val="0"/>
          <w:i w:val="0"/>
        </w:rPr>
        <w:t>Le contrôle d'accès suit une hiérarchie de rôles :</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CE6F7"/>
          </w:tcPr>
          <w:p>
            <w:r/>
            <w:r>
              <w:rPr>
                <w:b/>
                <w:i w:val="0"/>
                <w:sz w:val="18"/>
              </w:rPr>
              <w:t>Rôle</w:t>
            </w:r>
          </w:p>
        </w:tc>
        <w:tc>
          <w:tcPr>
            <w:tcW w:type="dxa" w:w="4873"/>
            <w:shd w:val="clear" w:color="auto" w:fill="DCE6F7"/>
          </w:tcPr>
          <w:p>
            <w:r/>
            <w:r>
              <w:rPr>
                <w:b/>
                <w:i w:val="0"/>
                <w:sz w:val="18"/>
              </w:rPr>
              <w:t>Droits</w:t>
            </w:r>
          </w:p>
        </w:tc>
      </w:tr>
      <w:tr>
        <w:tc>
          <w:tcPr>
            <w:tcW w:type="dxa" w:w="4873"/>
          </w:tcPr>
          <w:p>
            <w:r/>
            <w:r>
              <w:rPr>
                <w:b w:val="0"/>
                <w:i w:val="0"/>
                <w:sz w:val="18"/>
              </w:rPr>
              <w:t>Analyste</w:t>
            </w:r>
          </w:p>
        </w:tc>
        <w:tc>
          <w:tcPr>
            <w:tcW w:type="dxa" w:w="4873"/>
          </w:tcPr>
          <w:p>
            <w:r/>
            <w:r>
              <w:rPr>
                <w:b w:val="0"/>
                <w:i w:val="0"/>
                <w:sz w:val="18"/>
              </w:rPr>
              <w:t>consulter les opérations, traiter ses dossiers, enregistrer les plaintes, examiner les comportements nouveaux</w:t>
            </w:r>
          </w:p>
        </w:tc>
      </w:tr>
      <w:tr>
        <w:tc>
          <w:tcPr>
            <w:tcW w:type="dxa" w:w="4873"/>
          </w:tcPr>
          <w:p>
            <w:r/>
            <w:r>
              <w:rPr>
                <w:b w:val="0"/>
                <w:i w:val="0"/>
                <w:sz w:val="18"/>
              </w:rPr>
              <w:t>Superviseur</w:t>
            </w:r>
          </w:p>
        </w:tc>
        <w:tc>
          <w:tcPr>
            <w:tcW w:type="dxa" w:w="4873"/>
          </w:tcPr>
          <w:p>
            <w:r/>
            <w:r>
              <w:rPr>
                <w:b w:val="0"/>
                <w:i w:val="0"/>
                <w:sz w:val="18"/>
              </w:rPr>
              <w:t>droits de l'analyste + affecter les dossiers, consulter et vérifier le journal d'audit, déclencher le réentraînement</w:t>
            </w:r>
          </w:p>
        </w:tc>
      </w:tr>
      <w:tr>
        <w:tc>
          <w:tcPr>
            <w:tcW w:type="dxa" w:w="4873"/>
          </w:tcPr>
          <w:p>
            <w:r/>
            <w:r>
              <w:rPr>
                <w:b w:val="0"/>
                <w:i w:val="0"/>
                <w:sz w:val="18"/>
              </w:rPr>
              <w:t>Administrateur</w:t>
            </w:r>
          </w:p>
        </w:tc>
        <w:tc>
          <w:tcPr>
            <w:tcW w:type="dxa" w:w="4873"/>
          </w:tcPr>
          <w:p>
            <w:r/>
            <w:r>
              <w:rPr>
                <w:b w:val="0"/>
                <w:i w:val="0"/>
                <w:sz w:val="18"/>
              </w:rPr>
              <w:t>droits du superviseur + gérer les utilisateurs, les institutions et les clés d'API</w:t>
            </w:r>
          </w:p>
        </w:tc>
      </w:tr>
    </w:tbl>
    <w:p/>
    <w:p>
      <w:pPr>
        <w:spacing w:after="120"/>
      </w:pPr>
      <w:r>
        <w:rPr>
          <w:b w:val="0"/>
          <w:i/>
        </w:rPr>
        <w:t>Tableau II.43 — Rôles et droits.</w:t>
      </w:r>
    </w:p>
    <w:p>
      <w:pPr>
        <w:pStyle w:val="Heading3"/>
      </w:pPr>
      <w:r>
        <w:t>II.3.10 Conception du déploiement et de la supervision</w:t>
      </w:r>
    </w:p>
    <w:p>
      <w:pPr>
        <w:jc w:val="center"/>
      </w:pPr>
      <w:r>
        <w:drawing>
          <wp:inline xmlns:a="http://schemas.openxmlformats.org/drawingml/2006/main" xmlns:pic="http://schemas.openxmlformats.org/drawingml/2006/picture">
            <wp:extent cx="5760000" cy="3318165"/>
            <wp:docPr id="27" name="Picture 27"/>
            <wp:cNvGraphicFramePr>
              <a:graphicFrameLocks noChangeAspect="1"/>
            </wp:cNvGraphicFramePr>
            <a:graphic>
              <a:graphicData uri="http://schemas.openxmlformats.org/drawingml/2006/picture">
                <pic:pic>
                  <pic:nvPicPr>
                    <pic:cNvPr id="0" name="diagramme_deploiement.png"/>
                    <pic:cNvPicPr/>
                  </pic:nvPicPr>
                  <pic:blipFill>
                    <a:blip r:embed="rId35"/>
                    <a:stretch>
                      <a:fillRect/>
                    </a:stretch>
                  </pic:blipFill>
                  <pic:spPr>
                    <a:xfrm>
                      <a:off x="0" y="0"/>
                      <a:ext cx="5760000" cy="3318165"/>
                    </a:xfrm>
                    <a:prstGeom prst="rect"/>
                  </pic:spPr>
                </pic:pic>
              </a:graphicData>
            </a:graphic>
          </wp:inline>
        </w:drawing>
      </w:r>
    </w:p>
    <w:p>
      <w:pPr>
        <w:jc w:val="center"/>
      </w:pPr>
      <w:r>
        <w:rPr>
          <w:b w:val="0"/>
          <w:i/>
          <w:sz w:val="18"/>
        </w:rPr>
        <w:t>Figure II.27 — Diagramme de déploiement (</w:t>
      </w:r>
      <w:r>
        <w:rPr>
          <w:rFonts w:ascii="Consolas" w:hAnsi="Consolas"/>
          <w:b w:val="0"/>
          <w:i/>
          <w:color w:val="1F3A8A"/>
          <w:sz w:val="18"/>
        </w:rPr>
        <w:t>docs/uml/diagramme_deploiement.puml</w:t>
      </w:r>
      <w:r>
        <w:rPr>
          <w:b w:val="0"/>
          <w:i/>
          <w:sz w:val="18"/>
        </w:rPr>
        <w:t>).</w:t>
      </w:r>
    </w:p>
    <w:p>
      <w:pPr>
        <w:spacing w:after="120"/>
      </w:pPr>
      <w:r>
        <w:rPr>
          <w:b w:val="0"/>
          <w:i w:val="0"/>
        </w:rPr>
        <w:t xml:space="preserve">Le prototype est déployé par </w:t>
      </w:r>
      <w:r>
        <w:rPr>
          <w:b/>
          <w:i w:val="0"/>
        </w:rPr>
        <w:t>Docker Compose</w:t>
      </w:r>
      <w:r>
        <w:rPr>
          <w:b w:val="0"/>
          <w:i w:val="0"/>
        </w:rPr>
        <w:t xml:space="preserve"> sur un hôte unique : une vingtaine de conteneurs, avec volumes persistants. Les manifestes </w:t>
      </w:r>
      <w:r>
        <w:rPr>
          <w:b/>
          <w:i w:val="0"/>
        </w:rPr>
        <w:t>Kubernetes</w:t>
      </w:r>
      <w:r>
        <w:rPr>
          <w:b w:val="0"/>
          <w:i w:val="0"/>
        </w:rPr>
        <w:t xml:space="preserve"> (</w:t>
      </w:r>
      <w:r>
        <w:rPr>
          <w:rFonts w:ascii="Consolas" w:hAnsi="Consolas"/>
          <w:b w:val="0"/>
          <w:i w:val="0"/>
          <w:color w:val="1F3A8A"/>
          <w:sz w:val="18"/>
        </w:rPr>
        <w:t>infra/kubernetes/</w:t>
      </w:r>
      <w:r>
        <w:rPr>
          <w:b w:val="0"/>
          <w:i w:val="0"/>
        </w:rPr>
        <w:t>) reprennent les mêmes images pour un déploiement en grappe sur plusieurs zones (déclinaisons Kinshasa et Katanga), afin de rapprocher le service des opérateurs et d'assurer la continuité en cas de panne d'un site.</w:t>
      </w:r>
    </w:p>
    <w:p>
      <w:pPr>
        <w:spacing w:after="120"/>
      </w:pPr>
      <w:r>
        <w:rPr>
          <w:b w:val="0"/>
          <w:i w:val="0"/>
        </w:rPr>
        <w:t>La supervision repose sur trois outils :</w:t>
      </w:r>
    </w:p>
    <w:p>
      <w:pPr>
        <w:pStyle w:val="ListBullet"/>
      </w:pPr>
      <w:r>
        <w:rPr>
          <w:b/>
          <w:i w:val="0"/>
        </w:rPr>
        <w:t>Prometheus</w:t>
      </w:r>
      <w:r>
        <w:rPr>
          <w:b w:val="0"/>
          <w:i w:val="0"/>
        </w:rPr>
        <w:t xml:space="preserve"> collecte les métriques : latence, décisions, erreurs, dérive, violations physiques, relances, cohérence du magasin de profils ;</w:t>
      </w:r>
    </w:p>
    <w:p>
      <w:pPr>
        <w:pStyle w:val="ListBullet"/>
      </w:pPr>
      <w:r>
        <w:rPr>
          <w:b/>
          <w:i w:val="0"/>
        </w:rPr>
        <w:t>Grafana</w:t>
      </w:r>
      <w:r>
        <w:rPr>
          <w:b w:val="0"/>
          <w:i w:val="0"/>
        </w:rPr>
        <w:t xml:space="preserve"> les présente en tableaux de bord ;</w:t>
      </w:r>
    </w:p>
    <w:p>
      <w:pPr>
        <w:pStyle w:val="ListBullet"/>
      </w:pPr>
      <w:r>
        <w:rPr>
          <w:b/>
          <w:i w:val="0"/>
        </w:rPr>
        <w:t>Loki</w:t>
      </w:r>
      <w:r>
        <w:rPr>
          <w:b w:val="0"/>
          <w:i w:val="0"/>
        </w:rPr>
        <w:t xml:space="preserve"> centralise les journaux.</w:t>
      </w:r>
    </w:p>
    <w:p>
      <w:pPr>
        <w:spacing w:after="120"/>
      </w:pPr>
      <w:r>
        <w:rPr>
          <w:b w:val="0"/>
          <w:i w:val="0"/>
        </w:rPr>
        <w:t>Des règles d'alerte couvrent notamment la hausse des comportements nouveaux, un taux élevé de violations physiques, le rejet d'un nouveau modèle et l'incohérence du magasin de profils.</w:t>
      </w:r>
    </w:p>
    <w:p>
      <w:pPr>
        <w:pStyle w:val="Heading3"/>
      </w:pPr>
      <w:r>
        <w:t>II.3.11 Conception des interfaces utilisateur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Page</w:t>
            </w:r>
          </w:p>
        </w:tc>
        <w:tc>
          <w:tcPr>
            <w:tcW w:type="dxa" w:w="3249"/>
            <w:shd w:val="clear" w:color="auto" w:fill="DCE6F7"/>
          </w:tcPr>
          <w:p>
            <w:r/>
            <w:r>
              <w:rPr>
                <w:b/>
                <w:i w:val="0"/>
                <w:sz w:val="18"/>
              </w:rPr>
              <w:t>Rôle minimal</w:t>
            </w:r>
          </w:p>
        </w:tc>
        <w:tc>
          <w:tcPr>
            <w:tcW w:type="dxa" w:w="3249"/>
            <w:shd w:val="clear" w:color="auto" w:fill="DCE6F7"/>
          </w:tcPr>
          <w:p>
            <w:r/>
            <w:r>
              <w:rPr>
                <w:b/>
                <w:i w:val="0"/>
                <w:sz w:val="18"/>
              </w:rPr>
              <w:t>Contenu</w:t>
            </w:r>
          </w:p>
        </w:tc>
      </w:tr>
      <w:tr>
        <w:tc>
          <w:tcPr>
            <w:tcW w:type="dxa" w:w="3249"/>
          </w:tcPr>
          <w:p>
            <w:r/>
            <w:r>
              <w:rPr>
                <w:b w:val="0"/>
                <w:i w:val="0"/>
                <w:sz w:val="18"/>
              </w:rPr>
              <w:t>Accueil (publique)</w:t>
            </w:r>
          </w:p>
        </w:tc>
        <w:tc>
          <w:tcPr>
            <w:tcW w:type="dxa" w:w="3249"/>
          </w:tcPr>
          <w:p>
            <w:r/>
            <w:r>
              <w:rPr>
                <w:b w:val="0"/>
                <w:i w:val="0"/>
                <w:sz w:val="18"/>
              </w:rPr>
              <w:t>aucun</w:t>
            </w:r>
          </w:p>
        </w:tc>
        <w:tc>
          <w:tcPr>
            <w:tcW w:type="dxa" w:w="3249"/>
          </w:tcPr>
          <w:p>
            <w:r/>
            <w:r>
              <w:rPr>
                <w:b w:val="0"/>
                <w:i w:val="0"/>
                <w:sz w:val="18"/>
              </w:rPr>
              <w:t>présentation du système, accès à la connexion</w:t>
            </w:r>
          </w:p>
        </w:tc>
      </w:tr>
      <w:tr>
        <w:tc>
          <w:tcPr>
            <w:tcW w:type="dxa" w:w="3249"/>
          </w:tcPr>
          <w:p>
            <w:r/>
            <w:r>
              <w:rPr>
                <w:b w:val="0"/>
                <w:i w:val="0"/>
                <w:sz w:val="18"/>
              </w:rPr>
              <w:t>Connexion</w:t>
            </w:r>
          </w:p>
        </w:tc>
        <w:tc>
          <w:tcPr>
            <w:tcW w:type="dxa" w:w="3249"/>
          </w:tcPr>
          <w:p>
            <w:r/>
            <w:r>
              <w:rPr>
                <w:b w:val="0"/>
                <w:i w:val="0"/>
                <w:sz w:val="18"/>
              </w:rPr>
              <w:t>aucun</w:t>
            </w:r>
          </w:p>
        </w:tc>
        <w:tc>
          <w:tcPr>
            <w:tcW w:type="dxa" w:w="3249"/>
          </w:tcPr>
          <w:p>
            <w:r/>
            <w:r>
              <w:rPr>
                <w:b w:val="0"/>
                <w:i w:val="0"/>
                <w:sz w:val="18"/>
              </w:rPr>
              <w:t>authentification</w:t>
            </w:r>
          </w:p>
        </w:tc>
      </w:tr>
      <w:tr>
        <w:tc>
          <w:tcPr>
            <w:tcW w:type="dxa" w:w="3249"/>
          </w:tcPr>
          <w:p>
            <w:r/>
            <w:r>
              <w:rPr>
                <w:b w:val="0"/>
                <w:i w:val="0"/>
                <w:sz w:val="18"/>
              </w:rPr>
              <w:t>Tableau de bord</w:t>
            </w:r>
          </w:p>
        </w:tc>
        <w:tc>
          <w:tcPr>
            <w:tcW w:type="dxa" w:w="3249"/>
          </w:tcPr>
          <w:p>
            <w:r/>
            <w:r>
              <w:rPr>
                <w:b w:val="0"/>
                <w:i w:val="0"/>
                <w:sz w:val="18"/>
              </w:rPr>
              <w:t>analyste</w:t>
            </w:r>
          </w:p>
        </w:tc>
        <w:tc>
          <w:tcPr>
            <w:tcW w:type="dxa" w:w="3249"/>
          </w:tcPr>
          <w:p>
            <w:r/>
            <w:r>
              <w:rPr>
                <w:b w:val="0"/>
                <w:i w:val="0"/>
                <w:sz w:val="18"/>
              </w:rPr>
              <w:t>indicateurs temps réel, flux, alertes récentes, typologies, performance du modèle, apprentissage continu</w:t>
            </w:r>
          </w:p>
        </w:tc>
      </w:tr>
      <w:tr>
        <w:tc>
          <w:tcPr>
            <w:tcW w:type="dxa" w:w="3249"/>
          </w:tcPr>
          <w:p>
            <w:r/>
            <w:r>
              <w:rPr>
                <w:b w:val="0"/>
                <w:i w:val="0"/>
                <w:sz w:val="18"/>
              </w:rPr>
              <w:t>Carte des fraudes</w:t>
            </w:r>
          </w:p>
        </w:tc>
        <w:tc>
          <w:tcPr>
            <w:tcW w:type="dxa" w:w="3249"/>
          </w:tcPr>
          <w:p>
            <w:r/>
            <w:r>
              <w:rPr>
                <w:b w:val="0"/>
                <w:i w:val="0"/>
                <w:sz w:val="18"/>
              </w:rPr>
              <w:t>analyste</w:t>
            </w:r>
          </w:p>
        </w:tc>
        <w:tc>
          <w:tcPr>
            <w:tcW w:type="dxa" w:w="3249"/>
          </w:tcPr>
          <w:p>
            <w:r/>
            <w:r>
              <w:rPr>
                <w:b w:val="0"/>
                <w:i w:val="0"/>
                <w:sz w:val="18"/>
              </w:rPr>
              <w:t>26 provinces, intensité de la fraude</w:t>
            </w:r>
          </w:p>
        </w:tc>
      </w:tr>
      <w:tr>
        <w:tc>
          <w:tcPr>
            <w:tcW w:type="dxa" w:w="3249"/>
          </w:tcPr>
          <w:p>
            <w:r/>
            <w:r>
              <w:rPr>
                <w:b w:val="0"/>
                <w:i w:val="0"/>
                <w:sz w:val="18"/>
              </w:rPr>
              <w:t>Transactions</w:t>
            </w:r>
          </w:p>
        </w:tc>
        <w:tc>
          <w:tcPr>
            <w:tcW w:type="dxa" w:w="3249"/>
          </w:tcPr>
          <w:p>
            <w:r/>
            <w:r>
              <w:rPr>
                <w:b w:val="0"/>
                <w:i w:val="0"/>
                <w:sz w:val="18"/>
              </w:rPr>
              <w:t>analyste</w:t>
            </w:r>
          </w:p>
        </w:tc>
        <w:tc>
          <w:tcPr>
            <w:tcW w:type="dxa" w:w="3249"/>
          </w:tcPr>
          <w:p>
            <w:r/>
            <w:r>
              <w:rPr>
                <w:b w:val="0"/>
                <w:i w:val="0"/>
                <w:sz w:val="18"/>
              </w:rPr>
              <w:t>recherche, filtres ; détail : SHAP, composantes, physique, analyse du message, cas similaires, revue</w:t>
            </w:r>
          </w:p>
        </w:tc>
      </w:tr>
      <w:tr>
        <w:tc>
          <w:tcPr>
            <w:tcW w:type="dxa" w:w="3249"/>
          </w:tcPr>
          <w:p>
            <w:r/>
            <w:r>
              <w:rPr>
                <w:b w:val="0"/>
                <w:i w:val="0"/>
                <w:sz w:val="18"/>
              </w:rPr>
              <w:t>Alertes et dossiers</w:t>
            </w:r>
          </w:p>
        </w:tc>
        <w:tc>
          <w:tcPr>
            <w:tcW w:type="dxa" w:w="3249"/>
          </w:tcPr>
          <w:p>
            <w:r/>
            <w:r>
              <w:rPr>
                <w:b w:val="0"/>
                <w:i w:val="0"/>
                <w:sz w:val="18"/>
              </w:rPr>
              <w:t>analyste</w:t>
            </w:r>
          </w:p>
        </w:tc>
        <w:tc>
          <w:tcPr>
            <w:tcW w:type="dxa" w:w="3249"/>
          </w:tcPr>
          <w:p>
            <w:r/>
            <w:r>
              <w:rPr>
                <w:b w:val="0"/>
                <w:i w:val="0"/>
                <w:sz w:val="18"/>
              </w:rPr>
              <w:t>file priorisée, instruction, verdict</w:t>
            </w:r>
          </w:p>
        </w:tc>
      </w:tr>
      <w:tr>
        <w:tc>
          <w:tcPr>
            <w:tcW w:type="dxa" w:w="3249"/>
          </w:tcPr>
          <w:p>
            <w:r/>
            <w:r>
              <w:rPr>
                <w:b w:val="0"/>
                <w:i w:val="0"/>
                <w:sz w:val="18"/>
              </w:rPr>
              <w:t>Journal d'audit</w:t>
            </w:r>
          </w:p>
        </w:tc>
        <w:tc>
          <w:tcPr>
            <w:tcW w:type="dxa" w:w="3249"/>
          </w:tcPr>
          <w:p>
            <w:r/>
            <w:r>
              <w:rPr>
                <w:b w:val="0"/>
                <w:i w:val="0"/>
                <w:sz w:val="18"/>
              </w:rPr>
              <w:t>superviseur</w:t>
            </w:r>
          </w:p>
        </w:tc>
        <w:tc>
          <w:tcPr>
            <w:tcW w:type="dxa" w:w="3249"/>
          </w:tcPr>
          <w:p>
            <w:r/>
            <w:r>
              <w:rPr>
                <w:b w:val="0"/>
                <w:i w:val="0"/>
                <w:sz w:val="18"/>
              </w:rPr>
              <w:t>consultation du journal et vérification de la chaîne</w:t>
            </w:r>
          </w:p>
        </w:tc>
      </w:tr>
      <w:tr>
        <w:tc>
          <w:tcPr>
            <w:tcW w:type="dxa" w:w="3249"/>
          </w:tcPr>
          <w:p>
            <w:r/>
            <w:r>
              <w:rPr>
                <w:b w:val="0"/>
                <w:i w:val="0"/>
                <w:sz w:val="18"/>
              </w:rPr>
              <w:t>Utilisateurs</w:t>
            </w:r>
          </w:p>
        </w:tc>
        <w:tc>
          <w:tcPr>
            <w:tcW w:type="dxa" w:w="3249"/>
          </w:tcPr>
          <w:p>
            <w:r/>
            <w:r>
              <w:rPr>
                <w:b w:val="0"/>
                <w:i w:val="0"/>
                <w:sz w:val="18"/>
              </w:rPr>
              <w:t>administrateur</w:t>
            </w:r>
          </w:p>
        </w:tc>
        <w:tc>
          <w:tcPr>
            <w:tcW w:type="dxa" w:w="3249"/>
          </w:tcPr>
          <w:p>
            <w:r/>
            <w:r>
              <w:rPr>
                <w:b w:val="0"/>
                <w:i w:val="0"/>
                <w:sz w:val="18"/>
              </w:rPr>
              <w:t>comptes et rôles</w:t>
            </w:r>
          </w:p>
        </w:tc>
      </w:tr>
      <w:tr>
        <w:tc>
          <w:tcPr>
            <w:tcW w:type="dxa" w:w="3249"/>
          </w:tcPr>
          <w:p>
            <w:r/>
            <w:r>
              <w:rPr>
                <w:b w:val="0"/>
                <w:i w:val="0"/>
                <w:sz w:val="18"/>
              </w:rPr>
              <w:t>Institutions et API</w:t>
            </w:r>
          </w:p>
        </w:tc>
        <w:tc>
          <w:tcPr>
            <w:tcW w:type="dxa" w:w="3249"/>
          </w:tcPr>
          <w:p>
            <w:r/>
            <w:r>
              <w:rPr>
                <w:b w:val="0"/>
                <w:i w:val="0"/>
                <w:sz w:val="18"/>
              </w:rPr>
              <w:t>administrateur</w:t>
            </w:r>
          </w:p>
        </w:tc>
        <w:tc>
          <w:tcPr>
            <w:tcW w:type="dxa" w:w="3249"/>
          </w:tcPr>
          <w:p>
            <w:r/>
            <w:r>
              <w:rPr>
                <w:b w:val="0"/>
                <w:i w:val="0"/>
                <w:sz w:val="18"/>
              </w:rPr>
              <w:t>partenaires, droits, clés d'API</w:t>
            </w:r>
          </w:p>
        </w:tc>
      </w:tr>
    </w:tbl>
    <w:p/>
    <w:p>
      <w:pPr>
        <w:spacing w:after="120"/>
      </w:pPr>
      <w:r>
        <w:rPr>
          <w:b w:val="0"/>
          <w:i/>
        </w:rPr>
        <w:t>Tableau II.44 — Pages de l'interface.</w:t>
      </w:r>
    </w:p>
    <w:p>
      <w:pPr>
        <w:spacing w:after="120"/>
      </w:pPr>
      <w:r>
        <w:rPr>
          <w:b w:val="0"/>
          <w:i w:val="0"/>
        </w:rPr>
        <w:t>L'interface est conçue pour l'analyste : chaque alerte présente d'emblée le niveau de risque, le type probable, les motifs et la procédure recommandée, afin de réduire le temps de traitement d'un dossier.</w:t>
      </w:r>
    </w:p>
    <w:p>
      <w:pPr>
        <w:pStyle w:val="Heading3"/>
      </w:pPr>
      <w:r>
        <w:t>II.3.12 Justification des choix technologiques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CE6F7"/>
          </w:tcPr>
          <w:p>
            <w:r/>
            <w:r>
              <w:rPr>
                <w:b/>
                <w:i w:val="0"/>
                <w:sz w:val="18"/>
              </w:rPr>
              <w:t>Besoin</w:t>
            </w:r>
          </w:p>
        </w:tc>
        <w:tc>
          <w:tcPr>
            <w:tcW w:type="dxa" w:w="3249"/>
            <w:shd w:val="clear" w:color="auto" w:fill="DCE6F7"/>
          </w:tcPr>
          <w:p>
            <w:r/>
            <w:r>
              <w:rPr>
                <w:b/>
                <w:i w:val="0"/>
                <w:sz w:val="18"/>
              </w:rPr>
              <w:t>Choix</w:t>
            </w:r>
          </w:p>
        </w:tc>
        <w:tc>
          <w:tcPr>
            <w:tcW w:type="dxa" w:w="3249"/>
            <w:shd w:val="clear" w:color="auto" w:fill="DCE6F7"/>
          </w:tcPr>
          <w:p>
            <w:r/>
            <w:r>
              <w:rPr>
                <w:b/>
                <w:i w:val="0"/>
                <w:sz w:val="18"/>
              </w:rPr>
              <w:t>Justification</w:t>
            </w:r>
          </w:p>
        </w:tc>
      </w:tr>
      <w:tr>
        <w:tc>
          <w:tcPr>
            <w:tcW w:type="dxa" w:w="3249"/>
          </w:tcPr>
          <w:p>
            <w:r/>
            <w:r>
              <w:rPr>
                <w:b w:val="0"/>
                <w:i w:val="0"/>
                <w:sz w:val="18"/>
              </w:rPr>
              <w:t>Services web</w:t>
            </w:r>
          </w:p>
        </w:tc>
        <w:tc>
          <w:tcPr>
            <w:tcW w:type="dxa" w:w="3249"/>
          </w:tcPr>
          <w:p>
            <w:r/>
            <w:r>
              <w:rPr>
                <w:b w:val="0"/>
                <w:i w:val="0"/>
                <w:sz w:val="18"/>
              </w:rPr>
              <w:t>FastAPI (Python)</w:t>
            </w:r>
          </w:p>
        </w:tc>
        <w:tc>
          <w:tcPr>
            <w:tcW w:type="dxa" w:w="3249"/>
          </w:tcPr>
          <w:p>
            <w:r/>
            <w:r>
              <w:rPr>
                <w:b w:val="0"/>
                <w:i w:val="0"/>
                <w:sz w:val="18"/>
              </w:rPr>
              <w:t>même langage que les modèles, traitement asynchrone, documentation OpenAPI automatique</w:t>
            </w:r>
          </w:p>
        </w:tc>
      </w:tr>
      <w:tr>
        <w:tc>
          <w:tcPr>
            <w:tcW w:type="dxa" w:w="3249"/>
          </w:tcPr>
          <w:p>
            <w:r/>
            <w:r>
              <w:rPr>
                <w:b w:val="0"/>
                <w:i w:val="0"/>
                <w:sz w:val="18"/>
              </w:rPr>
              <w:t>Modèle tabulaire</w:t>
            </w:r>
          </w:p>
        </w:tc>
        <w:tc>
          <w:tcPr>
            <w:tcW w:type="dxa" w:w="3249"/>
          </w:tcPr>
          <w:p>
            <w:r/>
            <w:r>
              <w:rPr>
                <w:b w:val="0"/>
                <w:i w:val="0"/>
                <w:sz w:val="18"/>
              </w:rPr>
              <w:t>XGBoost</w:t>
            </w:r>
          </w:p>
        </w:tc>
        <w:tc>
          <w:tcPr>
            <w:tcW w:type="dxa" w:w="3249"/>
          </w:tcPr>
          <w:p>
            <w:r/>
            <w:r>
              <w:rPr>
                <w:b w:val="0"/>
                <w:i w:val="0"/>
                <w:sz w:val="18"/>
              </w:rPr>
              <w:t>état de l'art sur données tabulaires, explication SHAP exacte</w:t>
            </w:r>
          </w:p>
        </w:tc>
      </w:tr>
      <w:tr>
        <w:tc>
          <w:tcPr>
            <w:tcW w:type="dxa" w:w="3249"/>
          </w:tcPr>
          <w:p>
            <w:r/>
            <w:r>
              <w:rPr>
                <w:b w:val="0"/>
                <w:i w:val="0"/>
                <w:sz w:val="18"/>
              </w:rPr>
              <w:t>Séquences, anomalies</w:t>
            </w:r>
          </w:p>
        </w:tc>
        <w:tc>
          <w:tcPr>
            <w:tcW w:type="dxa" w:w="3249"/>
          </w:tcPr>
          <w:p>
            <w:r/>
            <w:r>
              <w:rPr>
                <w:b w:val="0"/>
                <w:i w:val="0"/>
                <w:sz w:val="18"/>
              </w:rPr>
              <w:t>PyTorch</w:t>
            </w:r>
          </w:p>
        </w:tc>
        <w:tc>
          <w:tcPr>
            <w:tcW w:type="dxa" w:w="3249"/>
          </w:tcPr>
          <w:p>
            <w:r/>
            <w:r>
              <w:rPr>
                <w:b w:val="0"/>
                <w:i w:val="0"/>
                <w:sz w:val="18"/>
              </w:rPr>
              <w:t>LSTM avec attention, autoencodeur</w:t>
            </w:r>
          </w:p>
        </w:tc>
      </w:tr>
      <w:tr>
        <w:tc>
          <w:tcPr>
            <w:tcW w:type="dxa" w:w="3249"/>
          </w:tcPr>
          <w:p>
            <w:r/>
            <w:r>
              <w:rPr>
                <w:b w:val="0"/>
                <w:i w:val="0"/>
                <w:sz w:val="18"/>
              </w:rPr>
              <w:t>Profil en temps réel</w:t>
            </w:r>
          </w:p>
        </w:tc>
        <w:tc>
          <w:tcPr>
            <w:tcW w:type="dxa" w:w="3249"/>
          </w:tcPr>
          <w:p>
            <w:r/>
            <w:r>
              <w:rPr>
                <w:b w:val="0"/>
                <w:i w:val="0"/>
                <w:sz w:val="18"/>
              </w:rPr>
              <w:t>Redis</w:t>
            </w:r>
          </w:p>
        </w:tc>
        <w:tc>
          <w:tcPr>
            <w:tcW w:type="dxa" w:w="3249"/>
          </w:tcPr>
          <w:p>
            <w:r/>
            <w:r>
              <w:rPr>
                <w:b w:val="0"/>
                <w:i w:val="0"/>
                <w:sz w:val="18"/>
              </w:rPr>
              <w:t>accès en moins d'une milliseconde, verrous, expiration automatique</w:t>
            </w:r>
          </w:p>
        </w:tc>
      </w:tr>
      <w:tr>
        <w:tc>
          <w:tcPr>
            <w:tcW w:type="dxa" w:w="3249"/>
          </w:tcPr>
          <w:p>
            <w:r/>
            <w:r>
              <w:rPr>
                <w:b w:val="0"/>
                <w:i w:val="0"/>
                <w:sz w:val="18"/>
              </w:rPr>
              <w:t>Historique</w:t>
            </w:r>
          </w:p>
        </w:tc>
        <w:tc>
          <w:tcPr>
            <w:tcW w:type="dxa" w:w="3249"/>
          </w:tcPr>
          <w:p>
            <w:r/>
            <w:r>
              <w:rPr>
                <w:b w:val="0"/>
                <w:i w:val="0"/>
                <w:sz w:val="18"/>
              </w:rPr>
              <w:t>PostgreSQL + TimescaleDB</w:t>
            </w:r>
          </w:p>
        </w:tc>
        <w:tc>
          <w:tcPr>
            <w:tcW w:type="dxa" w:w="3249"/>
          </w:tcPr>
          <w:p>
            <w:r/>
            <w:r>
              <w:rPr>
                <w:b w:val="0"/>
                <w:i w:val="0"/>
                <w:sz w:val="18"/>
              </w:rPr>
              <w:t>relationnel et séries temporelles, requêtes analytiques</w:t>
            </w:r>
          </w:p>
        </w:tc>
      </w:tr>
      <w:tr>
        <w:tc>
          <w:tcPr>
            <w:tcW w:type="dxa" w:w="3249"/>
          </w:tcPr>
          <w:p>
            <w:r/>
            <w:r>
              <w:rPr>
                <w:b w:val="0"/>
                <w:i w:val="0"/>
                <w:sz w:val="18"/>
              </w:rPr>
              <w:t>Bus d'événements</w:t>
            </w:r>
          </w:p>
        </w:tc>
        <w:tc>
          <w:tcPr>
            <w:tcW w:type="dxa" w:w="3249"/>
          </w:tcPr>
          <w:p>
            <w:r/>
            <w:r>
              <w:rPr>
                <w:b w:val="0"/>
                <w:i w:val="0"/>
                <w:sz w:val="18"/>
              </w:rPr>
              <w:t>Kafka (Redpanda)</w:t>
            </w:r>
          </w:p>
        </w:tc>
        <w:tc>
          <w:tcPr>
            <w:tcW w:type="dxa" w:w="3249"/>
          </w:tcPr>
          <w:p>
            <w:r/>
            <w:r>
              <w:rPr>
                <w:b w:val="0"/>
                <w:i w:val="0"/>
                <w:sz w:val="18"/>
              </w:rPr>
              <w:t>découplage, rejeu, garanties de livraison</w:t>
            </w:r>
          </w:p>
        </w:tc>
      </w:tr>
      <w:tr>
        <w:tc>
          <w:tcPr>
            <w:tcW w:type="dxa" w:w="3249"/>
          </w:tcPr>
          <w:p>
            <w:r/>
            <w:r>
              <w:rPr>
                <w:b w:val="0"/>
                <w:i w:val="0"/>
                <w:sz w:val="18"/>
              </w:rPr>
              <w:t>Interface</w:t>
            </w:r>
          </w:p>
        </w:tc>
        <w:tc>
          <w:tcPr>
            <w:tcW w:type="dxa" w:w="3249"/>
          </w:tcPr>
          <w:p>
            <w:r/>
            <w:r>
              <w:rPr>
                <w:b w:val="0"/>
                <w:i w:val="0"/>
                <w:sz w:val="18"/>
              </w:rPr>
              <w:t>Next.js, Tailwind CSS</w:t>
            </w:r>
          </w:p>
        </w:tc>
        <w:tc>
          <w:tcPr>
            <w:tcW w:type="dxa" w:w="3249"/>
          </w:tcPr>
          <w:p>
            <w:r/>
            <w:r>
              <w:rPr>
                <w:b w:val="0"/>
                <w:i w:val="0"/>
                <w:sz w:val="18"/>
              </w:rPr>
              <w:t>rendu rapide, composants réutilisables</w:t>
            </w:r>
          </w:p>
        </w:tc>
      </w:tr>
      <w:tr>
        <w:tc>
          <w:tcPr>
            <w:tcW w:type="dxa" w:w="3249"/>
          </w:tcPr>
          <w:p>
            <w:r/>
            <w:r>
              <w:rPr>
                <w:b w:val="0"/>
                <w:i w:val="0"/>
                <w:sz w:val="18"/>
              </w:rPr>
              <w:t>Registre de modèles</w:t>
            </w:r>
          </w:p>
        </w:tc>
        <w:tc>
          <w:tcPr>
            <w:tcW w:type="dxa" w:w="3249"/>
          </w:tcPr>
          <w:p>
            <w:r/>
            <w:r>
              <w:rPr>
                <w:b w:val="0"/>
                <w:i w:val="0"/>
                <w:sz w:val="18"/>
              </w:rPr>
              <w:t>MLflow</w:t>
            </w:r>
          </w:p>
        </w:tc>
        <w:tc>
          <w:tcPr>
            <w:tcW w:type="dxa" w:w="3249"/>
          </w:tcPr>
          <w:p>
            <w:r/>
            <w:r>
              <w:rPr>
                <w:b w:val="0"/>
                <w:i w:val="0"/>
                <w:sz w:val="18"/>
              </w:rPr>
              <w:t>traçabilité des versions et des métriques</w:t>
            </w:r>
          </w:p>
        </w:tc>
      </w:tr>
      <w:tr>
        <w:tc>
          <w:tcPr>
            <w:tcW w:type="dxa" w:w="3249"/>
          </w:tcPr>
          <w:p>
            <w:r/>
            <w:r>
              <w:rPr>
                <w:b w:val="0"/>
                <w:i w:val="0"/>
                <w:sz w:val="18"/>
              </w:rPr>
              <w:t>Observabilité</w:t>
            </w:r>
          </w:p>
        </w:tc>
        <w:tc>
          <w:tcPr>
            <w:tcW w:type="dxa" w:w="3249"/>
          </w:tcPr>
          <w:p>
            <w:r/>
            <w:r>
              <w:rPr>
                <w:b w:val="0"/>
                <w:i w:val="0"/>
                <w:sz w:val="18"/>
              </w:rPr>
              <w:t>Prometheus, Grafana, Loki</w:t>
            </w:r>
          </w:p>
        </w:tc>
        <w:tc>
          <w:tcPr>
            <w:tcW w:type="dxa" w:w="3249"/>
          </w:tcPr>
          <w:p>
            <w:r/>
            <w:r>
              <w:rPr>
                <w:b w:val="0"/>
                <w:i w:val="0"/>
                <w:sz w:val="18"/>
              </w:rPr>
              <w:t>standards ouverts, sans coût de licence</w:t>
            </w:r>
          </w:p>
        </w:tc>
      </w:tr>
      <w:tr>
        <w:tc>
          <w:tcPr>
            <w:tcW w:type="dxa" w:w="3249"/>
          </w:tcPr>
          <w:p>
            <w:r/>
            <w:r>
              <w:rPr>
                <w:b w:val="0"/>
                <w:i w:val="0"/>
                <w:sz w:val="18"/>
              </w:rPr>
              <w:t>Déploiement</w:t>
            </w:r>
          </w:p>
        </w:tc>
        <w:tc>
          <w:tcPr>
            <w:tcW w:type="dxa" w:w="3249"/>
          </w:tcPr>
          <w:p>
            <w:r/>
            <w:r>
              <w:rPr>
                <w:b w:val="0"/>
                <w:i w:val="0"/>
                <w:sz w:val="18"/>
              </w:rPr>
              <w:t>Docker, Kubernetes</w:t>
            </w:r>
          </w:p>
        </w:tc>
        <w:tc>
          <w:tcPr>
            <w:tcW w:type="dxa" w:w="3249"/>
          </w:tcPr>
          <w:p>
            <w:r/>
            <w:r>
              <w:rPr>
                <w:b w:val="0"/>
                <w:i w:val="0"/>
                <w:sz w:val="18"/>
              </w:rPr>
              <w:t>portabilité, montée en charge</w:t>
            </w:r>
          </w:p>
        </w:tc>
      </w:tr>
    </w:tbl>
    <w:p/>
    <w:p>
      <w:pPr>
        <w:spacing w:after="120"/>
      </w:pPr>
      <w:r>
        <w:rPr>
          <w:b w:val="0"/>
          <w:i/>
        </w:rPr>
        <w:t>Tableau II.45 — Choix technologiques.</w:t>
      </w:r>
    </w:p>
    <w:p>
      <w:pPr>
        <w:spacing w:after="120"/>
      </w:pPr>
      <w:r>
        <w:rPr>
          <w:b w:val="0"/>
          <w:i w:val="0"/>
        </w:rPr>
        <w:t xml:space="preserve">L'ensemble repose sur des logiciels </w:t>
      </w:r>
      <w:r>
        <w:rPr>
          <w:b/>
          <w:i w:val="0"/>
        </w:rPr>
        <w:t>libres</w:t>
      </w:r>
      <w:r>
        <w:rPr>
          <w:b w:val="0"/>
          <w:i w:val="0"/>
        </w:rPr>
        <w:t>, sans coût de licence ni dépendance à un service en ligne, ce qui convient au contexte congolais (BT-23, contrainte de connectivité).</w:t>
      </w:r>
    </w:p>
    <w:p>
      <w:pPr>
        <w:pStyle w:val="Heading2"/>
      </w:pPr>
      <w:r>
        <w:t>Conclusion partielle</w:t>
      </w:r>
    </w:p>
    <w:p>
      <w:pPr>
        <w:spacing w:after="120"/>
      </w:pPr>
      <w:r>
        <w:rPr>
          <w:b w:val="0"/>
          <w:i w:val="0"/>
        </w:rPr>
        <w:t>Ce chapitre a d'abord analysé le métier de la lutte contre la fraude Mobile Money en RDC. L'étude de l'existant a montré qu'un contrôle fondé sur des règles statiques ignore l'individu, se laisse contourner, intervient trop tard, ne gradue pas sa réponse et n'explique pas ses décisions. De cette critique sont nés dix-huit règles de gestion, vingt et un besoins fonctionnels et une vingtaine de besoins non fonctionnels, priorisés et reliés aux hypothèses de recherche.</w:t>
      </w:r>
    </w:p>
    <w:p>
      <w:pPr>
        <w:spacing w:after="120"/>
      </w:pPr>
      <w:r>
        <w:rPr>
          <w:b w:val="0"/>
          <w:i w:val="0"/>
        </w:rPr>
        <w:t xml:space="preserve">La méthodologie a ensuite défini la manière de répondre à ces besoins avec rigueur : une démarche de science de la conception, le cycle CRISP-DM pour les données, un développement itératif inspiré de 2TUP, un jeu de données synthétique reproductible confronté aux sources officielles, 58 variables comportementales calculées sans fuite d'information, un découpage temporel, et un protocole statistique propre à chacune des cinq hypothèses. L'étude comparative de huit méthodes d'apprentissage a conduit à retenir le </w:t>
      </w:r>
      <w:r>
        <w:rPr>
          <w:b/>
          <w:i w:val="0"/>
        </w:rPr>
        <w:t>modèle hybride</w:t>
      </w:r>
      <w:r>
        <w:rPr>
          <w:b w:val="0"/>
          <w:i w:val="0"/>
        </w:rPr>
        <w:t xml:space="preserve"> (XGBoost, LSTM avec attention, autoencodeur). C'est le plus performant (PR-AUC 0,9955), et sa supériorité sur les meilleures méthodes isolées est statistiquement significative. Il réduit de 42 % les fausses alertes et de 45 % les fraudes manquées par rapport à XGBoost seul, tout en restant explicable et compatible avec le temps réel.</w:t>
      </w:r>
    </w:p>
    <w:p>
      <w:pPr>
        <w:spacing w:after="120"/>
      </w:pPr>
      <w:r>
        <w:rPr>
          <w:b w:val="0"/>
          <w:i w:val="0"/>
        </w:rPr>
        <w:t>La conception, enfin, a traduit ces choix en un système complet : une architecture en microservices orientée événements, un moteur de détection hybride (XGBoost, LSTM avec attention, autoencodeur) complété par une décision coût-sensible, des règles métier et des lois physiques, une explication de chaque décision, une API ouverte aux institutions, un apprentissage continu maîtrisé et un dispositif de sécurité et de supervision.</w:t>
      </w:r>
    </w:p>
    <w:p>
      <w:pPr>
        <w:spacing w:after="120"/>
      </w:pPr>
      <w:r>
        <w:rPr>
          <w:b w:val="0"/>
          <w:i w:val="0"/>
        </w:rPr>
        <w:t>Le chapitre suivant présente la réalisation de ce système et les résultats obtenus en appliquant le protocole expérimental défini ici.</w:t>
      </w:r>
    </w:p>
    <w:p>
      <w:pPr>
        <w:pStyle w:val="Heading2"/>
      </w:pPr>
      <w:r>
        <w:t>Références du chapitre</w:t>
      </w:r>
    </w:p>
    <w:p>
      <w:pPr>
        <w:pStyle w:val="ListBullet"/>
      </w:pPr>
      <w:r>
        <w:rPr>
          <w:b w:val="0"/>
          <w:i w:val="0"/>
        </w:rPr>
        <w:t xml:space="preserve">Hevner, A. R., March, S. T., Park, J., &amp; Ram, S. (2004). Design Science in Information Systems Research. </w:t>
      </w:r>
      <w:r>
        <w:rPr>
          <w:b w:val="0"/>
          <w:i/>
        </w:rPr>
        <w:t>MIS Quarterly</w:t>
      </w:r>
      <w:r>
        <w:rPr>
          <w:b w:val="0"/>
          <w:i w:val="0"/>
        </w:rPr>
        <w:t>, 28(1), 75-105.</w:t>
      </w:r>
    </w:p>
    <w:p>
      <w:pPr>
        <w:pStyle w:val="ListBullet"/>
      </w:pPr>
      <w:r>
        <w:rPr>
          <w:b w:val="0"/>
          <w:i w:val="0"/>
        </w:rPr>
        <w:t xml:space="preserve">Chapman, P., Clinton, J., Kerber, R., Khabaza, T., Reinartz, T., Shearer, C., &amp; Wirth, R. (2000). </w:t>
      </w:r>
      <w:r>
        <w:rPr>
          <w:b w:val="0"/>
          <w:i/>
        </w:rPr>
        <w:t>CRISP-DM 1.0: Step-by-step data mining guide</w:t>
      </w:r>
      <w:r>
        <w:rPr>
          <w:b w:val="0"/>
          <w:i w:val="0"/>
        </w:rPr>
        <w:t>. SPSS.</w:t>
      </w:r>
    </w:p>
    <w:p>
      <w:pPr>
        <w:pStyle w:val="ListBullet"/>
      </w:pPr>
      <w:r>
        <w:rPr>
          <w:b w:val="0"/>
          <w:i w:val="0"/>
        </w:rPr>
        <w:t xml:space="preserve">Lopez-Rojas, E. A., Elmir, A., &amp; Axelsson, S. (2016). PaySim: A financial mobile money simulator for fraud detection. </w:t>
      </w:r>
      <w:r>
        <w:rPr>
          <w:b w:val="0"/>
          <w:i/>
        </w:rPr>
        <w:t>28th European Modeling and Simulation Symposium (EMSS)</w:t>
      </w:r>
      <w:r>
        <w:rPr>
          <w:b w:val="0"/>
          <w:i w:val="0"/>
        </w:rPr>
        <w:t>, Larnaca, Chypre.</w:t>
      </w:r>
    </w:p>
    <w:p>
      <w:pPr>
        <w:pStyle w:val="ListBullet"/>
      </w:pPr>
      <w:r>
        <w:rPr>
          <w:b w:val="0"/>
          <w:i w:val="0"/>
        </w:rPr>
        <w:t xml:space="preserve">Chen, T., &amp; Guestrin, C. (2016). XGBoost: A Scalable Tree Boosting System. </w:t>
      </w:r>
      <w:r>
        <w:rPr>
          <w:b w:val="0"/>
          <w:i/>
        </w:rPr>
        <w:t>Proceedings of the 22nd ACM SIGKDD</w:t>
      </w:r>
      <w:r>
        <w:rPr>
          <w:b w:val="0"/>
          <w:i w:val="0"/>
        </w:rPr>
        <w:t>, 785-794.</w:t>
      </w:r>
    </w:p>
    <w:p>
      <w:pPr>
        <w:pStyle w:val="ListBullet"/>
      </w:pPr>
      <w:r>
        <w:rPr>
          <w:b w:val="0"/>
          <w:i w:val="0"/>
        </w:rPr>
        <w:t xml:space="preserve">Hochreiter, S., &amp; Schmidhuber, J. (1997). Long Short-Term Memory. </w:t>
      </w:r>
      <w:r>
        <w:rPr>
          <w:b w:val="0"/>
          <w:i/>
        </w:rPr>
        <w:t>Neural Computation</w:t>
      </w:r>
      <w:r>
        <w:rPr>
          <w:b w:val="0"/>
          <w:i w:val="0"/>
        </w:rPr>
        <w:t>, 9(8), 1735-1780.</w:t>
      </w:r>
    </w:p>
    <w:p>
      <w:pPr>
        <w:pStyle w:val="ListBullet"/>
      </w:pPr>
      <w:r>
        <w:rPr>
          <w:b w:val="0"/>
          <w:i w:val="0"/>
        </w:rPr>
        <w:t xml:space="preserve">Lundberg, S. M., &amp; Lee, S.-I. (2017). A Unified Approach to Interpreting Model Predictions. </w:t>
      </w:r>
      <w:r>
        <w:rPr>
          <w:b w:val="0"/>
          <w:i/>
        </w:rPr>
        <w:t>Advances in Neural Information Processing Systems 30</w:t>
      </w:r>
      <w:r>
        <w:rPr>
          <w:b w:val="0"/>
          <w:i w:val="0"/>
        </w:rPr>
        <w:t>.</w:t>
      </w:r>
    </w:p>
    <w:p>
      <w:pPr>
        <w:pStyle w:val="ListBullet"/>
      </w:pPr>
      <w:r>
        <w:rPr>
          <w:b w:val="0"/>
          <w:i w:val="0"/>
        </w:rPr>
        <w:t xml:space="preserve">Saito, T., &amp; Rehmsmeier, M. (2015). The Precision-Recall Plot Is More Informative than the ROC Plot When Evaluating Binary Classifiers on Imbalanced Datasets. </w:t>
      </w:r>
      <w:r>
        <w:rPr>
          <w:b w:val="0"/>
          <w:i/>
        </w:rPr>
        <w:t>PLoS ONE</w:t>
      </w:r>
      <w:r>
        <w:rPr>
          <w:b w:val="0"/>
          <w:i w:val="0"/>
        </w:rPr>
        <w:t>, 10(3).</w:t>
      </w:r>
    </w:p>
    <w:p>
      <w:pPr>
        <w:pStyle w:val="ListBullet"/>
      </w:pPr>
      <w:r>
        <w:rPr>
          <w:b w:val="0"/>
          <w:i w:val="0"/>
        </w:rPr>
        <w:t xml:space="preserve">Roques, P., &amp; Vallée, F. (2011). </w:t>
      </w:r>
      <w:r>
        <w:rPr>
          <w:b w:val="0"/>
          <w:i/>
        </w:rPr>
        <w:t>UML 2 en action : de l'analyse des besoins à la conception</w:t>
      </w:r>
      <w:r>
        <w:rPr>
          <w:b w:val="0"/>
          <w:i w:val="0"/>
        </w:rPr>
        <w:t>. Eyrolles (processus 2TUP).</w:t>
      </w:r>
    </w:p>
    <w:p>
      <w:pPr>
        <w:pStyle w:val="ListBullet"/>
      </w:pPr>
      <w:r>
        <w:rPr>
          <w:b w:val="0"/>
          <w:i w:val="0"/>
        </w:rPr>
        <w:t xml:space="preserve">ARPTC. </w:t>
      </w:r>
      <w:r>
        <w:rPr>
          <w:b w:val="0"/>
          <w:i/>
        </w:rPr>
        <w:t>Observatoire du marché de la téléphonie mobile</w:t>
      </w:r>
      <w:r>
        <w:rPr>
          <w:b w:val="0"/>
          <w:i w:val="0"/>
        </w:rPr>
        <w:t>, rapports T1-2024 et T4-2025. https://arptc.gouv.cd</w:t>
      </w:r>
    </w:p>
    <w:p>
      <w:pPr>
        <w:pStyle w:val="ListBullet"/>
      </w:pPr>
      <w:r>
        <w:rPr>
          <w:b w:val="0"/>
          <w:i w:val="0"/>
        </w:rPr>
        <w:t xml:space="preserve">Banque mondiale. </w:t>
      </w:r>
      <w:r>
        <w:rPr>
          <w:b w:val="0"/>
          <w:i/>
        </w:rPr>
        <w:t>Official exchange rate (LCU per US$, period average)</w:t>
      </w:r>
      <w:r>
        <w:rPr>
          <w:b w:val="0"/>
          <w:i w:val="0"/>
        </w:rPr>
        <w:t>, indicateur PA.NUS.FCRF, RDC. https://data.worldbank.org/indicator/PA.NUS.FCRF?locations=CD</w:t>
      </w:r>
    </w:p>
    <w:p>
      <w:pPr>
        <w:pStyle w:val="ListBullet"/>
      </w:pPr>
      <w:r>
        <w:rPr>
          <w:b w:val="0"/>
          <w:i w:val="0"/>
        </w:rPr>
        <w:t xml:space="preserve">Banque Centrale du Congo. </w:t>
      </w:r>
      <w:r>
        <w:rPr>
          <w:b w:val="0"/>
          <w:i/>
        </w:rPr>
        <w:t>Cours de change officiels</w:t>
      </w:r>
      <w:r>
        <w:rPr>
          <w:b w:val="0"/>
          <w:i w:val="0"/>
        </w:rPr>
        <w:t xml:space="preserve"> ; Instruction n° 24 relative à l'émission de monnaie électronique (2011). https://www.bcc.cd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