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Tontine digitale RDC : document de cadrage</w:t>
      </w:r>
    </w:p>
    <w:p>
      <w:pPr/>
      <w:r>
        <w:rPr>
          <w:i/>
        </w:rPr>
        <w:t xml:space="preserve">Application mobile pour les membres et back-office web pour l'équipe · 20 octobre 2026</w:t>
      </w:r>
    </w:p>
    <w:p>
      <w:pPr>
        <w:pStyle w:val="Heading2"/>
      </w:pPr>
      <w:r>
        <w:t xml:space="preserve">1. Vision et problème</w:t>
      </w:r>
    </w:p>
    <w:p>
      <w:pPr/>
      <w:r>
        <w:t xml:space="preserve">Les tontines (likelemba, muziki) sont déjà très répandues en RDC, des vendeuses de marché aux fonctionnaires. Leurs problèmes sont connus : cahier perdu, cotisations contestées, trésorier qui détourne la cagnotte, aucune trace permettant de prouver qu'on est fiable.</w:t>
      </w:r>
    </w:p>
    <w:p>
      <w:pPr/>
      <w:r>
        <w:rPr>
          <w:b/>
        </w:rPr>
        <w:t xml:space="preserve">Vision.</w:t>
      </w:r>
      <w:r>
        <w:t xml:space="preserve"> Une application qui rend chaque cotisation vérifiable et transparente, qui touche toutes les couches de la population (formelle et informelle), et qui construit à terme un historique de confiance utilisable pour l'accès au crédit.</w:t>
      </w:r>
    </w:p>
    <w:p>
      <w:pPr>
        <w:pStyle w:val="Heading2"/>
      </w:pPr>
      <w:r>
        <w:t xml:space="preserve">2. Principe de fonctionnement</w:t>
      </w:r>
    </w:p>
    <w:p>
      <w:pPr/>
      <w:r>
        <w:rPr>
          <w:b/>
        </w:rPr>
        <w:t xml:space="preserve">L'application ne détient jamais l'argent.</w:t>
      </w:r>
      <w:r>
        <w:t xml:space="preserve"> Les membres continuent de payer comme aujourd'hui (M-Pesa, Airtel Money, Orange Money, cash). L'application organise, prouve et suit.</w:t>
      </w:r>
    </w:p>
    <w:p>
      <w:pPr>
        <w:pStyle w:val="ListParagraph"/>
        <w:numPr>
          <w:ilvl w:val="0"/>
          <w:numId w:val="2"/>
        </w:numPr>
      </w:pPr>
      <w:r>
        <w:t xml:space="preserve">Chaque membre déclare son paiement avec l'ID de transaction.</w:t>
      </w:r>
    </w:p>
    <w:p>
      <w:pPr>
        <w:pStyle w:val="ListParagraph"/>
        <w:numPr>
          <w:ilvl w:val="0"/>
          <w:numId w:val="2"/>
        </w:numPr>
      </w:pPr>
      <w:r>
        <w:t xml:space="preserve">Le bénéficiaire (ou le trésorier) confirme ou conteste.</w:t>
      </w:r>
    </w:p>
    <w:p>
      <w:pPr>
        <w:pStyle w:val="ListParagraph"/>
        <w:numPr>
          <w:ilvl w:val="0"/>
          <w:numId w:val="2"/>
        </w:numPr>
      </w:pPr>
      <w:r>
        <w:t xml:space="preserve">Tout est horodaté et écrit dans un journal infalsifiable.</w:t>
      </w:r>
    </w:p>
    <w:p>
      <w:pPr>
        <w:pStyle w:val="ListParagraph"/>
        <w:numPr>
          <w:ilvl w:val="0"/>
          <w:numId w:val="2"/>
        </w:numPr>
      </w:pPr>
      <w:r>
        <w:t xml:space="preserve">Il n'y a </w:t>
      </w:r>
      <w:r>
        <w:rPr>
          <w:b/>
        </w:rPr>
        <w:t xml:space="preserve">aucune table de solde ni de portefeuille</w:t>
      </w:r>
      <w:r>
        <w:t xml:space="preserve"> dans le système.</w:t>
      </w:r>
    </w:p>
    <w:p>
      <w:pPr/>
      <w:r>
        <w:rPr>
          <w:b/>
        </w:rPr>
        <w:t xml:space="preserve">Option anti-détournement.</w:t>
      </w:r>
      <w:r>
        <w:t xml:space="preserve"> À chaque tour, chaque membre paie directement le bénéficiaire du jour. Il n'y a pas de cagnotte intermédiaire, donc rien à détourner. Les groupes qui préfèrent un trésorier peuvent l'activer, avec double validation et notification à tous les membres.</w:t>
      </w:r>
    </w:p>
    <w:p>
      <w:pPr/>
      <w:r>
        <w:t xml:space="preserve">Ce choix permet de démarrer sans API M-Pesa ou Airtel, sans partenaire bancaire et sans agrément de conservation de fonds.</w:t>
      </w:r>
    </w:p>
    <w:p>
      <w:pPr>
        <w:pStyle w:val="Heading2"/>
      </w:pPr>
      <w:r>
        <w:t xml:space="preserve">3. Utilisateurs cibles</w:t>
      </w:r>
    </w:p>
    <w:p>
      <w:pPr>
        <w:pStyle w:val="Heading3"/>
      </w:pPr>
      <w:r>
        <w:t xml:space="preserve">Population formelle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39"/>
        <w:gridCol w:w="4920"/>
      </w:tblGrid>
      <w:tr>
        <w:trPr>
          <w:tblHeader/>
        </w:trPr>
        <w:tc>
          <w:tcPr>
            <w:tcW w:w="4439" w:type="dxa"/>
            <w:shd w:val="clear" w:color="auto" w:fill="F2F2F2"/>
          </w:tcPr>
          <w:p>
            <w:pPr/>
            <w:r>
              <w:t xml:space="preserve">Segment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Besoin principal</w:t>
            </w:r>
          </w:p>
        </w:tc>
      </w:tr>
      <w:tr>
        <w:tc>
          <w:tcPr>
            <w:tcW w:w="4439" w:type="dxa"/>
          </w:tcPr>
          <w:p>
            <w:pPr/>
            <w:r>
              <w:t xml:space="preserve">Fonctionnaires, enseignants, infirmiers</w:t>
            </w:r>
          </w:p>
        </w:tc>
        <w:tc>
          <w:tcPr>
            <w:tcW w:w="4920" w:type="dxa"/>
          </w:tcPr>
          <w:p>
            <w:pPr/>
            <w:r>
              <w:t xml:space="preserve">Cotisation mensuelle, rigueur, relevés</w:t>
            </w:r>
          </w:p>
        </w:tc>
      </w:tr>
      <w:tr>
        <w:tc>
          <w:tcPr>
            <w:tcW w:w="4439" w:type="dxa"/>
          </w:tcPr>
          <w:p>
            <w:pPr/>
            <w:r>
              <w:t xml:space="preserve">Employés d'entreprises (mines, banques, ONG)</w:t>
            </w:r>
          </w:p>
        </w:tc>
        <w:tc>
          <w:tcPr>
            <w:tcW w:w="4920" w:type="dxa"/>
          </w:tcPr>
          <w:p>
            <w:pPr/>
            <w:r>
              <w:t xml:space="preserve">Tontines entre collègues, historique exportable</w:t>
            </w:r>
          </w:p>
        </w:tc>
      </w:tr>
      <w:tr>
        <w:tc>
          <w:tcPr>
            <w:tcW w:w="4439" w:type="dxa"/>
          </w:tcPr>
          <w:p>
            <w:pPr/>
            <w:r>
              <w:t xml:space="preserve">Professions libérales, cadres</w:t>
            </w:r>
          </w:p>
        </w:tc>
        <w:tc>
          <w:tcPr>
            <w:tcW w:w="4920" w:type="dxa"/>
          </w:tcPr>
          <w:p>
            <w:pPr/>
            <w:r>
              <w:t xml:space="preserve">Montants élevés, épargne-projet, rapports PDF</w:t>
            </w:r>
          </w:p>
        </w:tc>
      </w:tr>
    </w:tbl>
    <w:p>
      <w:pPr>
        <w:pStyle w:val="Heading3"/>
      </w:pPr>
      <w:r>
        <w:t xml:space="preserve">Population informelle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02"/>
        <w:gridCol w:w="4858"/>
      </w:tblGrid>
      <w:tr>
        <w:trPr>
          <w:tblHeader/>
        </w:trPr>
        <w:tc>
          <w:tcPr>
            <w:tcW w:w="4502" w:type="dxa"/>
            <w:shd w:val="clear" w:color="auto" w:fill="F2F2F2"/>
          </w:tcPr>
          <w:p>
            <w:pPr/>
            <w:r>
              <w:t xml:space="preserve">Segment</w:t>
            </w:r>
          </w:p>
        </w:tc>
        <w:tc>
          <w:tcPr>
            <w:tcW w:w="4858" w:type="dxa"/>
            <w:shd w:val="clear" w:color="auto" w:fill="F2F2F2"/>
          </w:tcPr>
          <w:p>
            <w:pPr/>
            <w:r>
              <w:t xml:space="preserve">Besoin principal</w:t>
            </w:r>
          </w:p>
        </w:tc>
      </w:tr>
      <w:tr>
        <w:tc>
          <w:tcPr>
            <w:tcW w:w="4502" w:type="dxa"/>
          </w:tcPr>
          <w:p>
            <w:pPr/>
            <w:r>
              <w:t xml:space="preserve">Marchands de marché, boutiquiers</w:t>
            </w:r>
          </w:p>
        </w:tc>
        <w:tc>
          <w:tcPr>
            <w:tcW w:w="4858" w:type="dxa"/>
          </w:tcPr>
          <w:p>
            <w:pPr/>
            <w:r>
              <w:t xml:space="preserve">Cotisation journalière ou hebdomadaire, petits montants</w:t>
            </w:r>
          </w:p>
        </w:tc>
      </w:tr>
      <w:tr>
        <w:tc>
          <w:tcPr>
            <w:tcW w:w="4502" w:type="dxa"/>
          </w:tcPr>
          <w:p>
            <w:pPr/>
            <w:r>
              <w:t xml:space="preserve">Chauffeurs, taxi-motos</w:t>
            </w:r>
          </w:p>
        </w:tc>
        <w:tc>
          <w:tcPr>
            <w:tcW w:w="4858" w:type="dxa"/>
          </w:tcPr>
          <w:p>
            <w:pPr/>
            <w:r>
              <w:t xml:space="preserve">Revenu irrégulier, cotisations flexibles</w:t>
            </w:r>
          </w:p>
        </w:tc>
      </w:tr>
      <w:tr>
        <w:tc>
          <w:tcPr>
            <w:tcW w:w="4502" w:type="dxa"/>
          </w:tcPr>
          <w:p>
            <w:pPr/>
            <w:r>
              <w:t xml:space="preserve">Artisans, couturières, agriculteurs</w:t>
            </w:r>
          </w:p>
        </w:tc>
        <w:tc>
          <w:tcPr>
            <w:tcW w:w="4858" w:type="dxa"/>
          </w:tcPr>
          <w:p>
            <w:pPr/>
            <w:r>
              <w:t xml:space="preserve">Calendriers saisonniers</w:t>
            </w:r>
          </w:p>
        </w:tc>
      </w:tr>
      <w:tr>
        <w:tc>
          <w:tcPr>
            <w:tcW w:w="4502" w:type="dxa"/>
          </w:tcPr>
          <w:p>
            <w:pPr/>
            <w:r>
              <w:t xml:space="preserve">Associations de femmes, églises, groupes de quartier</w:t>
            </w:r>
          </w:p>
        </w:tc>
        <w:tc>
          <w:tcPr>
            <w:tcW w:w="4858" w:type="dxa"/>
          </w:tcPr>
          <w:p>
            <w:pPr/>
            <w:r>
              <w:t xml:space="preserve">Gestion du groupe, transparence</w:t>
            </w:r>
          </w:p>
        </w:tc>
      </w:tr>
    </w:tbl>
    <w:p>
      <w:pPr>
        <w:pStyle w:val="Heading3"/>
      </w:pPr>
      <w:r>
        <w:t xml:space="preserve">Conséquences pour le produit</w:t>
      </w:r>
    </w:p>
    <w:p>
      <w:pPr>
        <w:pStyle w:val="ListParagraph"/>
        <w:numPr>
          <w:ilvl w:val="0"/>
          <w:numId w:val="3"/>
        </w:numPr>
      </w:pPr>
      <w:r>
        <w:t xml:space="preserve">Trois canaux : application Android, bot WhatsApp, USSD/SMS pour les téléphones basiques.</w:t>
      </w:r>
    </w:p>
    <w:p>
      <w:pPr>
        <w:pStyle w:val="ListParagraph"/>
        <w:numPr>
          <w:ilvl w:val="0"/>
          <w:numId w:val="3"/>
        </w:numPr>
      </w:pPr>
      <w:r>
        <w:t xml:space="preserve">Fréquences variables (quotidienne, hebdomadaire, mensuelle, à la paie ou à la récolte).</w:t>
      </w:r>
    </w:p>
    <w:p>
      <w:pPr>
        <w:pStyle w:val="ListParagraph"/>
        <w:numPr>
          <w:ilvl w:val="0"/>
          <w:numId w:val="3"/>
        </w:numPr>
      </w:pPr>
      <w:r>
        <w:t xml:space="preserve">Montants minimums très bas pour l'informel.</w:t>
      </w:r>
    </w:p>
    <w:p>
      <w:pPr>
        <w:pStyle w:val="ListParagraph"/>
        <w:numPr>
          <w:ilvl w:val="0"/>
          <w:numId w:val="3"/>
        </w:numPr>
      </w:pPr>
      <w:r>
        <w:t xml:space="preserve">Deux niveaux de preuve : reçu numérique complet pour les formels, SMS de confirmation simple pour les informels.</w:t>
      </w:r>
    </w:p>
    <w:p>
      <w:pPr>
        <w:pStyle w:val="ListParagraph"/>
        <w:numPr>
          <w:ilvl w:val="0"/>
          <w:numId w:val="3"/>
        </w:numPr>
      </w:pPr>
      <w:r>
        <w:t xml:space="preserve">Langues : français, swahili, lingala.</w:t>
      </w:r>
    </w:p>
    <w:p>
      <w:pPr>
        <w:pStyle w:val="ListParagraph"/>
        <w:numPr>
          <w:ilvl w:val="0"/>
          <w:numId w:val="3"/>
        </w:numPr>
      </w:pPr>
      <w:r>
        <w:t xml:space="preserve">Interface légère, hors ligne, avec gros boutons et pictogrammes.</w:t>
      </w:r>
    </w:p>
    <w:p>
      <w:pPr>
        <w:pStyle w:val="Heading2"/>
      </w:pPr>
      <w:r>
        <w:t xml:space="preserve">4. Confiance et professionnalisme</w:t>
      </w:r>
    </w:p>
    <w:p>
      <w:pPr/>
      <w:r>
        <w:t xml:space="preserve">La confiance vient de trois choses : la </w:t>
      </w:r>
      <w:r>
        <w:rPr>
          <w:b/>
        </w:rPr>
        <w:t xml:space="preserve">preuve</w:t>
      </w:r>
      <w:r>
        <w:t xml:space="preserve">, la </w:t>
      </w:r>
      <w:r>
        <w:rPr>
          <w:b/>
        </w:rPr>
        <w:t xml:space="preserve">légitimité</w:t>
      </w:r>
      <w:r>
        <w:t xml:space="preserve"> de l'entreprise et la </w:t>
      </w:r>
      <w:r>
        <w:rPr>
          <w:b/>
        </w:rPr>
        <w:t xml:space="preserve">sécurité</w:t>
      </w:r>
      <w:r>
        <w:t xml:space="preserve">.</w:t>
      </w:r>
    </w:p>
    <w:p>
      <w:pPr/>
      <w:r>
        <w:rPr>
          <w:b/>
        </w:rPr>
        <w:t xml:space="preserve">Preuve vérifiable (sans API)</w:t>
      </w:r>
    </w:p>
    <w:p>
      <w:pPr>
        <w:pStyle w:val="ListParagraph"/>
        <w:numPr>
          <w:ilvl w:val="0"/>
          <w:numId w:val="4"/>
        </w:numPr>
      </w:pPr>
      <w:r>
        <w:t xml:space="preserve">Double confirmation (payeur, puis bénéficiaire ou trésorier), horodatée.</w:t>
      </w:r>
    </w:p>
    <w:p>
      <w:pPr>
        <w:pStyle w:val="ListParagraph"/>
        <w:numPr>
          <w:ilvl w:val="0"/>
          <w:numId w:val="4"/>
        </w:numPr>
      </w:pPr>
      <w:r>
        <w:t xml:space="preserve">ID de transaction obligatoire pour le mobile money, capture d'écran en option.</w:t>
      </w:r>
    </w:p>
    <w:p>
      <w:pPr>
        <w:pStyle w:val="ListParagraph"/>
        <w:numPr>
          <w:ilvl w:val="0"/>
          <w:numId w:val="4"/>
        </w:numPr>
      </w:pPr>
      <w:r>
        <w:t xml:space="preserve">Un même ID de transaction ne peut pas être réutilisé deux fois dans un groupe.</w:t>
      </w:r>
    </w:p>
    <w:p>
      <w:pPr>
        <w:pStyle w:val="ListParagraph"/>
        <w:numPr>
          <w:ilvl w:val="0"/>
          <w:numId w:val="4"/>
        </w:numPr>
      </w:pPr>
      <w:r>
        <w:t xml:space="preserve">Journal d'audit en ajout seul, avec hash chaîné : une correction crée une nouvelle ligne, jamais une modification.</w:t>
      </w:r>
    </w:p>
    <w:p>
      <w:pPr>
        <w:pStyle w:val="ListParagraph"/>
        <w:numPr>
          <w:ilvl w:val="0"/>
          <w:numId w:val="4"/>
        </w:numPr>
      </w:pPr>
      <w:r>
        <w:t xml:space="preserve">Reçus numériques avec numéro unique et QR code, relevés PDF.</w:t>
      </w:r>
    </w:p>
    <w:p>
      <w:pPr>
        <w:pStyle w:val="ListParagraph"/>
        <w:numPr>
          <w:ilvl w:val="0"/>
          <w:numId w:val="4"/>
        </w:numPr>
      </w:pPr>
      <w:r>
        <w:t xml:space="preserve">Décaissement important soumis à la validation de deux personnes.</w:t>
      </w:r>
    </w:p>
    <w:p>
      <w:pPr>
        <w:pStyle w:val="ListParagraph"/>
        <w:numPr>
          <w:ilvl w:val="0"/>
          <w:numId w:val="4"/>
        </w:numPr>
      </w:pPr>
      <w:r>
        <w:t xml:space="preserve">Notification à tous les membres à chaque mouvement.</w:t>
      </w:r>
    </w:p>
    <w:p>
      <w:pPr/>
      <w:r>
        <w:rPr>
          <w:b/>
        </w:rPr>
        <w:t xml:space="preserve">Légitimité</w:t>
      </w:r>
    </w:p>
    <w:p>
      <w:pPr>
        <w:pStyle w:val="ListParagraph"/>
        <w:numPr>
          <w:ilvl w:val="0"/>
          <w:numId w:val="5"/>
        </w:numPr>
      </w:pPr>
      <w:r>
        <w:t xml:space="preserve">Société enregistrée (RCCM, Id.Nat., NIF), site web et adresse physique à Lubumbashi.</w:t>
      </w:r>
    </w:p>
    <w:p>
      <w:pPr>
        <w:pStyle w:val="ListParagraph"/>
        <w:numPr>
          <w:ilvl w:val="0"/>
          <w:numId w:val="5"/>
        </w:numPr>
      </w:pPr>
      <w:r>
        <w:t xml:space="preserve">CGU et politique de confidentialité claires, qui disent : « l'application ne détient, ne transfère et ne garantit aucun fonds ».</w:t>
      </w:r>
    </w:p>
    <w:p>
      <w:pPr>
        <w:pStyle w:val="ListParagraph"/>
        <w:numPr>
          <w:ilvl w:val="0"/>
          <w:numId w:val="5"/>
        </w:numPr>
      </w:pPr>
      <w:r>
        <w:t xml:space="preserve">Partenaires visibles comme parrains du pilote (IMF, coopérative, église, association).</w:t>
      </w:r>
    </w:p>
    <w:p>
      <w:pPr/>
      <w:r>
        <w:rPr>
          <w:b/>
        </w:rPr>
        <w:t xml:space="preserve">Sécurité</w:t>
      </w:r>
    </w:p>
    <w:p>
      <w:pPr>
        <w:pStyle w:val="ListParagraph"/>
        <w:numPr>
          <w:ilvl w:val="0"/>
          <w:numId w:val="6"/>
        </w:numPr>
      </w:pPr>
      <w:r>
        <w:t xml:space="preserve">Connexion par numéro + OTP SMS, puis PIN ou biométrie.</w:t>
      </w:r>
    </w:p>
    <w:p>
      <w:pPr>
        <w:pStyle w:val="ListParagraph"/>
        <w:numPr>
          <w:ilvl w:val="0"/>
          <w:numId w:val="6"/>
        </w:numPr>
      </w:pPr>
      <w:r>
        <w:t xml:space="preserve">Données chiffrées, sauvegardes régulières, rôles stricts, alertes de changement de rôle.</w:t>
      </w:r>
    </w:p>
    <w:p>
      <w:pPr>
        <w:pStyle w:val="ListParagraph"/>
        <w:numPr>
          <w:ilvl w:val="0"/>
          <w:numId w:val="6"/>
        </w:numPr>
      </w:pPr>
      <w:r>
        <w:t xml:space="preserve">Support humain par WhatsApp, tarifs transparents, chiffres réels du pilote.</w:t>
      </w:r>
    </w:p>
    <w:p>
      <w:pPr>
        <w:pStyle w:val="Heading2"/>
      </w:pPr>
      <w:r>
        <w:t xml:space="preserve">5. Cadre juridique et conformité</w:t>
      </w:r>
    </w:p>
    <w:p>
      <w:pPr/>
      <w:r>
        <w:t xml:space="preserve">Tant que l'application ne détient, ne transfère et ne garantit aucun fonds, elle reste hors du périmètre le plus lourd de la réglementation financière. Points de vigilance :</w:t>
      </w:r>
    </w:p>
    <w:p>
      <w:pPr>
        <w:pStyle w:val="ListParagraph"/>
        <w:numPr>
          <w:ilvl w:val="0"/>
          <w:numId w:val="7"/>
        </w:numPr>
      </w:pPr>
      <w:r>
        <w:t xml:space="preserve">Ne jamais initier soi-même les paiements : l'application peut afficher le numéro et le montant, l'utilisateur paie dans son application mobile money.</w:t>
      </w:r>
    </w:p>
    <w:p>
      <w:pPr>
        <w:pStyle w:val="ListParagraph"/>
        <w:numPr>
          <w:ilvl w:val="0"/>
          <w:numId w:val="7"/>
        </w:numPr>
      </w:pPr>
      <w:r>
        <w:t xml:space="preserve">Ne pas promettre de remboursement en cas de défaut d'un membre : l'application fournit la preuve et le score, pas une assurance.</w:t>
      </w:r>
    </w:p>
    <w:p>
      <w:pPr>
        <w:pStyle w:val="ListParagraph"/>
        <w:numPr>
          <w:ilvl w:val="0"/>
          <w:numId w:val="7"/>
        </w:numPr>
      </w:pPr>
      <w:r>
        <w:t xml:space="preserve">Respecter les règles sur les données personnelles (consentement explicite, politique de confidentialité).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Faire relire le montage par un juriste local et échanger avec la BCC</w:t>
      </w:r>
      <w:r>
        <w:t xml:space="preserve"> avant d'ajouter paiement intégré, crédit ou assurance.</w:t>
      </w:r>
    </w:p>
    <w:p>
      <w:pPr/>
      <w:r>
        <w:rPr>
          <w:b/>
        </w:rPr>
        <w:t xml:space="preserve">Évolutions possibles si le modèle change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10"/>
        <w:gridCol w:w="3594"/>
        <w:gridCol w:w="3056"/>
      </w:tblGrid>
      <w:tr>
        <w:trPr>
          <w:tblHeader/>
        </w:trPr>
        <w:tc>
          <w:tcPr>
            <w:tcW w:w="2710" w:type="dxa"/>
            <w:shd w:val="clear" w:color="auto" w:fill="F2F2F2"/>
          </w:tcPr>
          <w:p>
            <w:pPr/>
            <w:r>
              <w:t xml:space="preserve">Montage</w:t>
            </w:r>
          </w:p>
        </w:tc>
        <w:tc>
          <w:tcPr>
            <w:tcW w:w="3594" w:type="dxa"/>
            <w:shd w:val="clear" w:color="auto" w:fill="F2F2F2"/>
          </w:tcPr>
          <w:p>
            <w:pPr/>
            <w:r>
              <w:t xml:space="preserve">Principe</w:t>
            </w:r>
          </w:p>
        </w:tc>
        <w:tc>
          <w:tcPr>
            <w:tcW w:w="3056" w:type="dxa"/>
            <w:shd w:val="clear" w:color="auto" w:fill="F2F2F2"/>
          </w:tcPr>
          <w:p>
            <w:pPr/>
            <w:r>
              <w:t xml:space="preserve">Remarque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Partenaire agréé</w:t>
            </w:r>
          </w:p>
        </w:tc>
        <w:tc>
          <w:tcPr>
            <w:tcW w:w="3594" w:type="dxa"/>
          </w:tcPr>
          <w:p>
            <w:pPr/>
            <w:r>
              <w:t xml:space="preserve">Fonds cantonnés chez une banque, IMF ou institution de monnaie électronique ; l'app pilote le produit</w:t>
            </w:r>
          </w:p>
        </w:tc>
        <w:tc>
          <w:tcPr>
            <w:tcW w:w="3056" w:type="dxa"/>
          </w:tcPr>
          <w:p>
            <w:pPr/>
            <w:r>
              <w:t xml:space="preserve">Le plus rapide si l'app doit un jour manipuler des fonds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Agrégateur de paiement</w:t>
            </w:r>
          </w:p>
        </w:tc>
        <w:tc>
          <w:tcPr>
            <w:tcW w:w="3594" w:type="dxa"/>
          </w:tcPr>
          <w:p>
            <w:pPr/>
            <w:r>
              <w:t xml:space="preserve">Encaissement via un agrégateur couvrant les opérateurs</w:t>
            </w:r>
          </w:p>
        </w:tc>
        <w:tc>
          <w:tcPr>
            <w:tcW w:w="3056" w:type="dxa"/>
          </w:tcPr>
          <w:p>
            <w:pPr/>
            <w:r>
              <w:t xml:space="preserve">À vérifier : couverture RDC, frais, exigences KYC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Agrément propre</w:t>
            </w:r>
          </w:p>
        </w:tc>
        <w:tc>
          <w:tcPr>
            <w:tcW w:w="3594" w:type="dxa"/>
          </w:tcPr>
          <w:p>
            <w:pPr/>
            <w:r>
              <w:t xml:space="preserve">Licence d'IMF ou de monnaie électronique</w:t>
            </w:r>
          </w:p>
        </w:tc>
        <w:tc>
          <w:tcPr>
            <w:tcW w:w="3056" w:type="dxa"/>
          </w:tcPr>
          <w:p>
            <w:pPr/>
            <w:r>
              <w:t xml:space="preserve">Long et coûteux, à lancer en parallèle si objectif long terme</w:t>
            </w:r>
          </w:p>
        </w:tc>
      </w:tr>
    </w:tbl>
    <w:p>
      <w:pPr>
        <w:pStyle w:val="Heading2"/>
      </w:pPr>
      <w:r>
        <w:t xml:space="preserve">6. Architecture</w:t>
      </w:r>
    </w:p>
    <w:p>
      <w:pPr/>
      <w:r>
        <w:t xml:space="preserve">Une </w:t>
      </w:r>
      <w:r>
        <w:rPr>
          <w:b/>
        </w:rPr>
        <w:t xml:space="preserve">application mobile</w:t>
      </w:r>
      <w:r>
        <w:t xml:space="preserve"> pour les membres, une </w:t>
      </w:r>
      <w:r>
        <w:rPr>
          <w:b/>
        </w:rPr>
        <w:t xml:space="preserve">application web d'administration</w:t>
      </w:r>
      <w:r>
        <w:t xml:space="preserve"> pour l'équipe, et un </w:t>
      </w:r>
      <w:r>
        <w:rPr>
          <w:b/>
        </w:rPr>
        <w:t xml:space="preserve">backend unique</w:t>
      </w:r>
      <w:r>
        <w:t xml:space="preserve"> qui sert les deux.</w:t>
      </w:r>
    </w:p>
    <w:p>
      <w:pPr>
        <w:pStyle w:val="Code"/>
      </w:pPr>
      <w:r>
        <w:t xml:space="preserve">        UTILISATEURS                                  EQUIPE</w:t>
        <w:br/>
        <w:t xml:space="preserve">┌──────────────────────────┐                 ┌──────────────────────────┐</w:t>
        <w:br/>
        <w:t xml:space="preserve">│ App mobile (Android)     │                 │ Back-office web (admin)  │</w:t>
        <w:br/>
        <w:t xml:space="preserve">│ + USSD + Bot WhatsApp    │                 │ Dashboard, support,      │</w:t>
        <w:br/>
        <w:t xml:space="preserve">└────────────┬─────────────┘                 │ litiges, conformité      │</w:t>
        <w:br/>
        <w:t xml:space="preserve">             │                               └────────────┬─────────────┘</w:t>
        <w:br/>
        <w:t xml:space="preserve">             └──────────────┬─────────────────────────────┘</w:t>
        <w:br/>
        <w:t xml:space="preserve">                            ▼</w:t>
        <w:br/>
        <w:t xml:space="preserve">                 ┌─────────────────────┐</w:t>
        <w:br/>
        <w:t xml:space="preserve">                 │   API Gateway       │  HTTPS, rate limit, JWT</w:t>
        <w:br/>
        <w:t xml:space="preserve">                 └──────────┬──────────┘</w:t>
        <w:br/>
        <w:t xml:space="preserve">                            ▼</w:t>
        <w:br/>
        <w:t xml:space="preserve">   ┌──────────────────────────────────────────────────────────┐</w:t>
        <w:br/>
        <w:t xml:space="preserve">   │                  BACKEND (API REST)                      │</w:t>
        <w:br/>
        <w:t xml:space="preserve">   │  Auth/OTP │ Groupes │ Cotisations │ Journal │ Score      │</w:t>
        <w:br/>
        <w:t xml:space="preserve">   │  Notifications │ Litiges │ Rapports │ Admin │ Fraude     │</w:t>
        <w:br/>
        <w:t xml:space="preserve">   └───────┬──────────────┬───────────────┬───────────────────┘</w:t>
        <w:br/>
        <w:t xml:space="preserve">           ▼              ▼               ▼</w:t>
        <w:br/>
        <w:t xml:space="preserve">     PostgreSQL        Redis         File d'attente</w:t>
        <w:br/>
        <w:t xml:space="preserve">    (données +       (cache, OTP,    (SMS, rappels,</w:t>
        <w:br/>
        <w:t xml:space="preserve">     journal)         sessions)       rapports, score)</w:t>
        <w:br/>
        <w:t xml:space="preserve">           │                               │</w:t>
        <w:br/>
        <w:t xml:space="preserve">           ▼                               ▼</w:t>
        <w:br/>
        <w:t xml:space="preserve">   Stockage fichiers              Services externes</w:t>
        <w:br/>
        <w:t xml:space="preserve">   (reçus, preuves)        SMS/OTP │ WhatsApp │ USSD │ Push</w:t>
      </w:r>
    </w:p>
    <w:p>
      <w:pPr>
        <w:pStyle w:val="Heading3"/>
      </w:pPr>
      <w:r>
        <w:t xml:space="preserve">Choix techniques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22"/>
        <w:gridCol w:w="6637"/>
      </w:tblGrid>
      <w:tr>
        <w:trPr>
          <w:tblHeader/>
        </w:trPr>
        <w:tc>
          <w:tcPr>
            <w:tcW w:w="2722" w:type="dxa"/>
            <w:shd w:val="clear" w:color="auto" w:fill="F2F2F2"/>
          </w:tcPr>
          <w:p>
            <w:pPr/>
            <w:r>
              <w:t xml:space="preserve">Couche</w:t>
            </w:r>
          </w:p>
        </w:tc>
        <w:tc>
          <w:tcPr>
            <w:tcW w:w="6637" w:type="dxa"/>
            <w:shd w:val="clear" w:color="auto" w:fill="F2F2F2"/>
          </w:tcPr>
          <w:p>
            <w:pPr/>
            <w:r>
              <w:t xml:space="preserve">Proposition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App mobile</w:t>
            </w:r>
          </w:p>
        </w:tc>
        <w:tc>
          <w:tcPr>
            <w:tcW w:w="6637" w:type="dxa"/>
          </w:tcPr>
          <w:p>
            <w:pPr/>
            <w:r>
              <w:t xml:space="preserve">Flutter ou React Native, Android d'abord, mode hors ligne (SQLite + file d'actions)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Back-office</w:t>
            </w:r>
          </w:p>
        </w:tc>
        <w:tc>
          <w:tcPr>
            <w:tcW w:w="6637" w:type="dxa"/>
          </w:tcPr>
          <w:p>
            <w:pPr/>
            <w:r>
              <w:t xml:space="preserve">React / Next.js ou Vue, 2FA obligatoire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Backend</w:t>
            </w:r>
          </w:p>
        </w:tc>
        <w:tc>
          <w:tcPr>
            <w:tcW w:w="6637" w:type="dxa"/>
          </w:tcPr>
          <w:p>
            <w:pPr/>
            <w:r>
              <w:t xml:space="preserve">Monolithe modulaire (NestJS, Django/FastAPI ou Laravel, selon ce que tu maîtrises)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Données</w:t>
            </w:r>
          </w:p>
        </w:tc>
        <w:tc>
          <w:tcPr>
            <w:tcW w:w="6637" w:type="dxa"/>
          </w:tcPr>
          <w:p>
            <w:pPr/>
            <w:r>
              <w:t xml:space="preserve">PostgreSQL, Redis, stockage objet compatible S3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Jobs asynchrones</w:t>
            </w:r>
          </w:p>
        </w:tc>
        <w:tc>
          <w:tcPr>
            <w:tcW w:w="6637" w:type="dxa"/>
          </w:tcPr>
          <w:p>
            <w:pPr/>
            <w:r>
              <w:t xml:space="preserve">BullMQ, Celery ou équivalent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Hébergement</w:t>
            </w:r>
          </w:p>
        </w:tc>
        <w:tc>
          <w:tcPr>
            <w:tcW w:w="6637" w:type="dxa"/>
          </w:tcPr>
          <w:p>
            <w:pPr/>
            <w:r>
              <w:t xml:space="preserve">Cloud avec Docker, CI/CD, supervision et alertes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Intégrations</w:t>
            </w:r>
          </w:p>
        </w:tc>
        <w:tc>
          <w:tcPr>
            <w:tcW w:w="6637" w:type="dxa"/>
          </w:tcPr>
          <w:p>
            <w:pPr/>
            <w:r>
              <w:t xml:space="preserve">Passerelle SMS/OTP, API WhatsApp Business, opérateur USSD, Firebase Push</w:t>
            </w:r>
          </w:p>
        </w:tc>
      </w:tr>
    </w:tbl>
    <w:p>
      <w:pPr/>
      <w:r>
        <w:t xml:space="preserve">Un monolithe modulaire est plus simple et moins cher au départ ; le découpage en services viendra avec le volume.</w:t>
      </w:r>
    </w:p>
    <w:p>
      <w:pPr>
        <w:pStyle w:val="Heading2"/>
      </w:pPr>
      <w:r>
        <w:t xml:space="preserve">7. Modèle de données</w:t>
      </w:r>
    </w:p>
    <w:p>
      <w:pPr/>
      <w:r>
        <w:t xml:space="preserve">Le script SQL complet (PostgreSQL) et le diagramme PlantUML sont fournis séparément : </w:t>
      </w:r>
      <w:r>
        <w:rPr>
          <w:rStyle w:val="CodeChar"/>
        </w:rPr>
        <w:t xml:space="preserve">tontine_schema.sql</w:t>
      </w:r>
      <w:r>
        <w:t xml:space="preserve"> et </w:t>
      </w:r>
      <w:r>
        <w:rPr>
          <w:rStyle w:val="CodeChar"/>
        </w:rPr>
        <w:t xml:space="preserve">tontine_architecture.puml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03"/>
        <w:gridCol w:w="6856"/>
      </w:tblGrid>
      <w:tr>
        <w:trPr>
          <w:tblHeader/>
        </w:trPr>
        <w:tc>
          <w:tcPr>
            <w:tcW w:w="2503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6856" w:type="dxa"/>
            <w:shd w:val="clear" w:color="auto" w:fill="F2F2F2"/>
          </w:tcPr>
          <w:p>
            <w:pPr/>
            <w:r>
              <w:t xml:space="preserve">Rôle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  <w:tc>
          <w:tcPr>
            <w:tcW w:w="6856" w:type="dxa"/>
          </w:tcPr>
          <w:p>
            <w:pPr/>
            <w:r>
              <w:t xml:space="preserve">Téléphone, nom, PIN haché, langue, niveau de vérification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groups</w:t>
            </w:r>
          </w:p>
        </w:tc>
        <w:tc>
          <w:tcPr>
            <w:tcW w:w="6856" w:type="dxa"/>
          </w:tcPr>
          <w:p>
            <w:pPr/>
            <w:r>
              <w:t xml:space="preserve">Montant, devise, fréquence, mode de versement, règles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memberships</w:t>
            </w:r>
          </w:p>
        </w:tc>
        <w:tc>
          <w:tcPr>
            <w:tcW w:w="6856" w:type="dxa"/>
          </w:tcPr>
          <w:p>
            <w:pPr/>
            <w:r>
              <w:t xml:space="preserve">Appartenance, rôle, ordre de passage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cycles</w:t>
            </w:r>
          </w:p>
        </w:tc>
        <w:tc>
          <w:tcPr>
            <w:tcW w:w="6856" w:type="dxa"/>
          </w:tcPr>
          <w:p>
            <w:pPr/>
            <w:r>
              <w:t xml:space="preserve">Un tour : échéance et bénéficiaire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contributions</w:t>
            </w:r>
          </w:p>
        </w:tc>
        <w:tc>
          <w:tcPr>
            <w:tcW w:w="6856" w:type="dxa"/>
          </w:tcPr>
          <w:p>
            <w:pPr/>
            <w:r>
              <w:t xml:space="preserve">Paiement déclaré : montant, moyen, ID de transaction, statut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confirmations</w:t>
            </w:r>
          </w:p>
        </w:tc>
        <w:tc>
          <w:tcPr>
            <w:tcW w:w="6856" w:type="dxa"/>
          </w:tcPr>
          <w:p>
            <w:pPr/>
            <w:r>
              <w:t xml:space="preserve">Confirmation ou contestation d'une cotisation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disputes</w:t>
            </w:r>
          </w:p>
        </w:tc>
        <w:tc>
          <w:tcPr>
            <w:tcW w:w="6856" w:type="dxa"/>
          </w:tcPr>
          <w:p>
            <w:pPr/>
            <w:r>
              <w:t xml:space="preserve">Litiges et résolutions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trust_scores</w:t>
            </w:r>
          </w:p>
        </w:tc>
        <w:tc>
          <w:tcPr>
            <w:tcW w:w="6856" w:type="dxa"/>
          </w:tcPr>
          <w:p>
            <w:pPr/>
            <w:r>
              <w:t xml:space="preserve">Score de confiance, taux de ponctualité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notifications</w:t>
            </w:r>
          </w:p>
        </w:tc>
        <w:tc>
          <w:tcPr>
            <w:tcW w:w="6856" w:type="dxa"/>
          </w:tcPr>
          <w:p>
            <w:pPr/>
            <w:r>
              <w:t xml:space="preserve">SMS, WhatsApp, push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staff</w:t>
            </w:r>
          </w:p>
        </w:tc>
        <w:tc>
          <w:tcPr>
            <w:tcW w:w="6856" w:type="dxa"/>
          </w:tcPr>
          <w:p>
            <w:pPr/>
            <w:r>
              <w:t xml:space="preserve">Comptes de l'équipe interne, rôles, 2FA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audit_log</w:t>
            </w:r>
          </w:p>
        </w:tc>
        <w:tc>
          <w:tcPr>
            <w:tcW w:w="6856" w:type="dxa"/>
          </w:tcPr>
          <w:p>
            <w:pPr/>
            <w:r>
              <w:t xml:space="preserve">Journal en ajout seul, hash chaîné</w:t>
            </w:r>
          </w:p>
        </w:tc>
      </w:tr>
    </w:tbl>
    <w:p>
      <w:pPr/>
      <w:r>
        <w:rPr>
          <w:b/>
        </w:rPr>
        <w:t xml:space="preserve">Points de conception</w:t>
      </w:r>
    </w:p>
    <w:p>
      <w:pPr>
        <w:pStyle w:val="ListParagraph"/>
        <w:numPr>
          <w:ilvl w:val="0"/>
          <w:numId w:val="8"/>
        </w:numPr>
      </w:pPr>
      <w:r>
        <w:t xml:space="preserve">Aucune table de solde : l'application ne détient pas l'argent.</w:t>
      </w:r>
    </w:p>
    <w:p>
      <w:pPr>
        <w:pStyle w:val="ListParagraph"/>
        <w:numPr>
          <w:ilvl w:val="0"/>
          <w:numId w:val="8"/>
        </w:numPr>
      </w:pPr>
      <w:r>
        <w:t xml:space="preserve">Unicité de l'ID de transaction par groupe.</w:t>
      </w:r>
    </w:p>
    <w:p>
      <w:pPr>
        <w:pStyle w:val="ListParagraph"/>
        <w:numPr>
          <w:ilvl w:val="0"/>
          <w:numId w:val="8"/>
        </w:numPr>
      </w:pPr>
      <w:r>
        <w:t xml:space="preserve">Champ </w:t>
      </w:r>
      <w:r>
        <w:rPr>
          <w:rStyle w:val="CodeChar"/>
        </w:rPr>
        <w:t xml:space="preserve">offline_id</w:t>
      </w:r>
      <w:r>
        <w:t xml:space="preserve"> pour synchroniser sans doublons les actions faites hors ligne.</w:t>
      </w:r>
    </w:p>
    <w:p>
      <w:pPr>
        <w:pStyle w:val="ListParagraph"/>
        <w:numPr>
          <w:ilvl w:val="0"/>
          <w:numId w:val="8"/>
        </w:numPr>
      </w:pPr>
      <w:r>
        <w:t xml:space="preserve">Triggers qui calculent le hash du journal et interdisent toute modification ou suppression.</w:t>
      </w:r>
    </w:p>
    <w:p>
      <w:pPr>
        <w:pStyle w:val="ListParagraph"/>
        <w:numPr>
          <w:ilvl w:val="0"/>
          <w:numId w:val="8"/>
        </w:numPr>
      </w:pPr>
      <w:r>
        <w:t xml:space="preserve">Attention : sous forte charge, deux insertions simultanées dans le journal peuvent lire le même hash précédent. Acceptable pour le MVP, à sérialiser avant de monter en volume.</w:t>
      </w:r>
    </w:p>
    <w:p>
      <w:pPr>
        <w:pStyle w:val="ListParagraph"/>
        <w:numPr>
          <w:ilvl w:val="0"/>
          <w:numId w:val="8"/>
        </w:numPr>
      </w:pPr>
      <w:r>
        <w:t xml:space="preserve">Configurer aussi côté serveur des droits d'accès qui interdisent la suppression du journal.</w:t>
      </w:r>
    </w:p>
    <w:p>
      <w:pPr>
        <w:pStyle w:val="Heading2"/>
      </w:pPr>
      <w:r>
        <w:t xml:space="preserve">8. Fonctionnalités</w:t>
      </w:r>
    </w:p>
    <w:p>
      <w:pPr/>
      <w:r>
        <w:t xml:space="preserve">Légende : </w:t>
      </w:r>
      <w:r>
        <w:rPr>
          <w:b/>
        </w:rPr>
        <w:t xml:space="preserve">MVP</w:t>
      </w:r>
      <w:r>
        <w:t xml:space="preserve"> (à lancer en premier), </w:t>
      </w:r>
      <w:r>
        <w:rPr>
          <w:b/>
        </w:rPr>
        <w:t xml:space="preserve">V2</w:t>
      </w:r>
      <w:r>
        <w:t xml:space="preserve">, </w:t>
      </w:r>
      <w:r>
        <w:rPr>
          <w:b/>
        </w:rPr>
        <w:t xml:space="preserve">V3</w:t>
      </w:r>
      <w:r>
        <w:t xml:space="preserve">.</w:t>
      </w:r>
    </w:p>
    <w:p>
      <w:pPr>
        <w:pStyle w:val="Heading3"/>
      </w:pPr>
      <w:r>
        <w:t xml:space="preserve">8.1 Application mobile (membres)</w:t>
      </w:r>
    </w:p>
    <w:p>
      <w:pPr/>
      <w:r>
        <w:rPr>
          <w:b/>
        </w:rPr>
        <w:t xml:space="preserve">Compte et sécurité</w:t>
      </w:r>
    </w:p>
    <w:p>
      <w:pPr>
        <w:pStyle w:val="ListParagraph"/>
        <w:numPr>
          <w:ilvl w:val="0"/>
          <w:numId w:val="9"/>
        </w:numPr>
      </w:pPr>
      <w:r>
        <w:t xml:space="preserve">Inscription par numéro + OTP SMS, PIN, biométrie, choix de langue (MVP)</w:t>
      </w:r>
    </w:p>
    <w:p>
      <w:pPr>
        <w:pStyle w:val="ListParagraph"/>
        <w:numPr>
          <w:ilvl w:val="0"/>
          <w:numId w:val="9"/>
        </w:numPr>
      </w:pPr>
      <w:r>
        <w:t xml:space="preserve">Profil, changement de numéro sécurisé, vérification d'identité progressive (V2)</w:t>
      </w:r>
    </w:p>
    <w:p>
      <w:pPr>
        <w:pStyle w:val="ListParagraph"/>
        <w:numPr>
          <w:ilvl w:val="0"/>
          <w:numId w:val="9"/>
        </w:numPr>
      </w:pPr>
      <w:r>
        <w:t xml:space="preserve">Gestion des appareils connectés (V3)</w:t>
      </w:r>
    </w:p>
    <w:p>
      <w:pPr/>
      <w:r>
        <w:rPr>
          <w:b/>
        </w:rPr>
        <w:t xml:space="preserve">Groupes</w:t>
      </w:r>
    </w:p>
    <w:p>
      <w:pPr>
        <w:pStyle w:val="ListParagraph"/>
        <w:numPr>
          <w:ilvl w:val="0"/>
          <w:numId w:val="10"/>
        </w:numPr>
      </w:pPr>
      <w:r>
        <w:t xml:space="preserve">Créer un groupe, inviter par lien WhatsApp ou code, définir l'ordre des tours (tirage transparent ou choisi), règlement à accepter, mode direct ou trésorier, rôles, plusieurs groupes par utilisateur (MVP)</w:t>
      </w:r>
    </w:p>
    <w:p>
      <w:pPr>
        <w:pStyle w:val="ListParagraph"/>
        <w:numPr>
          <w:ilvl w:val="0"/>
          <w:numId w:val="10"/>
        </w:numPr>
      </w:pPr>
      <w:r>
        <w:t xml:space="preserve">Pénalités de retard, plusieurs parts par membre, échange de tour, entrée ou sortie en cours de cycle (V2)</w:t>
      </w:r>
    </w:p>
    <w:p>
      <w:pPr>
        <w:pStyle w:val="ListParagraph"/>
        <w:numPr>
          <w:ilvl w:val="0"/>
          <w:numId w:val="10"/>
        </w:numPr>
      </w:pPr>
      <w:r>
        <w:t xml:space="preserve">Types de groupes : épargne-projet, fonds de solidarité, association (V3)</w:t>
      </w:r>
    </w:p>
    <w:p>
      <w:pPr/>
      <w:r>
        <w:rPr>
          <w:b/>
        </w:rPr>
        <w:t xml:space="preserve">Cotisations</w:t>
      </w:r>
    </w:p>
    <w:p>
      <w:pPr>
        <w:pStyle w:val="ListParagraph"/>
        <w:numPr>
          <w:ilvl w:val="0"/>
          <w:numId w:val="11"/>
        </w:numPr>
      </w:pPr>
      <w:r>
        <w:t xml:space="preserve">Tableau du cycle, affichage du numéro et du montant à payer, déclaration avec ID, capture d'écran, confirmation ou contestation, double validation, cotisation en espèces confirmée par un tiers (MVP)</w:t>
      </w:r>
    </w:p>
    <w:p>
      <w:pPr>
        <w:pStyle w:val="ListParagraph"/>
        <w:numPr>
          <w:ilvl w:val="0"/>
          <w:numId w:val="11"/>
        </w:numPr>
      </w:pPr>
      <w:r>
        <w:t xml:space="preserve">Paiement partiel et rattrapage d'un retard (V2)</w:t>
      </w:r>
    </w:p>
    <w:p>
      <w:pPr>
        <w:pStyle w:val="ListParagraph"/>
        <w:numPr>
          <w:ilvl w:val="0"/>
          <w:numId w:val="11"/>
        </w:numPr>
      </w:pPr>
      <w:r>
        <w:t xml:space="preserve">Lecture automatique de l'ID dans le SMS de confirmation (V3)</w:t>
      </w:r>
    </w:p>
    <w:p>
      <w:pPr/>
      <w:r>
        <w:rPr>
          <w:b/>
        </w:rPr>
        <w:t xml:space="preserve">Preuves et transparence</w:t>
      </w:r>
    </w:p>
    <w:p>
      <w:pPr>
        <w:pStyle w:val="ListParagraph"/>
        <w:numPr>
          <w:ilvl w:val="0"/>
          <w:numId w:val="12"/>
        </w:numPr>
      </w:pPr>
      <w:r>
        <w:t xml:space="preserve">Reçu avec numéro unique et QR code, historique chronologique du groupe (MVP)</w:t>
      </w:r>
    </w:p>
    <w:p>
      <w:pPr>
        <w:pStyle w:val="ListParagraph"/>
        <w:numPr>
          <w:ilvl w:val="0"/>
          <w:numId w:val="12"/>
        </w:numPr>
      </w:pPr>
      <w:r>
        <w:t xml:space="preserve">Relevés PDF, vérification d'un reçu par scan du QR (V2)</w:t>
      </w:r>
    </w:p>
    <w:p>
      <w:pPr/>
      <w:r>
        <w:rPr>
          <w:b/>
        </w:rPr>
        <w:t xml:space="preserve">Suivi personnel, confiance et crédit</w:t>
      </w:r>
    </w:p>
    <w:p>
      <w:pPr>
        <w:pStyle w:val="ListParagraph"/>
        <w:numPr>
          <w:ilvl w:val="0"/>
          <w:numId w:val="13"/>
        </w:numPr>
      </w:pPr>
      <w:r>
        <w:t xml:space="preserve">Carnet personnel : cotisations, gains, prochains tours (MVP)</w:t>
      </w:r>
    </w:p>
    <w:p>
      <w:pPr>
        <w:pStyle w:val="ListParagraph"/>
        <w:numPr>
          <w:ilvl w:val="0"/>
          <w:numId w:val="13"/>
        </w:numPr>
      </w:pPr>
      <w:r>
        <w:t xml:space="preserve">Objectifs d'épargne, score de confiance, badge de fiabilité partageable (V2)</w:t>
      </w:r>
    </w:p>
    <w:p>
      <w:pPr>
        <w:pStyle w:val="ListParagraph"/>
        <w:numPr>
          <w:ilvl w:val="0"/>
          <w:numId w:val="13"/>
        </w:numPr>
      </w:pPr>
      <w:r>
        <w:t xml:space="preserve">Budget simple, microcrédit via partenaire agréé, assurance via partenaire (V3)</w:t>
      </w:r>
    </w:p>
    <w:p>
      <w:pPr/>
      <w:r>
        <w:rPr>
          <w:b/>
        </w:rPr>
        <w:t xml:space="preserve">Litiges et communication</w:t>
      </w:r>
    </w:p>
    <w:p>
      <w:pPr>
        <w:pStyle w:val="ListParagraph"/>
        <w:numPr>
          <w:ilvl w:val="0"/>
          <w:numId w:val="14"/>
        </w:numPr>
      </w:pPr>
      <w:r>
        <w:t xml:space="preserve">Signalement avec preuves, notifications push/SMS/WhatsApp, rappels automatiques (MVP)</w:t>
      </w:r>
    </w:p>
    <w:p>
      <w:pPr>
        <w:pStyle w:val="ListParagraph"/>
        <w:numPr>
          <w:ilvl w:val="0"/>
          <w:numId w:val="14"/>
        </w:numPr>
      </w:pPr>
      <w:r>
        <w:t xml:space="preserve">Fil de discussion du litige, médiation par l'équipe, annonces du président (V2)</w:t>
      </w:r>
    </w:p>
    <w:p>
      <w:pPr>
        <w:pStyle w:val="ListParagraph"/>
        <w:numPr>
          <w:ilvl w:val="0"/>
          <w:numId w:val="14"/>
        </w:numPr>
      </w:pPr>
      <w:r>
        <w:t xml:space="preserve">Chat de groupe (V3)</w:t>
      </w:r>
    </w:p>
    <w:p>
      <w:pPr/>
      <w:r>
        <w:rPr>
          <w:b/>
        </w:rPr>
        <w:t xml:space="preserve">Confort et accessibilité</w:t>
      </w:r>
    </w:p>
    <w:p>
      <w:pPr>
        <w:pStyle w:val="ListParagraph"/>
        <w:numPr>
          <w:ilvl w:val="0"/>
          <w:numId w:val="15"/>
        </w:numPr>
      </w:pPr>
      <w:r>
        <w:t xml:space="preserve">Mode hors ligne, interface légère, gros boutons, pictogrammes (MVP)</w:t>
      </w:r>
    </w:p>
    <w:p>
      <w:pPr>
        <w:pStyle w:val="ListParagraph"/>
        <w:numPr>
          <w:ilvl w:val="0"/>
          <w:numId w:val="15"/>
        </w:numPr>
      </w:pPr>
      <w:r>
        <w:t xml:space="preserve">Aide intégrée, tutoriels courts, support WhatsApp (V2)</w:t>
      </w:r>
    </w:p>
    <w:p>
      <w:pPr>
        <w:pStyle w:val="ListParagraph"/>
        <w:numPr>
          <w:ilvl w:val="0"/>
          <w:numId w:val="15"/>
        </w:numPr>
      </w:pPr>
      <w:r>
        <w:t xml:space="preserve">Lecture vocale des écrans (V3)</w:t>
      </w:r>
    </w:p>
    <w:p>
      <w:pPr>
        <w:pStyle w:val="Heading3"/>
      </w:pPr>
      <w:r>
        <w:t xml:space="preserve">8.2 Canaux pour téléphones basiques</w:t>
      </w:r>
    </w:p>
    <w:p>
      <w:pPr>
        <w:pStyle w:val="ListParagraph"/>
        <w:numPr>
          <w:ilvl w:val="0"/>
          <w:numId w:val="16"/>
        </w:numPr>
      </w:pPr>
      <w:r>
        <w:t xml:space="preserve">Bot WhatsApp : rappels et confirmations (MVP) ; déclarer un paiement, consulter son tour, recevoir un reçu (V2)</w:t>
      </w:r>
    </w:p>
    <w:p>
      <w:pPr>
        <w:pStyle w:val="ListParagraph"/>
        <w:numPr>
          <w:ilvl w:val="0"/>
          <w:numId w:val="16"/>
        </w:numPr>
      </w:pPr>
      <w:r>
        <w:t xml:space="preserve">USSD : consulter son tour, déclarer un paiement, voir son statut (V2)</w:t>
      </w:r>
    </w:p>
    <w:p>
      <w:pPr>
        <w:pStyle w:val="Heading3"/>
      </w:pPr>
      <w:r>
        <w:t xml:space="preserve">8.3 Back-office web (équipe)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09"/>
        <w:gridCol w:w="5482"/>
        <w:gridCol w:w="968"/>
      </w:tblGrid>
      <w:tr>
        <w:trPr>
          <w:tblHeader/>
        </w:trPr>
        <w:tc>
          <w:tcPr>
            <w:tcW w:w="2909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5482" w:type="dxa"/>
            <w:shd w:val="clear" w:color="auto" w:fill="F2F2F2"/>
          </w:tcPr>
          <w:p>
            <w:pPr/>
            <w:r>
              <w:t xml:space="preserve">Contenu</w:t>
            </w:r>
          </w:p>
        </w:tc>
        <w:tc>
          <w:tcPr>
            <w:tcW w:w="968" w:type="dxa"/>
            <w:shd w:val="clear" w:color="auto" w:fill="F2F2F2"/>
          </w:tcPr>
          <w:p>
            <w:pPr/>
            <w:r>
              <w:t xml:space="preserve">Phase</w:t>
            </w:r>
          </w:p>
        </w:tc>
      </w:tr>
      <w:tr>
        <w:tc>
          <w:tcPr>
            <w:tcW w:w="2909" w:type="dxa"/>
          </w:tcPr>
          <w:p>
            <w:pPr/>
            <w:r>
              <w:t xml:space="preserve">Tableau de bord</w:t>
            </w:r>
          </w:p>
        </w:tc>
        <w:tc>
          <w:tcPr>
            <w:tcW w:w="5482" w:type="dxa"/>
          </w:tcPr>
          <w:p>
            <w:pPr/>
            <w:r>
              <w:t xml:space="preserve">Utilisateurs, groupes actifs, cotisations du jour, taux de retard, revenus</w:t>
            </w:r>
          </w:p>
        </w:tc>
        <w:tc>
          <w:tcPr>
            <w:tcW w:w="968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909" w:type="dxa"/>
          </w:tcPr>
          <w:p>
            <w:pPr/>
            <w:r>
              <w:t xml:space="preserve">Groupes et utilisateurs</w:t>
            </w:r>
          </w:p>
        </w:tc>
        <w:tc>
          <w:tcPr>
            <w:tcW w:w="5482" w:type="dxa"/>
          </w:tcPr>
          <w:p>
            <w:pPr/>
            <w:r>
              <w:t xml:space="preserve">Recherche, fiche, historique, suspension, blocage</w:t>
            </w:r>
          </w:p>
        </w:tc>
        <w:tc>
          <w:tcPr>
            <w:tcW w:w="968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909" w:type="dxa"/>
          </w:tcPr>
          <w:p>
            <w:pPr/>
            <w:r>
              <w:t xml:space="preserve">Litiges</w:t>
            </w:r>
          </w:p>
        </w:tc>
        <w:tc>
          <w:tcPr>
            <w:tcW w:w="5482" w:type="dxa"/>
          </w:tcPr>
          <w:p>
            <w:pPr/>
            <w:r>
              <w:t xml:space="preserve">File de traitement, preuves, décisions</w:t>
            </w:r>
          </w:p>
        </w:tc>
        <w:tc>
          <w:tcPr>
            <w:tcW w:w="968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909" w:type="dxa"/>
          </w:tcPr>
          <w:p>
            <w:pPr/>
            <w:r>
              <w:t xml:space="preserve">Audit</w:t>
            </w:r>
          </w:p>
        </w:tc>
        <w:tc>
          <w:tcPr>
            <w:tcW w:w="5482" w:type="dxa"/>
          </w:tcPr>
          <w:p>
            <w:pPr/>
            <w:r>
              <w:t xml:space="preserve">Consultation du journal, vérification d'intégrité, journal des actions de l'équipe</w:t>
            </w:r>
          </w:p>
        </w:tc>
        <w:tc>
          <w:tcPr>
            <w:tcW w:w="968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909" w:type="dxa"/>
          </w:tcPr>
          <w:p>
            <w:pPr/>
            <w:r>
              <w:t xml:space="preserve">Administration</w:t>
            </w:r>
          </w:p>
        </w:tc>
        <w:tc>
          <w:tcPr>
            <w:tcW w:w="5482" w:type="dxa"/>
          </w:tcPr>
          <w:p>
            <w:pPr/>
            <w:r>
              <w:t xml:space="preserve">Comptes de l'équipe, rôles (super admin, support, conformité, finance, lecture seule), 2FA</w:t>
            </w:r>
          </w:p>
        </w:tc>
        <w:tc>
          <w:tcPr>
            <w:tcW w:w="968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909" w:type="dxa"/>
          </w:tcPr>
          <w:p>
            <w:pPr/>
            <w:r>
              <w:t xml:space="preserve">Support</w:t>
            </w:r>
          </w:p>
        </w:tc>
        <w:tc>
          <w:tcPr>
            <w:tcW w:w="5482" w:type="dxa"/>
          </w:tcPr>
          <w:p>
            <w:pPr/>
            <w:r>
              <w:t xml:space="preserve">Tickets, réponses types</w:t>
            </w:r>
          </w:p>
        </w:tc>
        <w:tc>
          <w:tcPr>
            <w:tcW w:w="968" w:type="dxa"/>
          </w:tcPr>
          <w:p>
            <w:pPr/>
            <w:r>
              <w:t xml:space="preserve">V2</w:t>
            </w:r>
          </w:p>
        </w:tc>
      </w:tr>
      <w:tr>
        <w:tc>
          <w:tcPr>
            <w:tcW w:w="2909" w:type="dxa"/>
          </w:tcPr>
          <w:p>
            <w:pPr/>
            <w:r>
              <w:t xml:space="preserve">Conformité</w:t>
            </w:r>
          </w:p>
        </w:tc>
        <w:tc>
          <w:tcPr>
            <w:tcW w:w="5482" w:type="dxa"/>
          </w:tcPr>
          <w:p>
            <w:pPr/>
            <w:r>
              <w:t xml:space="preserve">Exports pour partenaires et régulateur, consentement, suppression de données</w:t>
            </w:r>
          </w:p>
        </w:tc>
        <w:tc>
          <w:tcPr>
            <w:tcW w:w="968" w:type="dxa"/>
          </w:tcPr>
          <w:p>
            <w:pPr/>
            <w:r>
              <w:t xml:space="preserve">V2</w:t>
            </w:r>
          </w:p>
        </w:tc>
      </w:tr>
      <w:tr>
        <w:tc>
          <w:tcPr>
            <w:tcW w:w="2909" w:type="dxa"/>
          </w:tcPr>
          <w:p>
            <w:pPr/>
            <w:r>
              <w:t xml:space="preserve">Fraude</w:t>
            </w:r>
          </w:p>
        </w:tc>
        <w:tc>
          <w:tcPr>
            <w:tcW w:w="5482" w:type="dxa"/>
          </w:tcPr>
          <w:p>
            <w:pPr/>
            <w:r>
              <w:t xml:space="preserve">Règles d'alerte (ID réutilisé, rafales, comptes multiples), gel préventif</w:t>
            </w:r>
          </w:p>
        </w:tc>
        <w:tc>
          <w:tcPr>
            <w:tcW w:w="968" w:type="dxa"/>
          </w:tcPr>
          <w:p>
            <w:pPr/>
            <w:r>
              <w:t xml:space="preserve">V2</w:t>
            </w:r>
          </w:p>
        </w:tc>
      </w:tr>
      <w:tr>
        <w:tc>
          <w:tcPr>
            <w:tcW w:w="2909" w:type="dxa"/>
          </w:tcPr>
          <w:p>
            <w:pPr/>
            <w:r>
              <w:t xml:space="preserve">Facturation</w:t>
            </w:r>
          </w:p>
        </w:tc>
        <w:tc>
          <w:tcPr>
            <w:tcW w:w="5482" w:type="dxa"/>
          </w:tcPr>
          <w:p>
            <w:pPr/>
            <w:r>
              <w:t xml:space="preserve">Abonnements, paiements reçus, relances, factures</w:t>
            </w:r>
          </w:p>
        </w:tc>
        <w:tc>
          <w:tcPr>
            <w:tcW w:w="968" w:type="dxa"/>
          </w:tcPr>
          <w:p>
            <w:pPr/>
            <w:r>
              <w:t xml:space="preserve">V2</w:t>
            </w:r>
          </w:p>
        </w:tc>
      </w:tr>
      <w:tr>
        <w:tc>
          <w:tcPr>
            <w:tcW w:w="2909" w:type="dxa"/>
          </w:tcPr>
          <w:p>
            <w:pPr/>
            <w:r>
              <w:t xml:space="preserve">Communication</w:t>
            </w:r>
          </w:p>
        </w:tc>
        <w:tc>
          <w:tcPr>
            <w:tcW w:w="5482" w:type="dxa"/>
          </w:tcPr>
          <w:p>
            <w:pPr/>
            <w:r>
              <w:t xml:space="preserve">SMS et notifications ciblés, modèles multilingues</w:t>
            </w:r>
          </w:p>
        </w:tc>
        <w:tc>
          <w:tcPr>
            <w:tcW w:w="968" w:type="dxa"/>
          </w:tcPr>
          <w:p>
            <w:pPr/>
            <w:r>
              <w:t xml:space="preserve">V2</w:t>
            </w:r>
          </w:p>
        </w:tc>
      </w:tr>
      <w:tr>
        <w:tc>
          <w:tcPr>
            <w:tcW w:w="2909" w:type="dxa"/>
          </w:tcPr>
          <w:p>
            <w:pPr/>
            <w:r>
              <w:t xml:space="preserve">Partenaires</w:t>
            </w:r>
          </w:p>
        </w:tc>
        <w:tc>
          <w:tcPr>
            <w:tcW w:w="5482" w:type="dxa"/>
          </w:tcPr>
          <w:p>
            <w:pPr/>
            <w:r>
              <w:t xml:space="preserve">Espace IMF, coopératives, assureurs ; demandes de crédit avec score</w:t>
            </w:r>
          </w:p>
        </w:tc>
        <w:tc>
          <w:tcPr>
            <w:tcW w:w="968" w:type="dxa"/>
          </w:tcPr>
          <w:p>
            <w:pPr/>
            <w:r>
              <w:t xml:space="preserve">V3</w:t>
            </w:r>
          </w:p>
        </w:tc>
      </w:tr>
    </w:tbl>
    <w:p>
      <w:pPr>
        <w:pStyle w:val="Heading3"/>
      </w:pPr>
      <w:r>
        <w:t xml:space="preserve">8.4 Fonctions techniques transverses</w:t>
      </w:r>
    </w:p>
    <w:p>
      <w:pPr>
        <w:pStyle w:val="ListParagraph"/>
        <w:numPr>
          <w:ilvl w:val="0"/>
          <w:numId w:val="17"/>
        </w:numPr>
      </w:pPr>
      <w:r>
        <w:t xml:space="preserve">Journal d'audit infalsifiable, sauvegardes chiffrées quotidiennes, limitation de débit, protection contre la force brute sur OTP et PIN, synchronisation hors ligne sans doublons (MVP)</w:t>
      </w:r>
    </w:p>
    <w:p>
      <w:pPr>
        <w:pStyle w:val="ListParagraph"/>
        <w:numPr>
          <w:ilvl w:val="0"/>
          <w:numId w:val="17"/>
        </w:numPr>
      </w:pPr>
      <w:r>
        <w:t xml:space="preserve">Supervision, alertes techniques, logs centralisés (V2)</w:t>
      </w:r>
    </w:p>
    <w:p>
      <w:pPr>
        <w:pStyle w:val="ListParagraph"/>
        <w:numPr>
          <w:ilvl w:val="0"/>
          <w:numId w:val="17"/>
        </w:numPr>
      </w:pPr>
      <w:r>
        <w:t xml:space="preserve">API documentée pour partenaires, agrégateur de paiement si le modèle change (V3)</w:t>
      </w:r>
    </w:p>
    <w:p>
      <w:pPr>
        <w:pStyle w:val="Heading2"/>
      </w:pPr>
      <w:r>
        <w:t xml:space="preserve">9. Itération 1 : une cotisation, de bout en bout</w:t>
      </w:r>
    </w:p>
    <w:p>
      <w:pPr/>
      <w:r>
        <w:rPr>
          <w:b/>
        </w:rPr>
        <w:t xml:space="preserve">Objectif.</w:t>
      </w:r>
      <w:r>
        <w:t xml:space="preserve"> Prouver un seul parcours avec de vrais utilisateurs : créer un groupe, payer, déclarer, confirmer, obtenir la preuve. Durée estimée : 3 à 4 semaines pour un développeur seul.</w:t>
      </w:r>
    </w:p>
    <w:p>
      <w:pPr>
        <w:pStyle w:val="Heading3"/>
      </w:pPr>
      <w:r>
        <w:t xml:space="preserve">Contenu</w:t>
      </w:r>
    </w:p>
    <w:p>
      <w:pPr/>
      <w:r>
        <w:rPr>
          <w:b/>
        </w:rPr>
        <w:t xml:space="preserve">Backend</w:t>
      </w:r>
    </w:p>
    <w:p>
      <w:pPr>
        <w:pStyle w:val="ListParagraph"/>
        <w:numPr>
          <w:ilvl w:val="0"/>
          <w:numId w:val="18"/>
        </w:numPr>
      </w:pPr>
      <w:r>
        <w:t xml:space="preserve">Tables : </w:t>
      </w:r>
      <w:r>
        <w:rPr>
          <w:rStyle w:val="CodeChar"/>
        </w:rPr>
        <w:t xml:space="preserve">users</w:t>
      </w:r>
      <w:r>
        <w:t xml:space="preserve">, </w:t>
      </w:r>
      <w:r>
        <w:rPr>
          <w:rStyle w:val="CodeChar"/>
        </w:rPr>
        <w:t xml:space="preserve">groups</w:t>
      </w:r>
      <w:r>
        <w:t xml:space="preserve">, </w:t>
      </w:r>
      <w:r>
        <w:rPr>
          <w:rStyle w:val="CodeChar"/>
        </w:rPr>
        <w:t xml:space="preserve">memberships</w:t>
      </w:r>
      <w:r>
        <w:t xml:space="preserve">, </w:t>
      </w:r>
      <w:r>
        <w:rPr>
          <w:rStyle w:val="CodeChar"/>
        </w:rPr>
        <w:t xml:space="preserve">cycles</w:t>
      </w:r>
      <w:r>
        <w:t xml:space="preserve">, </w:t>
      </w:r>
      <w:r>
        <w:rPr>
          <w:rStyle w:val="CodeChar"/>
        </w:rPr>
        <w:t xml:space="preserve">contributions</w:t>
      </w:r>
      <w:r>
        <w:t xml:space="preserve">, </w:t>
      </w:r>
      <w:r>
        <w:rPr>
          <w:rStyle w:val="CodeChar"/>
        </w:rPr>
        <w:t xml:space="preserve">confirmations</w:t>
      </w:r>
      <w:r>
        <w:t xml:space="preserve">, </w:t>
      </w:r>
      <w:r>
        <w:rPr>
          <w:rStyle w:val="CodeChar"/>
        </w:rPr>
        <w:t xml:space="preserve">audit_log</w:t>
      </w:r>
    </w:p>
    <w:p>
      <w:pPr>
        <w:pStyle w:val="ListParagraph"/>
        <w:numPr>
          <w:ilvl w:val="0"/>
          <w:numId w:val="18"/>
        </w:numPr>
      </w:pPr>
      <w:r>
        <w:t xml:space="preserve">Authentification OTP + PIN</w:t>
      </w:r>
    </w:p>
    <w:p>
      <w:pPr>
        <w:pStyle w:val="ListParagraph"/>
        <w:numPr>
          <w:ilvl w:val="0"/>
          <w:numId w:val="18"/>
        </w:numPr>
      </w:pPr>
      <w:r>
        <w:t xml:space="preserve">Endpoints : créer un groupe, rejoindre par code, générer les cycles, déclarer une cotisation, confirmer ou contester, lister l'historique</w:t>
      </w:r>
    </w:p>
    <w:p>
      <w:pPr>
        <w:pStyle w:val="ListParagraph"/>
        <w:numPr>
          <w:ilvl w:val="0"/>
          <w:numId w:val="18"/>
        </w:numPr>
      </w:pPr>
      <w:r>
        <w:t xml:space="preserve">Journal d'audit alimenté à chaque action</w:t>
      </w:r>
    </w:p>
    <w:p>
      <w:pPr/>
      <w:r>
        <w:rPr>
          <w:b/>
        </w:rPr>
        <w:t xml:space="preserve">Application mobile (Android)</w:t>
      </w:r>
    </w:p>
    <w:p>
      <w:pPr>
        <w:pStyle w:val="ListParagraph"/>
        <w:numPr>
          <w:ilvl w:val="0"/>
          <w:numId w:val="19"/>
        </w:numPr>
      </w:pPr>
      <w:r>
        <w:t xml:space="preserve">Inscription et connexion</w:t>
      </w:r>
    </w:p>
    <w:p>
      <w:pPr>
        <w:pStyle w:val="ListParagraph"/>
        <w:numPr>
          <w:ilvl w:val="0"/>
          <w:numId w:val="19"/>
        </w:numPr>
      </w:pPr>
      <w:r>
        <w:t xml:space="preserve">Création de groupe avec mode de versement direct</w:t>
      </w:r>
    </w:p>
    <w:p>
      <w:pPr>
        <w:pStyle w:val="ListParagraph"/>
        <w:numPr>
          <w:ilvl w:val="0"/>
          <w:numId w:val="19"/>
        </w:numPr>
      </w:pPr>
      <w:r>
        <w:t xml:space="preserve">Invitation par lien ou code WhatsApp</w:t>
      </w:r>
    </w:p>
    <w:p>
      <w:pPr>
        <w:pStyle w:val="ListParagraph"/>
        <w:numPr>
          <w:ilvl w:val="0"/>
          <w:numId w:val="19"/>
        </w:numPr>
      </w:pPr>
      <w:r>
        <w:t xml:space="preserve">Tableau du cycle</w:t>
      </w:r>
    </w:p>
    <w:p>
      <w:pPr>
        <w:pStyle w:val="ListParagraph"/>
        <w:numPr>
          <w:ilvl w:val="0"/>
          <w:numId w:val="19"/>
        </w:numPr>
      </w:pPr>
      <w:r>
        <w:t xml:space="preserve">Déclaration de paiement (ID, capture en option)</w:t>
      </w:r>
    </w:p>
    <w:p>
      <w:pPr>
        <w:pStyle w:val="ListParagraph"/>
        <w:numPr>
          <w:ilvl w:val="0"/>
          <w:numId w:val="19"/>
        </w:numPr>
      </w:pPr>
      <w:r>
        <w:t xml:space="preserve">Confirmation ou contestation côté bénéficiaire</w:t>
      </w:r>
    </w:p>
    <w:p>
      <w:pPr>
        <w:pStyle w:val="ListParagraph"/>
        <w:numPr>
          <w:ilvl w:val="0"/>
          <w:numId w:val="19"/>
        </w:numPr>
      </w:pPr>
      <w:r>
        <w:t xml:space="preserve">Reçu partageable sur WhatsApp, historique du groupe</w:t>
      </w:r>
    </w:p>
    <w:p>
      <w:pPr/>
      <w:r>
        <w:rPr>
          <w:b/>
        </w:rPr>
        <w:t xml:space="preserve">Rappels</w:t>
      </w:r>
      <w:r>
        <w:t xml:space="preserve"> : un seul canal (SMS ou WhatsApp), un rappel avant échéance.</w:t>
      </w:r>
    </w:p>
    <w:p>
      <w:pPr/>
      <w:r>
        <w:rPr>
          <w:b/>
        </w:rPr>
        <w:t xml:space="preserve">Back-office</w:t>
      </w:r>
      <w:r>
        <w:t xml:space="preserve"> : aucun web au début, un outil d'administration de base de données en lecture suffit pour suivre le pilote.</w:t>
      </w:r>
    </w:p>
    <w:p>
      <w:pPr>
        <w:pStyle w:val="Heading3"/>
      </w:pPr>
      <w:r>
        <w:t xml:space="preserve">Laissé de côté volontairement</w:t>
      </w:r>
    </w:p>
    <w:p>
      <w:pPr/>
      <w:r>
        <w:t xml:space="preserve">USSD, bot WhatsApp complet, score de confiance, litiges avancés, pénalités, rapports PDF, facturation, mode hors ligne complet, langues locales (commencer par le français), vérification d'identité, rôles avancés.</w:t>
      </w:r>
    </w:p>
    <w:p>
      <w:pPr>
        <w:pStyle w:val="Heading3"/>
      </w:pPr>
      <w:r>
        <w:t xml:space="preserve">Planning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77"/>
        <w:gridCol w:w="7582"/>
      </w:tblGrid>
      <w:tr>
        <w:trPr>
          <w:tblHeader/>
        </w:trPr>
        <w:tc>
          <w:tcPr>
            <w:tcW w:w="1777" w:type="dxa"/>
            <w:shd w:val="clear" w:color="auto" w:fill="F2F2F2"/>
          </w:tcPr>
          <w:p>
            <w:pPr/>
            <w:r>
              <w:t xml:space="preserve">Semaine</w:t>
            </w:r>
          </w:p>
        </w:tc>
        <w:tc>
          <w:tcPr>
            <w:tcW w:w="7582" w:type="dxa"/>
            <w:shd w:val="clear" w:color="auto" w:fill="F2F2F2"/>
          </w:tcPr>
          <w:p>
            <w:pPr/>
            <w:r>
              <w:t xml:space="preserve">Travail</w:t>
            </w:r>
          </w:p>
        </w:tc>
      </w:tr>
      <w:tr>
        <w:tc>
          <w:tcPr>
            <w:tcW w:w="1777" w:type="dxa"/>
          </w:tcPr>
          <w:p>
            <w:pPr/>
            <w:r>
              <w:t xml:space="preserve">1</w:t>
            </w:r>
          </w:p>
        </w:tc>
        <w:tc>
          <w:tcPr>
            <w:tcW w:w="7582" w:type="dxa"/>
          </w:tcPr>
          <w:p>
            <w:pPr/>
            <w:r>
              <w:t xml:space="preserve">Base de données, auth OTP/PIN, création de groupe, invitation</w:t>
            </w:r>
          </w:p>
        </w:tc>
      </w:tr>
      <w:tr>
        <w:tc>
          <w:tcPr>
            <w:tcW w:w="1777" w:type="dxa"/>
          </w:tcPr>
          <w:p>
            <w:pPr/>
            <w:r>
              <w:t xml:space="preserve">2</w:t>
            </w:r>
          </w:p>
        </w:tc>
        <w:tc>
          <w:tcPr>
            <w:tcW w:w="7582" w:type="dxa"/>
          </w:tcPr>
          <w:p>
            <w:pPr/>
            <w:r>
              <w:t xml:space="preserve">Génération des cycles, déclaration et confirmation, journal d'audit</w:t>
            </w:r>
          </w:p>
        </w:tc>
      </w:tr>
      <w:tr>
        <w:tc>
          <w:tcPr>
            <w:tcW w:w="1777" w:type="dxa"/>
          </w:tcPr>
          <w:p>
            <w:pPr/>
            <w:r>
              <w:t xml:space="preserve">3</w:t>
            </w:r>
          </w:p>
        </w:tc>
        <w:tc>
          <w:tcPr>
            <w:tcW w:w="7582" w:type="dxa"/>
          </w:tcPr>
          <w:p>
            <w:pPr/>
            <w:r>
              <w:t xml:space="preserve">Écrans mobiles du parcours complet, reçus, historique</w:t>
            </w:r>
          </w:p>
        </w:tc>
      </w:tr>
      <w:tr>
        <w:tc>
          <w:tcPr>
            <w:tcW w:w="1777" w:type="dxa"/>
          </w:tcPr>
          <w:p>
            <w:pPr/>
            <w:r>
              <w:t xml:space="preserve">4</w:t>
            </w:r>
          </w:p>
        </w:tc>
        <w:tc>
          <w:tcPr>
            <w:tcW w:w="7582" w:type="dxa"/>
          </w:tcPr>
          <w:p>
            <w:pPr/>
            <w:r>
              <w:t xml:space="preserve">Rappels, tests avec de vrais utilisateurs, corrections</w:t>
            </w:r>
          </w:p>
        </w:tc>
      </w:tr>
    </w:tbl>
    <w:p>
      <w:pPr>
        <w:pStyle w:val="Heading3"/>
      </w:pPr>
      <w:r>
        <w:t xml:space="preserve">Critères de réussite</w:t>
      </w:r>
    </w:p>
    <w:p>
      <w:pPr>
        <w:pStyle w:val="ListParagraph"/>
        <w:numPr>
          <w:ilvl w:val="0"/>
          <w:numId w:val="20"/>
        </w:numPr>
      </w:pPr>
      <w:r>
        <w:t xml:space="preserve">Un groupe de 5 à 10 personnes termine un cycle complet sans aide.</w:t>
      </w:r>
    </w:p>
    <w:p>
      <w:pPr>
        <w:pStyle w:val="ListParagraph"/>
        <w:numPr>
          <w:ilvl w:val="0"/>
          <w:numId w:val="20"/>
        </w:numPr>
      </w:pPr>
      <w:r>
        <w:t xml:space="preserve">Chaque cotisation a un statut clair et une trace dans le journal.</w:t>
      </w:r>
    </w:p>
    <w:p>
      <w:pPr>
        <w:pStyle w:val="ListParagraph"/>
        <w:numPr>
          <w:ilvl w:val="0"/>
          <w:numId w:val="20"/>
        </w:numPr>
      </w:pPr>
      <w:r>
        <w:t xml:space="preserve">Un ID de transaction ne peut pas être utilisé deux fois.</w:t>
      </w:r>
    </w:p>
    <w:p>
      <w:pPr>
        <w:pStyle w:val="ListParagraph"/>
        <w:numPr>
          <w:ilvl w:val="0"/>
          <w:numId w:val="20"/>
        </w:numPr>
      </w:pPr>
      <w:r>
        <w:t xml:space="preserve">L'écran de déclaration est compris sans explication.</w:t>
      </w:r>
    </w:p>
    <w:p>
      <w:pPr>
        <w:pStyle w:val="Heading3"/>
      </w:pPr>
      <w:r>
        <w:t xml:space="preserve">Avant d'écrire du code</w:t>
      </w:r>
    </w:p>
    <w:p>
      <w:pPr/>
      <w:r>
        <w:t xml:space="preserve">Interroger 3 à 5 groupes réels (collègues, église, association, marché) : comment font-ils aujourd'hui, qu'est-ce qui leur fait perdre confiance, que paieraient-ils. Ces groupes deviennent le pilote.</w:t>
      </w:r>
    </w:p>
    <w:p>
      <w:pPr>
        <w:pStyle w:val="Heading2"/>
      </w:pPr>
      <w:r>
        <w:t xml:space="preserve">10. Modèle économique</w:t>
      </w:r>
    </w:p>
    <w:p>
      <w:pPr>
        <w:pStyle w:val="ListParagraph"/>
        <w:numPr>
          <w:ilvl w:val="0"/>
          <w:numId w:val="21"/>
        </w:numPr>
      </w:pPr>
      <w:r>
        <w:t xml:space="preserve">Abonnement par groupe (petit montant par cycle ou par mois).</w:t>
      </w:r>
    </w:p>
    <w:p>
      <w:pPr>
        <w:pStyle w:val="ListParagraph"/>
        <w:numPr>
          <w:ilvl w:val="0"/>
          <w:numId w:val="21"/>
        </w:numPr>
      </w:pPr>
      <w:r>
        <w:t xml:space="preserve">Version premium : relevés officiels, export comptable, membres illimités, support dédié.</w:t>
      </w:r>
    </w:p>
    <w:p>
      <w:pPr>
        <w:pStyle w:val="ListParagraph"/>
        <w:numPr>
          <w:ilvl w:val="0"/>
          <w:numId w:val="21"/>
        </w:numPr>
      </w:pPr>
      <w:r>
        <w:t xml:space="preserve">Offres B2B : associations, églises, syndicats, coopératives.</w:t>
      </w:r>
    </w:p>
    <w:p>
      <w:pPr>
        <w:pStyle w:val="ListParagraph"/>
        <w:numPr>
          <w:ilvl w:val="0"/>
          <w:numId w:val="21"/>
        </w:numPr>
      </w:pPr>
      <w:r>
        <w:t xml:space="preserve">Plus tard, commissions sur le crédit ou l'assurance proposés grâce au score, via des partenaires agréés.</w:t>
      </w:r>
    </w:p>
    <w:p>
      <w:pPr/>
      <w:r>
        <w:t xml:space="preserve">Les formels financent le service ; les informels sont servis à très bas coût, voire gratuitement au départ, en échange du volume et des données de score.</w:t>
      </w:r>
    </w:p>
    <w:p>
      <w:pPr>
        <w:pStyle w:val="Heading2"/>
      </w:pPr>
      <w:r>
        <w:t xml:space="preserve">11. Risques et points de vigilance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Risque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Mesure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Défaut de confiance des utilisateurs</w:t>
            </w:r>
          </w:p>
        </w:tc>
        <w:tc>
          <w:tcPr>
            <w:tcW w:w="4920" w:type="dxa"/>
          </w:tcPr>
          <w:p>
            <w:pPr/>
            <w:r>
              <w:t xml:space="preserve">Preuves visibles, double confirmation, partenaires parrains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Fausses déclarations de paiement</w:t>
            </w:r>
          </w:p>
        </w:tc>
        <w:tc>
          <w:tcPr>
            <w:tcW w:w="4920" w:type="dxa"/>
          </w:tcPr>
          <w:p>
            <w:pPr/>
            <w:r>
              <w:t xml:space="preserve">Confirmation par le bénéficiaire, ID unique, alertes de fraude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Qualification réglementaire si l'app manipule des fonds</w:t>
            </w:r>
          </w:p>
        </w:tc>
        <w:tc>
          <w:tcPr>
            <w:tcW w:w="4920" w:type="dxa"/>
          </w:tcPr>
          <w:p>
            <w:pPr/>
            <w:r>
              <w:t xml:space="preserve">Rester registre uniquement ; avis juridique et BCC avant toute évolution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Réseau faible, téléphones basiques</w:t>
            </w:r>
          </w:p>
        </w:tc>
        <w:tc>
          <w:tcPr>
            <w:tcW w:w="4920" w:type="dxa"/>
          </w:tcPr>
          <w:p>
            <w:pPr/>
            <w:r>
              <w:t xml:space="preserve">Mode hors ligne, USSD, WhatsApp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Adoption dans l'informel</w:t>
            </w:r>
          </w:p>
        </w:tc>
        <w:tc>
          <w:tcPr>
            <w:tcW w:w="4920" w:type="dxa"/>
          </w:tcPr>
          <w:p>
            <w:pPr/>
            <w:r>
              <w:t xml:space="preserve">Relais de confiance (présidents de marché, pasteurs, leaders d'association)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Charge technique du journal infalsifiable</w:t>
            </w:r>
          </w:p>
        </w:tc>
        <w:tc>
          <w:tcPr>
            <w:tcW w:w="4920" w:type="dxa"/>
          </w:tcPr>
          <w:p>
            <w:pPr/>
            <w:r>
              <w:t xml:space="preserve">Sérialiser les insertions avant la montée en volume</w:t>
            </w:r>
          </w:p>
        </w:tc>
      </w:tr>
    </w:tbl>
    <w:p>
      <w:pPr>
        <w:pStyle w:val="Heading2"/>
      </w:pPr>
      <w:r>
        <w:t xml:space="preserve">12. Prochaines étapes</w:t>
      </w:r>
    </w:p>
    <w:p>
      <w:pPr>
        <w:pStyle w:val="ListParagraph"/>
        <w:numPr>
          <w:ilvl w:val="0"/>
          <w:numId w:val="22"/>
        </w:numPr>
      </w:pPr>
      <w:r>
        <w:t xml:space="preserve">Interroger 3 à 5 groupes réels et recruter le pilote.</w:t>
      </w:r>
    </w:p>
    <w:p>
      <w:pPr>
        <w:pStyle w:val="ListParagraph"/>
        <w:numPr>
          <w:ilvl w:val="0"/>
          <w:numId w:val="22"/>
        </w:numPr>
      </w:pPr>
      <w:r>
        <w:t xml:space="preserve">Enregistrer l'entreprise, rédiger CGU et politique de confidentialité, consulter un juriste.</w:t>
      </w:r>
    </w:p>
    <w:p>
      <w:pPr>
        <w:pStyle w:val="ListParagraph"/>
        <w:numPr>
          <w:ilvl w:val="0"/>
          <w:numId w:val="22"/>
        </w:numPr>
      </w:pPr>
      <w:r>
        <w:t xml:space="preserve">Initialiser le backend avec le script SQL et l'authentification OTP/PIN.</w:t>
      </w:r>
    </w:p>
    <w:p>
      <w:pPr>
        <w:pStyle w:val="ListParagraph"/>
        <w:numPr>
          <w:ilvl w:val="0"/>
          <w:numId w:val="22"/>
        </w:numPr>
      </w:pPr>
      <w:r>
        <w:t xml:space="preserve">Développer l'itération 1 (3 à 4 semaines).</w:t>
      </w:r>
    </w:p>
    <w:p>
      <w:pPr>
        <w:pStyle w:val="ListParagraph"/>
        <w:numPr>
          <w:ilvl w:val="0"/>
          <w:numId w:val="22"/>
        </w:numPr>
      </w:pPr>
      <w:r>
        <w:t xml:space="preserve">Lancer le pilote avec 10 à 20 groupes à Lubumbashi, puis décider des itérations suivantes (back-office, score, USSD, facturation).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Tontine digitale RDC  document de cadrage</dc:title>
  <dc:description>Claude Docs node/8a1fd35e-7558@1 docx-w7</dc:description>
  <cp:revision>1</cp:revision>
</cp:coreProperties>
</file>