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098AD" w14:textId="10CD7FB7" w:rsidR="00346344" w:rsidRDefault="00346344">
      <w:r>
        <w:t xml:space="preserve">Requested Feedback: </w:t>
      </w:r>
    </w:p>
    <w:p w14:paraId="34B3916C" w14:textId="56BA3B0D" w:rsidR="00FC2014" w:rsidRDefault="00FC2014" w:rsidP="00346344">
      <w:pPr>
        <w:pStyle w:val="ListParagraph"/>
        <w:numPr>
          <w:ilvl w:val="0"/>
          <w:numId w:val="10"/>
        </w:numPr>
      </w:pPr>
      <w:r>
        <w:t xml:space="preserve">Thoughts on the methods. </w:t>
      </w:r>
      <w:r w:rsidR="00543FA3">
        <w:t xml:space="preserve">Currently overview with supplemental methods for each project. </w:t>
      </w:r>
    </w:p>
    <w:p w14:paraId="407D07DA" w14:textId="57DF7571" w:rsidR="00543FA3" w:rsidRDefault="00543FA3" w:rsidP="00346344">
      <w:pPr>
        <w:pStyle w:val="ListParagraph"/>
        <w:numPr>
          <w:ilvl w:val="0"/>
          <w:numId w:val="10"/>
        </w:numPr>
      </w:pPr>
      <w:r>
        <w:t>Thoughts on how to add to/make a figure of “when do nutrients matter” analysis?</w:t>
      </w:r>
    </w:p>
    <w:p w14:paraId="27335715" w14:textId="12299F09" w:rsidR="00543FA3" w:rsidRDefault="00543FA3" w:rsidP="00543FA3">
      <w:pPr>
        <w:pStyle w:val="ListParagraph"/>
        <w:numPr>
          <w:ilvl w:val="1"/>
          <w:numId w:val="10"/>
        </w:numPr>
      </w:pPr>
      <w:r>
        <w:t>Currently just a list of t value comparisons between volume and concentration for a model at each project.</w:t>
      </w:r>
    </w:p>
    <w:p w14:paraId="27191626" w14:textId="7273223E" w:rsidR="00543FA3" w:rsidRDefault="00543FA3" w:rsidP="00543FA3">
      <w:pPr>
        <w:pStyle w:val="ListParagraph"/>
        <w:numPr>
          <w:ilvl w:val="1"/>
          <w:numId w:val="10"/>
        </w:numPr>
      </w:pPr>
      <w:r>
        <w:t>Want something better. Don’t know where to go from here.</w:t>
      </w:r>
    </w:p>
    <w:p w14:paraId="793C4214" w14:textId="409B8F80" w:rsidR="00543FA3" w:rsidRDefault="00543FA3" w:rsidP="00543FA3">
      <w:pPr>
        <w:pStyle w:val="ListParagraph"/>
        <w:numPr>
          <w:ilvl w:val="0"/>
          <w:numId w:val="10"/>
        </w:numPr>
      </w:pPr>
      <w:r>
        <w:t>Thoughts on making a larger annual model?</w:t>
      </w:r>
    </w:p>
    <w:p w14:paraId="5D32045E" w14:textId="6F2DD2C6" w:rsidR="00D72A5F" w:rsidRDefault="00C433BF" w:rsidP="00D72A5F">
      <w:pPr>
        <w:pStyle w:val="ListParagraph"/>
        <w:numPr>
          <w:ilvl w:val="1"/>
          <w:numId w:val="10"/>
        </w:numPr>
      </w:pPr>
      <w:r>
        <w:t xml:space="preserve">Is a big model worth it? </w:t>
      </w:r>
      <w:proofErr w:type="gramStart"/>
      <w:r w:rsidR="00D72A5F">
        <w:t>Should</w:t>
      </w:r>
      <w:proofErr w:type="gramEnd"/>
      <w:r w:rsidR="00D72A5F">
        <w:t xml:space="preserve"> we just do separate analyses? Should those analyses go in this paper? </w:t>
      </w:r>
    </w:p>
    <w:p w14:paraId="47FBA147" w14:textId="77777777" w:rsidR="00673229" w:rsidRDefault="00673229" w:rsidP="00C433BF">
      <w:pPr>
        <w:pStyle w:val="ListParagraph"/>
        <w:numPr>
          <w:ilvl w:val="2"/>
          <w:numId w:val="10"/>
        </w:numPr>
      </w:pPr>
      <w:r>
        <w:t xml:space="preserve">Is this worth including? The data included is limited and different </w:t>
      </w:r>
      <w:proofErr w:type="gramStart"/>
      <w:r>
        <w:t>time</w:t>
      </w:r>
      <w:proofErr w:type="gramEnd"/>
      <w:r>
        <w:t xml:space="preserve"> and spatial scales make it kind of weird to put together.</w:t>
      </w:r>
    </w:p>
    <w:p w14:paraId="1B66F564" w14:textId="77777777" w:rsidR="00673229" w:rsidRDefault="00673229" w:rsidP="00C433BF">
      <w:pPr>
        <w:pStyle w:val="ListParagraph"/>
        <w:numPr>
          <w:ilvl w:val="3"/>
          <w:numId w:val="10"/>
        </w:numPr>
      </w:pPr>
      <w:r>
        <w:t>Ex. SPSC mean values across whole wetland may not be super meaningful?</w:t>
      </w:r>
    </w:p>
    <w:p w14:paraId="3E94070A" w14:textId="01CB2093" w:rsidR="00673229" w:rsidRDefault="00673229" w:rsidP="00C433BF">
      <w:pPr>
        <w:pStyle w:val="ListParagraph"/>
        <w:numPr>
          <w:ilvl w:val="3"/>
          <w:numId w:val="10"/>
        </w:numPr>
      </w:pPr>
      <w:r>
        <w:t xml:space="preserve">Ex. veg data only at a subset of 6 projects? </w:t>
      </w:r>
    </w:p>
    <w:p w14:paraId="16B7B81B" w14:textId="49C5A209" w:rsidR="00C433BF" w:rsidRPr="00C433BF" w:rsidRDefault="00C433BF" w:rsidP="00C433BF">
      <w:pPr>
        <w:pStyle w:val="ListParagraph"/>
        <w:numPr>
          <w:ilvl w:val="2"/>
          <w:numId w:val="10"/>
        </w:numPr>
        <w:rPr>
          <w:b/>
          <w:bCs/>
          <w:i/>
          <w:iCs/>
          <w:u w:val="single"/>
        </w:rPr>
      </w:pPr>
      <w:r w:rsidRPr="009F1E75">
        <w:rPr>
          <w:b/>
          <w:bCs/>
          <w:i/>
          <w:iCs/>
          <w:u w:val="single"/>
        </w:rPr>
        <w:t>Veg and SPSC analyses against nutrient retention may fit better in respective veg and soil papers</w:t>
      </w:r>
    </w:p>
    <w:p w14:paraId="4CAF108F" w14:textId="1BA819B3" w:rsidR="00C433BF" w:rsidRPr="00673229" w:rsidRDefault="00C433BF" w:rsidP="00C433BF">
      <w:pPr>
        <w:pStyle w:val="ListParagraph"/>
        <w:numPr>
          <w:ilvl w:val="1"/>
          <w:numId w:val="10"/>
        </w:numPr>
      </w:pPr>
      <w:r>
        <w:t xml:space="preserve">If we do include: </w:t>
      </w:r>
      <w:r>
        <w:t xml:space="preserve">Additional </w:t>
      </w:r>
      <w:proofErr w:type="gramStart"/>
      <w:r>
        <w:t>data</w:t>
      </w:r>
      <w:proofErr w:type="gramEnd"/>
      <w:r>
        <w:t xml:space="preserve"> we could include? </w:t>
      </w:r>
    </w:p>
    <w:p w14:paraId="18B688F1" w14:textId="6266D1D4" w:rsidR="00346344" w:rsidRDefault="00FC2014" w:rsidP="00346344">
      <w:pPr>
        <w:pStyle w:val="ListParagraph"/>
        <w:numPr>
          <w:ilvl w:val="0"/>
          <w:numId w:val="10"/>
        </w:numPr>
      </w:pPr>
      <w:r>
        <w:t xml:space="preserve">Is there anything missing? </w:t>
      </w:r>
    </w:p>
    <w:p w14:paraId="52CCC142" w14:textId="0AFD6CFD" w:rsidR="00FC2014" w:rsidRDefault="00FC2014" w:rsidP="00346344">
      <w:pPr>
        <w:pStyle w:val="ListParagraph"/>
        <w:numPr>
          <w:ilvl w:val="0"/>
          <w:numId w:val="10"/>
        </w:numPr>
      </w:pPr>
      <w:r>
        <w:t>Is there anything that could</w:t>
      </w:r>
      <w:r w:rsidR="003557B1">
        <w:t>/should</w:t>
      </w:r>
      <w:r>
        <w:t xml:space="preserve"> be added?</w:t>
      </w:r>
    </w:p>
    <w:p w14:paraId="07EA6BB3" w14:textId="3463451F" w:rsidR="00DA69C4" w:rsidRDefault="00DA69C4" w:rsidP="00DA69C4">
      <w:pPr>
        <w:pStyle w:val="ListParagraph"/>
        <w:numPr>
          <w:ilvl w:val="1"/>
          <w:numId w:val="10"/>
        </w:numPr>
      </w:pPr>
      <w:r>
        <w:t xml:space="preserve">Project qualifiers?? </w:t>
      </w:r>
      <w:r w:rsidR="003E2B13">
        <w:t xml:space="preserve">Pump/behaving differently? Inundation scheme? </w:t>
      </w:r>
    </w:p>
    <w:p w14:paraId="6C7C1168" w14:textId="603F2EFD" w:rsidR="003E2B13" w:rsidRDefault="00393704" w:rsidP="003E2B13">
      <w:pPr>
        <w:pStyle w:val="ListParagraph"/>
        <w:numPr>
          <w:ilvl w:val="2"/>
          <w:numId w:val="10"/>
        </w:numPr>
      </w:pPr>
      <w:r>
        <w:t>Hydrology categories</w:t>
      </w:r>
    </w:p>
    <w:p w14:paraId="56E37B60" w14:textId="0092EA78" w:rsidR="00393704" w:rsidRDefault="00393704" w:rsidP="00BC7E07">
      <w:pPr>
        <w:pStyle w:val="ListParagraph"/>
        <w:numPr>
          <w:ilvl w:val="2"/>
          <w:numId w:val="10"/>
        </w:numPr>
      </w:pPr>
      <w:r>
        <w:t>THINK ABOUT THIS??</w:t>
      </w:r>
    </w:p>
    <w:p w14:paraId="2BC983B2" w14:textId="77777777" w:rsidR="00346344" w:rsidRDefault="00346344"/>
    <w:p w14:paraId="7B197A86" w14:textId="02A4149D" w:rsidR="00CD1DCA" w:rsidRDefault="00CD1DCA">
      <w:r>
        <w:t xml:space="preserve">Target Journal: </w:t>
      </w:r>
    </w:p>
    <w:p w14:paraId="777D9048" w14:textId="77FCF5D2" w:rsidR="00CD1DCA" w:rsidRPr="008C6046" w:rsidRDefault="00CD1DCA" w:rsidP="00CD1DCA">
      <w:pPr>
        <w:pStyle w:val="ListParagraph"/>
        <w:numPr>
          <w:ilvl w:val="0"/>
          <w:numId w:val="13"/>
        </w:numPr>
        <w:rPr>
          <w:sz w:val="28"/>
          <w:szCs w:val="28"/>
        </w:rPr>
      </w:pPr>
      <w:r w:rsidRPr="008C6046">
        <w:rPr>
          <w:sz w:val="28"/>
          <w:szCs w:val="28"/>
        </w:rPr>
        <w:t>Ecological Applications</w:t>
      </w:r>
      <w:r w:rsidR="002B3E7A">
        <w:rPr>
          <w:sz w:val="28"/>
          <w:szCs w:val="28"/>
        </w:rPr>
        <w:t xml:space="preserve"> (TARGET JOURNAL)</w:t>
      </w:r>
    </w:p>
    <w:p w14:paraId="394D4F0B" w14:textId="23521748" w:rsidR="00D5658C" w:rsidRDefault="00CE2366" w:rsidP="00CD1DCA">
      <w:pPr>
        <w:pStyle w:val="ListParagraph"/>
        <w:numPr>
          <w:ilvl w:val="0"/>
          <w:numId w:val="13"/>
        </w:numPr>
      </w:pPr>
      <w:r>
        <w:t>Ecology</w:t>
      </w:r>
    </w:p>
    <w:p w14:paraId="06588E59" w14:textId="4A2CA132" w:rsidR="00C80F6E" w:rsidRDefault="00C80F6E" w:rsidP="00CD1DCA">
      <w:pPr>
        <w:pStyle w:val="ListParagraph"/>
        <w:numPr>
          <w:ilvl w:val="0"/>
          <w:numId w:val="13"/>
        </w:numPr>
      </w:pPr>
      <w:r w:rsidRPr="00C80F6E">
        <w:t>Journal of Environmental Management</w:t>
      </w:r>
    </w:p>
    <w:p w14:paraId="5B26BEE2" w14:textId="77777777" w:rsidR="00CD1DCA" w:rsidRDefault="00CD1DCA"/>
    <w:p w14:paraId="4CF199D6" w14:textId="24174547" w:rsidR="00E613A8" w:rsidRDefault="003A2BD8">
      <w:r>
        <w:t>Take</w:t>
      </w:r>
      <w:r w:rsidR="00F468D7">
        <w:t xml:space="preserve"> </w:t>
      </w:r>
      <w:r>
        <w:t>home message</w:t>
      </w:r>
      <w:r w:rsidR="00E613A8">
        <w:t>s</w:t>
      </w:r>
      <w:r>
        <w:t xml:space="preserve">: </w:t>
      </w:r>
    </w:p>
    <w:p w14:paraId="7E1A01B5" w14:textId="0B1F5AF8" w:rsidR="002D271B" w:rsidRDefault="00F468D7" w:rsidP="00E613A8">
      <w:pPr>
        <w:pStyle w:val="ListParagraph"/>
        <w:numPr>
          <w:ilvl w:val="0"/>
          <w:numId w:val="8"/>
        </w:numPr>
      </w:pPr>
      <w:r>
        <w:t xml:space="preserve">Connected wetlands have more potential to retain nutrients </w:t>
      </w:r>
    </w:p>
    <w:p w14:paraId="67AAFE01" w14:textId="22C5CD92" w:rsidR="00E613A8" w:rsidRDefault="00CD50BA" w:rsidP="00E613A8">
      <w:pPr>
        <w:pStyle w:val="ListParagraph"/>
        <w:numPr>
          <w:ilvl w:val="0"/>
          <w:numId w:val="8"/>
        </w:numPr>
      </w:pPr>
      <w:r>
        <w:t>Wetlands can feasibly contribute to nutrient retention goals.</w:t>
      </w:r>
    </w:p>
    <w:p w14:paraId="3479527C" w14:textId="636881C2" w:rsidR="00592BC0" w:rsidRDefault="00592BC0" w:rsidP="00592BC0">
      <w:r>
        <w:t xml:space="preserve">Methods: </w:t>
      </w:r>
    </w:p>
    <w:p w14:paraId="7C5EE733" w14:textId="5D5ECE63" w:rsidR="007908C8" w:rsidRDefault="007908C8" w:rsidP="00592BC0">
      <w:pPr>
        <w:pStyle w:val="ListParagraph"/>
        <w:numPr>
          <w:ilvl w:val="0"/>
          <w:numId w:val="7"/>
        </w:numPr>
      </w:pPr>
      <w:r>
        <w:t xml:space="preserve">Talk about </w:t>
      </w:r>
      <w:proofErr w:type="gramStart"/>
      <w:r>
        <w:t>watershed</w:t>
      </w:r>
      <w:proofErr w:type="gramEnd"/>
      <w:r>
        <w:t>. Talk about</w:t>
      </w:r>
      <w:r w:rsidR="008E2993">
        <w:t xml:space="preserve"> Ohio/</w:t>
      </w:r>
      <w:r>
        <w:t xml:space="preserve">Maumee. Talk about how </w:t>
      </w:r>
      <w:proofErr w:type="gramStart"/>
      <w:r>
        <w:t>ag</w:t>
      </w:r>
      <w:proofErr w:type="gramEnd"/>
      <w:r>
        <w:t xml:space="preserve"> it is. </w:t>
      </w:r>
    </w:p>
    <w:p w14:paraId="2AE45DB4" w14:textId="7C163E3F" w:rsidR="00592BC0" w:rsidRDefault="00592BC0" w:rsidP="00592BC0">
      <w:pPr>
        <w:pStyle w:val="ListParagraph"/>
        <w:numPr>
          <w:ilvl w:val="0"/>
          <w:numId w:val="7"/>
        </w:numPr>
      </w:pPr>
      <w:r>
        <w:t xml:space="preserve">Nutrient budget </w:t>
      </w:r>
      <w:r w:rsidR="0063484C">
        <w:t>similarities</w:t>
      </w:r>
      <w:r>
        <w:t xml:space="preserve"> across projects/summary stats of sampling frequency</w:t>
      </w:r>
    </w:p>
    <w:p w14:paraId="13C94BF5" w14:textId="5B1334AC" w:rsidR="0063484C" w:rsidRDefault="0063484C" w:rsidP="0063484C">
      <w:pPr>
        <w:pStyle w:val="ListParagraph"/>
        <w:numPr>
          <w:ilvl w:val="1"/>
          <w:numId w:val="7"/>
        </w:numPr>
      </w:pPr>
      <w:r>
        <w:t>Full project by project methods in SI</w:t>
      </w:r>
    </w:p>
    <w:p w14:paraId="394A3DE9" w14:textId="524477D1" w:rsidR="002B63E8" w:rsidRDefault="002B63E8" w:rsidP="0063484C">
      <w:pPr>
        <w:pStyle w:val="ListParagraph"/>
        <w:numPr>
          <w:ilvl w:val="1"/>
          <w:numId w:val="7"/>
        </w:numPr>
      </w:pPr>
      <w:r>
        <w:t xml:space="preserve">Storm sampling across projects </w:t>
      </w:r>
    </w:p>
    <w:p w14:paraId="268F642A" w14:textId="5CBB05B1" w:rsidR="00592BC0" w:rsidRDefault="00BA09CF" w:rsidP="00592BC0">
      <w:pPr>
        <w:pStyle w:val="ListParagraph"/>
        <w:numPr>
          <w:ilvl w:val="0"/>
          <w:numId w:val="7"/>
        </w:numPr>
      </w:pPr>
      <w:r>
        <w:t>LULC across budgeted projects</w:t>
      </w:r>
    </w:p>
    <w:p w14:paraId="4B55460D" w14:textId="0885DD6F" w:rsidR="002B63E8" w:rsidRDefault="002B63E8" w:rsidP="00592BC0">
      <w:pPr>
        <w:pStyle w:val="ListParagraph"/>
        <w:numPr>
          <w:ilvl w:val="0"/>
          <w:numId w:val="7"/>
        </w:numPr>
      </w:pPr>
      <w:r>
        <w:t>Storm event summary stats</w:t>
      </w:r>
    </w:p>
    <w:p w14:paraId="71F36C86" w14:textId="0095DD12" w:rsidR="00BA09CF" w:rsidRDefault="003B394A" w:rsidP="00592BC0">
      <w:pPr>
        <w:pStyle w:val="ListParagraph"/>
        <w:numPr>
          <w:ilvl w:val="0"/>
          <w:numId w:val="7"/>
        </w:numPr>
      </w:pPr>
      <w:r>
        <w:t xml:space="preserve">Statistics </w:t>
      </w:r>
      <w:proofErr w:type="gramStart"/>
      <w:r>
        <w:t>stuff</w:t>
      </w:r>
      <w:proofErr w:type="gramEnd"/>
    </w:p>
    <w:p w14:paraId="0D92566B" w14:textId="28975C7B" w:rsidR="00126A66" w:rsidRDefault="001956F5" w:rsidP="00592BC0">
      <w:r>
        <w:lastRenderedPageBreak/>
        <w:t xml:space="preserve">Results: </w:t>
      </w:r>
    </w:p>
    <w:p w14:paraId="79B03035" w14:textId="297BA626" w:rsidR="001101A7" w:rsidRDefault="001101A7" w:rsidP="001956F5">
      <w:pPr>
        <w:pStyle w:val="ListParagraph"/>
        <w:numPr>
          <w:ilvl w:val="0"/>
          <w:numId w:val="6"/>
        </w:numPr>
      </w:pPr>
      <w:r>
        <w:t>Summary stats on retention across wetlands</w:t>
      </w:r>
    </w:p>
    <w:p w14:paraId="0E3E5694" w14:textId="5C8DE2D6" w:rsidR="00455CE3" w:rsidRDefault="00455CE3" w:rsidP="00455CE3">
      <w:pPr>
        <w:pStyle w:val="ListParagraph"/>
        <w:numPr>
          <w:ilvl w:val="1"/>
          <w:numId w:val="6"/>
        </w:numPr>
      </w:pPr>
      <w:r>
        <w:t>Range, seasonality, etc.</w:t>
      </w:r>
    </w:p>
    <w:p w14:paraId="5F593980" w14:textId="2A3303B4" w:rsidR="002B63E8" w:rsidRDefault="002B63E8" w:rsidP="00455CE3">
      <w:pPr>
        <w:pStyle w:val="ListParagraph"/>
        <w:numPr>
          <w:ilvl w:val="1"/>
          <w:numId w:val="6"/>
        </w:numPr>
      </w:pPr>
      <w:r>
        <w:t>Proportion during storm events??</w:t>
      </w:r>
    </w:p>
    <w:p w14:paraId="5EABAE9E" w14:textId="41E14210" w:rsidR="001956F5" w:rsidRDefault="001956F5" w:rsidP="001956F5">
      <w:pPr>
        <w:pStyle w:val="ListParagraph"/>
        <w:numPr>
          <w:ilvl w:val="0"/>
          <w:numId w:val="6"/>
        </w:numPr>
      </w:pPr>
      <w:r>
        <w:t>Monthly TP/TN/DRP/DN</w:t>
      </w:r>
      <w:r w:rsidR="00126A66">
        <w:t xml:space="preserve"> retention</w:t>
      </w:r>
      <w:r>
        <w:t xml:space="preserve"> x inflow volume</w:t>
      </w:r>
      <w:r w:rsidR="00126A66">
        <w:t xml:space="preserve"> / concentration</w:t>
      </w:r>
    </w:p>
    <w:p w14:paraId="21343F9B" w14:textId="4201B495" w:rsidR="00B87B17" w:rsidRDefault="00B87B17" w:rsidP="00B87B17">
      <w:pPr>
        <w:pStyle w:val="ListParagraph"/>
        <w:numPr>
          <w:ilvl w:val="1"/>
          <w:numId w:val="6"/>
        </w:numPr>
      </w:pPr>
      <w:r>
        <w:t>LME</w:t>
      </w:r>
      <w:r w:rsidR="004D79B9">
        <w:t>:</w:t>
      </w:r>
      <w:r>
        <w:t xml:space="preserve"> </w:t>
      </w:r>
      <w:r w:rsidR="004D79B9">
        <w:t>r</w:t>
      </w:r>
      <w:r w:rsidR="000B16A1">
        <w:t>etention</w:t>
      </w:r>
      <w:r>
        <w:t xml:space="preserve"> ~ site + month + </w:t>
      </w:r>
      <w:r w:rsidR="000B16A1">
        <w:t>concentration + volume</w:t>
      </w:r>
    </w:p>
    <w:p w14:paraId="10940C43" w14:textId="41946A6C" w:rsidR="004D79B9" w:rsidRPr="001F53FC" w:rsidRDefault="004D79B9" w:rsidP="004D79B9">
      <w:pPr>
        <w:pStyle w:val="ListParagraph"/>
        <w:numPr>
          <w:ilvl w:val="2"/>
          <w:numId w:val="6"/>
        </w:numPr>
        <w:rPr>
          <w:highlight w:val="yellow"/>
        </w:rPr>
      </w:pPr>
      <w:r w:rsidRPr="001F53FC">
        <w:rPr>
          <w:highlight w:val="yellow"/>
        </w:rPr>
        <w:t>LOO analysis</w:t>
      </w:r>
    </w:p>
    <w:p w14:paraId="16916F76" w14:textId="50294BF6" w:rsidR="004D79B9" w:rsidRPr="001F53FC" w:rsidRDefault="004D79B9" w:rsidP="004D79B9">
      <w:pPr>
        <w:pStyle w:val="ListParagraph"/>
        <w:numPr>
          <w:ilvl w:val="3"/>
          <w:numId w:val="6"/>
        </w:numPr>
        <w:rPr>
          <w:highlight w:val="yellow"/>
        </w:rPr>
      </w:pPr>
      <w:r w:rsidRPr="001F53FC">
        <w:rPr>
          <w:highlight w:val="yellow"/>
        </w:rPr>
        <w:t xml:space="preserve">Is a single site driving this pattern? Is this pattern usable for data not within the </w:t>
      </w:r>
      <w:r w:rsidR="000D65CB" w:rsidRPr="001F53FC">
        <w:rPr>
          <w:highlight w:val="yellow"/>
        </w:rPr>
        <w:t>dataset?</w:t>
      </w:r>
    </w:p>
    <w:p w14:paraId="67C42034" w14:textId="57A9C83A" w:rsidR="004D79B9" w:rsidRPr="001F53FC" w:rsidRDefault="004D79B9" w:rsidP="004D79B9">
      <w:pPr>
        <w:pStyle w:val="ListParagraph"/>
        <w:numPr>
          <w:ilvl w:val="2"/>
          <w:numId w:val="6"/>
        </w:numPr>
        <w:rPr>
          <w:highlight w:val="yellow"/>
        </w:rPr>
      </w:pPr>
      <w:r w:rsidRPr="001F53FC">
        <w:rPr>
          <w:highlight w:val="yellow"/>
        </w:rPr>
        <w:t xml:space="preserve">Site specific analysis </w:t>
      </w:r>
    </w:p>
    <w:p w14:paraId="096686F7" w14:textId="221FB3F9" w:rsidR="004D79B9" w:rsidRDefault="000D65CB" w:rsidP="004D79B9">
      <w:pPr>
        <w:pStyle w:val="ListParagraph"/>
        <w:numPr>
          <w:ilvl w:val="3"/>
          <w:numId w:val="6"/>
        </w:numPr>
        <w:rPr>
          <w:highlight w:val="yellow"/>
        </w:rPr>
      </w:pPr>
      <w:r w:rsidRPr="001F53FC">
        <w:rPr>
          <w:highlight w:val="yellow"/>
        </w:rPr>
        <w:t xml:space="preserve">Are different variables important </w:t>
      </w:r>
      <w:r w:rsidR="00AB17F0" w:rsidRPr="001F53FC">
        <w:rPr>
          <w:highlight w:val="yellow"/>
        </w:rPr>
        <w:t xml:space="preserve">for within site data, as compared to between site data? </w:t>
      </w:r>
    </w:p>
    <w:p w14:paraId="1DE37422" w14:textId="4F1291D2" w:rsidR="002010AF" w:rsidRPr="001F53FC" w:rsidRDefault="002010AF" w:rsidP="004D79B9">
      <w:pPr>
        <w:pStyle w:val="ListParagraph"/>
        <w:numPr>
          <w:ilvl w:val="3"/>
          <w:numId w:val="6"/>
        </w:numPr>
        <w:rPr>
          <w:highlight w:val="yellow"/>
        </w:rPr>
      </w:pPr>
      <w:r>
        <w:rPr>
          <w:highlight w:val="yellow"/>
        </w:rPr>
        <w:t xml:space="preserve">Run a model of EACH site to compare </w:t>
      </w:r>
      <w:r w:rsidR="008E1FC5">
        <w:rPr>
          <w:highlight w:val="yellow"/>
        </w:rPr>
        <w:t>what variables</w:t>
      </w:r>
      <w:r w:rsidR="008F0958">
        <w:rPr>
          <w:highlight w:val="yellow"/>
        </w:rPr>
        <w:t xml:space="preserve"> (volume, concentration, month)</w:t>
      </w:r>
      <w:r w:rsidR="008E1FC5">
        <w:rPr>
          <w:highlight w:val="yellow"/>
        </w:rPr>
        <w:t xml:space="preserve"> are most important.</w:t>
      </w:r>
    </w:p>
    <w:p w14:paraId="3DB31975" w14:textId="2EED8C74" w:rsidR="00A43032" w:rsidRPr="001F53FC" w:rsidRDefault="00A43032" w:rsidP="004D79B9">
      <w:pPr>
        <w:pStyle w:val="ListParagraph"/>
        <w:numPr>
          <w:ilvl w:val="3"/>
          <w:numId w:val="6"/>
        </w:numPr>
        <w:rPr>
          <w:highlight w:val="yellow"/>
        </w:rPr>
      </w:pPr>
      <w:r w:rsidRPr="001F53FC">
        <w:rPr>
          <w:highlight w:val="yellow"/>
        </w:rPr>
        <w:t>FIND OUT A WAY TO MAKE A FIGURE OF THIS</w:t>
      </w:r>
    </w:p>
    <w:p w14:paraId="3A65D3BE" w14:textId="4690F3AE" w:rsidR="00126A66" w:rsidRDefault="001101A7" w:rsidP="001956F5">
      <w:pPr>
        <w:pStyle w:val="ListParagraph"/>
        <w:numPr>
          <w:ilvl w:val="0"/>
          <w:numId w:val="6"/>
        </w:numPr>
      </w:pPr>
      <w:r>
        <w:t>Summary stats on nutrient release</w:t>
      </w:r>
    </w:p>
    <w:p w14:paraId="18382459" w14:textId="076E2C4D" w:rsidR="00455CE3" w:rsidRDefault="00455CE3" w:rsidP="00455CE3">
      <w:pPr>
        <w:pStyle w:val="ListParagraph"/>
        <w:numPr>
          <w:ilvl w:val="1"/>
          <w:numId w:val="6"/>
        </w:numPr>
      </w:pPr>
      <w:r>
        <w:t>Range, seasonality, etc.</w:t>
      </w:r>
    </w:p>
    <w:p w14:paraId="2E9F966A" w14:textId="53268D4C" w:rsidR="00455CE3" w:rsidRDefault="00111587" w:rsidP="00455CE3">
      <w:pPr>
        <w:pStyle w:val="ListParagraph"/>
        <w:numPr>
          <w:ilvl w:val="0"/>
          <w:numId w:val="6"/>
        </w:numPr>
      </w:pPr>
      <w:r>
        <w:t>Concentration summary stats</w:t>
      </w:r>
    </w:p>
    <w:p w14:paraId="3B3EA93F" w14:textId="75FC369B" w:rsidR="00111587" w:rsidRDefault="00111587" w:rsidP="00111587">
      <w:pPr>
        <w:pStyle w:val="ListParagraph"/>
        <w:numPr>
          <w:ilvl w:val="1"/>
          <w:numId w:val="6"/>
        </w:numPr>
      </w:pPr>
      <w:r>
        <w:t xml:space="preserve">How different are </w:t>
      </w:r>
      <w:r w:rsidR="00FA5EE7">
        <w:t>concentrations across projects</w:t>
      </w:r>
      <w:r w:rsidR="00F22EA3">
        <w:t>/seasons</w:t>
      </w:r>
      <w:r w:rsidR="00FA5EE7">
        <w:t>?</w:t>
      </w:r>
    </w:p>
    <w:p w14:paraId="1B7B935C" w14:textId="76660B3D" w:rsidR="002B63E8" w:rsidRDefault="00111587" w:rsidP="00455CE3">
      <w:pPr>
        <w:pStyle w:val="ListParagraph"/>
        <w:numPr>
          <w:ilvl w:val="0"/>
          <w:numId w:val="6"/>
        </w:numPr>
      </w:pPr>
      <w:r>
        <w:t xml:space="preserve">Concentration </w:t>
      </w:r>
      <w:proofErr w:type="spellStart"/>
      <w:proofErr w:type="gramStart"/>
      <w:r>
        <w:t>affects</w:t>
      </w:r>
      <w:proofErr w:type="spellEnd"/>
      <w:r>
        <w:t xml:space="preserve"> on</w:t>
      </w:r>
      <w:proofErr w:type="gramEnd"/>
      <w:r>
        <w:t xml:space="preserve"> nutrient retention</w:t>
      </w:r>
    </w:p>
    <w:p w14:paraId="6AFC979F" w14:textId="158B6475" w:rsidR="008106C3" w:rsidRDefault="008106C3" w:rsidP="008106C3">
      <w:pPr>
        <w:pStyle w:val="ListParagraph"/>
        <w:numPr>
          <w:ilvl w:val="1"/>
          <w:numId w:val="6"/>
        </w:numPr>
      </w:pPr>
      <w:r>
        <w:t xml:space="preserve">Iterative models for each site </w:t>
      </w:r>
      <w:r w:rsidR="00A46CE1">
        <w:t>ALONE comparing concentration vs. volume on retention</w:t>
      </w:r>
    </w:p>
    <w:p w14:paraId="328892C9" w14:textId="6E905CB9" w:rsidR="009E4EFF" w:rsidRDefault="009E4EFF" w:rsidP="009E4EFF">
      <w:r>
        <w:t xml:space="preserve">Figures: </w:t>
      </w:r>
    </w:p>
    <w:p w14:paraId="0BE13C0D" w14:textId="4AD87713" w:rsidR="009E4EFF" w:rsidRDefault="009E4EFF" w:rsidP="007A3C0B">
      <w:pPr>
        <w:pStyle w:val="ListParagraph"/>
        <w:numPr>
          <w:ilvl w:val="0"/>
          <w:numId w:val="4"/>
        </w:numPr>
      </w:pPr>
      <w:r>
        <w:t>Fig 1. Big Map of projects</w:t>
      </w:r>
      <w:r w:rsidR="008402AE">
        <w:t xml:space="preserve"> (only ones with budgets)</w:t>
      </w:r>
    </w:p>
    <w:p w14:paraId="5AC188D5" w14:textId="0E00A65B" w:rsidR="00E44D22" w:rsidRDefault="00E44D22" w:rsidP="00E44D22">
      <w:r>
        <w:rPr>
          <w:noProof/>
        </w:rPr>
        <w:drawing>
          <wp:inline distT="0" distB="0" distL="0" distR="0" wp14:anchorId="7EB4BAEC" wp14:editId="7D7AF3D2">
            <wp:extent cx="3105150" cy="2691765"/>
            <wp:effectExtent l="0" t="0" r="0" b="0"/>
            <wp:docPr id="9526682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
                      <a:extLst>
                        <a:ext uri="{28A0092B-C50C-407E-A947-70E740481C1C}">
                          <a14:useLocalDpi xmlns:a14="http://schemas.microsoft.com/office/drawing/2010/main" val="0"/>
                        </a:ext>
                      </a:extLst>
                    </a:blip>
                    <a:srcRect l="25175" r="27109"/>
                    <a:stretch>
                      <a:fillRect/>
                    </a:stretch>
                  </pic:blipFill>
                  <pic:spPr bwMode="auto">
                    <a:xfrm>
                      <a:off x="0" y="0"/>
                      <a:ext cx="3114570" cy="2699931"/>
                    </a:xfrm>
                    <a:prstGeom prst="rect">
                      <a:avLst/>
                    </a:prstGeom>
                    <a:noFill/>
                    <a:ln>
                      <a:noFill/>
                    </a:ln>
                    <a:extLst>
                      <a:ext uri="{53640926-AAD7-44D8-BBD7-CCE9431645EC}">
                        <a14:shadowObscured xmlns:a14="http://schemas.microsoft.com/office/drawing/2010/main"/>
                      </a:ext>
                    </a:extLst>
                  </pic:spPr>
                </pic:pic>
              </a:graphicData>
            </a:graphic>
          </wp:inline>
        </w:drawing>
      </w:r>
    </w:p>
    <w:p w14:paraId="68BCD546" w14:textId="77777777" w:rsidR="00924CAF" w:rsidRDefault="00924CAF" w:rsidP="00E44D22"/>
    <w:p w14:paraId="7E33105E" w14:textId="77777777" w:rsidR="00924CAF" w:rsidRDefault="00924CAF" w:rsidP="00E44D22"/>
    <w:p w14:paraId="3108E8DC" w14:textId="77777777" w:rsidR="00924CAF" w:rsidRDefault="00924CAF" w:rsidP="00E44D22"/>
    <w:p w14:paraId="702161C8" w14:textId="77777777" w:rsidR="00924CAF" w:rsidRDefault="00924CAF" w:rsidP="00E44D22"/>
    <w:p w14:paraId="654A0EAC" w14:textId="77777777" w:rsidR="00924CAF" w:rsidRDefault="00924CAF" w:rsidP="00E44D22"/>
    <w:p w14:paraId="5EDFC053" w14:textId="77777777" w:rsidR="00924CAF" w:rsidRDefault="00924CAF" w:rsidP="00E44D22"/>
    <w:p w14:paraId="240D76C8" w14:textId="77777777" w:rsidR="00924CAF" w:rsidRDefault="00924CAF" w:rsidP="00E44D22"/>
    <w:p w14:paraId="1B0306E9" w14:textId="77777777" w:rsidR="00924CAF" w:rsidRDefault="00924CAF" w:rsidP="00E44D22"/>
    <w:p w14:paraId="78886874" w14:textId="77777777" w:rsidR="00924CAF" w:rsidRDefault="00924CAF" w:rsidP="00E44D22"/>
    <w:p w14:paraId="6937D0C7" w14:textId="77777777" w:rsidR="00924CAF" w:rsidRDefault="00924CAF" w:rsidP="00E44D22"/>
    <w:p w14:paraId="53B5B0E8" w14:textId="77777777" w:rsidR="00924CAF" w:rsidRDefault="00924CAF" w:rsidP="00E44D22"/>
    <w:p w14:paraId="27D50220" w14:textId="1CAE2B22" w:rsidR="009E4EFF" w:rsidRDefault="009E4EFF" w:rsidP="007A3C0B">
      <w:pPr>
        <w:pStyle w:val="ListParagraph"/>
        <w:numPr>
          <w:ilvl w:val="0"/>
          <w:numId w:val="4"/>
        </w:numPr>
      </w:pPr>
      <w:r>
        <w:t xml:space="preserve">Fig 2. </w:t>
      </w:r>
      <w:r w:rsidR="006875D6">
        <w:t xml:space="preserve">Monthly </w:t>
      </w:r>
      <w:r>
        <w:t>TP</w:t>
      </w:r>
      <w:r w:rsidR="00486B99">
        <w:t>/TN</w:t>
      </w:r>
      <w:r>
        <w:t xml:space="preserve"> retention vs. inflow volume</w:t>
      </w:r>
      <w:r w:rsidR="00CD7EFD">
        <w:t xml:space="preserve"> vs. TP</w:t>
      </w:r>
      <w:r w:rsidR="00486B99">
        <w:t>/TN</w:t>
      </w:r>
      <w:r w:rsidR="00CD7EFD">
        <w:t xml:space="preserve"> concentration</w:t>
      </w:r>
      <w:r w:rsidR="00E928CC">
        <w:t xml:space="preserve"> (keep dissolved in text/table)</w:t>
      </w:r>
      <w:r w:rsidR="002C4DC3">
        <w:t xml:space="preserve">. </w:t>
      </w:r>
      <w:r w:rsidR="00B5442D">
        <w:t>ADD RELEASE + CONCENTRATION</w:t>
      </w:r>
    </w:p>
    <w:p w14:paraId="5372176C" w14:textId="158DDBE6" w:rsidR="00D70875" w:rsidRDefault="00D70875" w:rsidP="00D70875">
      <w:pPr>
        <w:pStyle w:val="ListParagraph"/>
        <w:numPr>
          <w:ilvl w:val="1"/>
          <w:numId w:val="4"/>
        </w:numPr>
      </w:pPr>
      <w:r>
        <w:t>Also have dissolved nutrients and color/shape coded by project</w:t>
      </w:r>
    </w:p>
    <w:p w14:paraId="4334374B" w14:textId="04C30E87" w:rsidR="006D36F5" w:rsidRDefault="006D36F5" w:rsidP="00D70875">
      <w:pPr>
        <w:pStyle w:val="ListParagraph"/>
        <w:numPr>
          <w:ilvl w:val="1"/>
          <w:numId w:val="4"/>
        </w:numPr>
      </w:pPr>
      <w:r>
        <w:t>Maybe by hydrology? Different types?</w:t>
      </w:r>
    </w:p>
    <w:p w14:paraId="36A4F356" w14:textId="74857402" w:rsidR="00C456AD" w:rsidRDefault="005852C5" w:rsidP="005852C5">
      <w:r>
        <w:rPr>
          <w:noProof/>
        </w:rPr>
        <w:drawing>
          <wp:inline distT="0" distB="0" distL="0" distR="0" wp14:anchorId="1CA78EBA" wp14:editId="26F7EF06">
            <wp:extent cx="5539740" cy="4174496"/>
            <wp:effectExtent l="0" t="0" r="3810" b="0"/>
            <wp:docPr id="2733962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64602" cy="4193231"/>
                    </a:xfrm>
                    <a:prstGeom prst="rect">
                      <a:avLst/>
                    </a:prstGeom>
                    <a:noFill/>
                  </pic:spPr>
                </pic:pic>
              </a:graphicData>
            </a:graphic>
          </wp:inline>
        </w:drawing>
      </w:r>
    </w:p>
    <w:p w14:paraId="56D86D08" w14:textId="27549675" w:rsidR="009E4EFF" w:rsidRDefault="009E4EFF" w:rsidP="007A3C0B">
      <w:pPr>
        <w:pStyle w:val="ListParagraph"/>
        <w:numPr>
          <w:ilvl w:val="0"/>
          <w:numId w:val="4"/>
        </w:numPr>
      </w:pPr>
      <w:r>
        <w:t xml:space="preserve">Fig 3. </w:t>
      </w:r>
      <w:r w:rsidR="00324015">
        <w:t>Timing of retention</w:t>
      </w:r>
      <w:r w:rsidR="00D03430">
        <w:t>/release</w:t>
      </w:r>
      <w:r w:rsidR="00324015">
        <w:t xml:space="preserve"> figure</w:t>
      </w:r>
    </w:p>
    <w:p w14:paraId="1EB92B00" w14:textId="693D5B99" w:rsidR="0047415B" w:rsidRDefault="0047415B" w:rsidP="0047415B">
      <w:r>
        <w:rPr>
          <w:noProof/>
        </w:rPr>
        <w:lastRenderedPageBreak/>
        <w:drawing>
          <wp:inline distT="0" distB="0" distL="0" distR="0" wp14:anchorId="6695B348" wp14:editId="0F5B481F">
            <wp:extent cx="4763366" cy="3589456"/>
            <wp:effectExtent l="0" t="0" r="0" b="0"/>
            <wp:docPr id="2525971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78125" cy="3600577"/>
                    </a:xfrm>
                    <a:prstGeom prst="rect">
                      <a:avLst/>
                    </a:prstGeom>
                    <a:noFill/>
                  </pic:spPr>
                </pic:pic>
              </a:graphicData>
            </a:graphic>
          </wp:inline>
        </w:drawing>
      </w:r>
    </w:p>
    <w:p w14:paraId="390BA796" w14:textId="0A4641DA" w:rsidR="00EC6045" w:rsidRDefault="00EC6045" w:rsidP="00EC6045">
      <w:pPr>
        <w:pStyle w:val="ListParagraph"/>
        <w:numPr>
          <w:ilvl w:val="0"/>
          <w:numId w:val="4"/>
        </w:numPr>
      </w:pPr>
      <w:r>
        <w:t>Fig 4. NEW FIGURE showing when concentration does matter</w:t>
      </w:r>
    </w:p>
    <w:p w14:paraId="0F29093A" w14:textId="77777777" w:rsidR="00EC6045" w:rsidRDefault="00EC6045" w:rsidP="00EC6045">
      <w:pPr>
        <w:pStyle w:val="ListParagraph"/>
        <w:numPr>
          <w:ilvl w:val="1"/>
          <w:numId w:val="4"/>
        </w:numPr>
      </w:pPr>
      <w:r>
        <w:t>Model each project individually and look at what variables are important</w:t>
      </w:r>
    </w:p>
    <w:p w14:paraId="3453A07B" w14:textId="77777777" w:rsidR="00EC6045" w:rsidRDefault="00EC6045" w:rsidP="00EC6045">
      <w:pPr>
        <w:pStyle w:val="ListParagraph"/>
        <w:numPr>
          <w:ilvl w:val="1"/>
          <w:numId w:val="4"/>
        </w:numPr>
      </w:pPr>
      <w:r>
        <w:t>Find a better way to show off this data than you currently have</w:t>
      </w:r>
    </w:p>
    <w:p w14:paraId="7D4FB29F" w14:textId="20B7C5C2" w:rsidR="0055409D" w:rsidRDefault="0055409D" w:rsidP="00EC6045">
      <w:pPr>
        <w:pStyle w:val="ListParagraph"/>
        <w:numPr>
          <w:ilvl w:val="1"/>
          <w:numId w:val="4"/>
        </w:numPr>
      </w:pPr>
      <w:r>
        <w:t xml:space="preserve">Heatmap?? Heatmap of t-values? Talk to Raissa and Ishfaq </w:t>
      </w:r>
    </w:p>
    <w:p w14:paraId="58AE2D6D" w14:textId="4B119DF1" w:rsidR="000D402F" w:rsidRDefault="00774497" w:rsidP="00774497">
      <w:pPr>
        <w:pStyle w:val="ListParagraph"/>
        <w:numPr>
          <w:ilvl w:val="2"/>
          <w:numId w:val="4"/>
        </w:numPr>
      </w:pPr>
      <w:r>
        <w:t>2 boxes per project (</w:t>
      </w:r>
      <w:r w:rsidR="00C26590">
        <w:t xml:space="preserve">1 </w:t>
      </w:r>
      <w:r w:rsidR="00444626">
        <w:t>colored by concentration t value</w:t>
      </w:r>
      <w:r w:rsidR="00C26590">
        <w:t>, 1 by</w:t>
      </w:r>
      <w:r w:rsidR="00444626">
        <w:t xml:space="preserve"> volume t value)</w:t>
      </w:r>
    </w:p>
    <w:p w14:paraId="6B501191" w14:textId="32DE1D3E" w:rsidR="00EA2C82" w:rsidRDefault="00EA2C82" w:rsidP="00774497">
      <w:pPr>
        <w:pStyle w:val="ListParagraph"/>
        <w:numPr>
          <w:ilvl w:val="2"/>
          <w:numId w:val="4"/>
        </w:numPr>
      </w:pPr>
      <w:r>
        <w:t>Stack lines of boxes for tidiness??</w:t>
      </w:r>
    </w:p>
    <w:p w14:paraId="33DE9271" w14:textId="49BF4DF5" w:rsidR="009D1EEB" w:rsidRDefault="00791EDE" w:rsidP="009D1EEB">
      <w:r>
        <w:rPr>
          <w:noProof/>
        </w:rPr>
        <w:lastRenderedPageBreak/>
        <w:drawing>
          <wp:inline distT="0" distB="0" distL="0" distR="0" wp14:anchorId="35F640B7" wp14:editId="18A2E706">
            <wp:extent cx="4448175" cy="3787146"/>
            <wp:effectExtent l="0" t="0" r="0" b="3810"/>
            <wp:docPr id="197522084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52124" cy="3790508"/>
                    </a:xfrm>
                    <a:prstGeom prst="rect">
                      <a:avLst/>
                    </a:prstGeom>
                    <a:noFill/>
                  </pic:spPr>
                </pic:pic>
              </a:graphicData>
            </a:graphic>
          </wp:inline>
        </w:drawing>
      </w:r>
    </w:p>
    <w:p w14:paraId="56D4414E" w14:textId="0303624B" w:rsidR="00324015" w:rsidRDefault="00324015" w:rsidP="007A3C0B">
      <w:pPr>
        <w:pStyle w:val="ListParagraph"/>
        <w:numPr>
          <w:ilvl w:val="0"/>
          <w:numId w:val="4"/>
        </w:numPr>
      </w:pPr>
      <w:r>
        <w:t xml:space="preserve">Fig </w:t>
      </w:r>
      <w:r w:rsidR="00EC6045">
        <w:t>5</w:t>
      </w:r>
      <w:r>
        <w:t>.</w:t>
      </w:r>
      <w:r w:rsidR="00E55CC6">
        <w:t xml:space="preserve"> NEW ANALYSIS showing release reasons?? </w:t>
      </w:r>
    </w:p>
    <w:p w14:paraId="60120014" w14:textId="5EF288AC" w:rsidR="00052D3C" w:rsidRDefault="00FF46F4" w:rsidP="00FF46F4">
      <w:pPr>
        <w:pStyle w:val="ListParagraph"/>
        <w:numPr>
          <w:ilvl w:val="1"/>
          <w:numId w:val="4"/>
        </w:numPr>
      </w:pPr>
      <w:r>
        <w:t xml:space="preserve">Logistic regression; release is not predicted by season, or inflowing volume, but </w:t>
      </w:r>
      <w:r w:rsidRPr="00370D04">
        <w:rPr>
          <w:b/>
          <w:bCs/>
          <w:u w:val="single"/>
        </w:rPr>
        <w:t>is</w:t>
      </w:r>
      <w:r>
        <w:t xml:space="preserve"> predicted by low incoming concentrations</w:t>
      </w:r>
      <w:r w:rsidR="00370D04">
        <w:t xml:space="preserve"> (likely influence is shared by low concentrations </w:t>
      </w:r>
      <w:proofErr w:type="gramStart"/>
      <w:r w:rsidR="00370D04">
        <w:t>an</w:t>
      </w:r>
      <w:proofErr w:type="gramEnd"/>
      <w:r w:rsidR="00370D04">
        <w:t xml:space="preserve"> dilution </w:t>
      </w:r>
      <w:r w:rsidR="003B6541">
        <w:t>during high flow periods which don’t necessarily correlate with high flows to individual wetlands</w:t>
      </w:r>
      <w:r w:rsidR="00370D04">
        <w:t>; volume likely plays a</w:t>
      </w:r>
      <w:r w:rsidR="003B6541">
        <w:t>n important</w:t>
      </w:r>
      <w:r w:rsidR="00370D04">
        <w:t xml:space="preserve"> </w:t>
      </w:r>
      <w:r w:rsidR="003B6541">
        <w:t>indirect role</w:t>
      </w:r>
      <w:r w:rsidR="00370D04">
        <w:t>)</w:t>
      </w:r>
    </w:p>
    <w:p w14:paraId="68C56857" w14:textId="4AA4546E" w:rsidR="00EC1413" w:rsidRDefault="00EC1413" w:rsidP="00FF46F4">
      <w:pPr>
        <w:pStyle w:val="ListParagraph"/>
        <w:numPr>
          <w:ilvl w:val="1"/>
          <w:numId w:val="4"/>
        </w:numPr>
      </w:pPr>
      <w:r>
        <w:t xml:space="preserve">Add in DO? </w:t>
      </w:r>
      <w:r w:rsidR="00A00F9E">
        <w:t>Temperature</w:t>
      </w:r>
      <w:r w:rsidR="000D555C">
        <w:t xml:space="preserve"> instead of month</w:t>
      </w:r>
      <w:r w:rsidR="00A00F9E">
        <w:t xml:space="preserve">? </w:t>
      </w:r>
    </w:p>
    <w:p w14:paraId="5AF488D6" w14:textId="68670D00" w:rsidR="00A81EC2" w:rsidRDefault="001F6B5C" w:rsidP="00A81EC2">
      <w:r>
        <w:rPr>
          <w:noProof/>
        </w:rPr>
        <w:drawing>
          <wp:inline distT="0" distB="0" distL="0" distR="0" wp14:anchorId="465A59A2" wp14:editId="63EC58E9">
            <wp:extent cx="4275065" cy="2428875"/>
            <wp:effectExtent l="0" t="0" r="0" b="0"/>
            <wp:docPr id="178896988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77206" cy="2430091"/>
                    </a:xfrm>
                    <a:prstGeom prst="rect">
                      <a:avLst/>
                    </a:prstGeom>
                    <a:noFill/>
                  </pic:spPr>
                </pic:pic>
              </a:graphicData>
            </a:graphic>
          </wp:inline>
        </w:drawing>
      </w:r>
    </w:p>
    <w:p w14:paraId="0F7F8E82" w14:textId="632E1672" w:rsidR="00CF7766" w:rsidRDefault="00CF7766" w:rsidP="007A3C0B">
      <w:pPr>
        <w:pStyle w:val="ListParagraph"/>
        <w:numPr>
          <w:ilvl w:val="0"/>
          <w:numId w:val="4"/>
        </w:numPr>
      </w:pPr>
      <w:r>
        <w:t>Fig 6</w:t>
      </w:r>
      <w:r w:rsidR="00E30CA8">
        <w:t>.</w:t>
      </w:r>
      <w:r>
        <w:t xml:space="preserve"> Change over time (or lack thereof)</w:t>
      </w:r>
    </w:p>
    <w:p w14:paraId="02ED281A" w14:textId="740A9F27" w:rsidR="004369C9" w:rsidRDefault="004369C9" w:rsidP="004369C9">
      <w:r>
        <w:rPr>
          <w:noProof/>
        </w:rPr>
        <w:lastRenderedPageBreak/>
        <w:drawing>
          <wp:inline distT="0" distB="0" distL="0" distR="0" wp14:anchorId="69F01D51" wp14:editId="4FDB2478">
            <wp:extent cx="4654550" cy="3914053"/>
            <wp:effectExtent l="0" t="0" r="0" b="0"/>
            <wp:docPr id="1435710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64834" cy="3922701"/>
                    </a:xfrm>
                    <a:prstGeom prst="rect">
                      <a:avLst/>
                    </a:prstGeom>
                    <a:noFill/>
                  </pic:spPr>
                </pic:pic>
              </a:graphicData>
            </a:graphic>
          </wp:inline>
        </w:drawing>
      </w:r>
    </w:p>
    <w:p w14:paraId="05489345" w14:textId="3148A9B6" w:rsidR="00E55CC6" w:rsidRDefault="00E55CC6" w:rsidP="009E4EFF"/>
    <w:p w14:paraId="57568909" w14:textId="23AFC13E" w:rsidR="007A3C0B" w:rsidRDefault="007A3C0B" w:rsidP="009E4EFF">
      <w:r>
        <w:t xml:space="preserve">Tables: </w:t>
      </w:r>
    </w:p>
    <w:p w14:paraId="674E91CE" w14:textId="401B2975" w:rsidR="00E50DE2" w:rsidRDefault="00E50DE2" w:rsidP="007A3C0B">
      <w:pPr>
        <w:pStyle w:val="ListParagraph"/>
        <w:numPr>
          <w:ilvl w:val="0"/>
          <w:numId w:val="5"/>
        </w:numPr>
      </w:pPr>
      <w:r>
        <w:t>Table 1. Project summary table</w:t>
      </w:r>
    </w:p>
    <w:p w14:paraId="7C2835EF" w14:textId="3E15ADCB" w:rsidR="007A3C0B" w:rsidRDefault="007A3C0B" w:rsidP="007A3C0B">
      <w:pPr>
        <w:pStyle w:val="ListParagraph"/>
        <w:numPr>
          <w:ilvl w:val="0"/>
          <w:numId w:val="5"/>
        </w:numPr>
      </w:pPr>
      <w:r>
        <w:t xml:space="preserve">Table </w:t>
      </w:r>
      <w:r w:rsidR="00EF498C">
        <w:t>2</w:t>
      </w:r>
      <w:r>
        <w:t>. Nutrient retention summary table</w:t>
      </w:r>
    </w:p>
    <w:p w14:paraId="209638FF" w14:textId="2A41EC88" w:rsidR="00EF60DC" w:rsidRDefault="00EF60DC" w:rsidP="007A3C0B">
      <w:pPr>
        <w:pStyle w:val="ListParagraph"/>
        <w:numPr>
          <w:ilvl w:val="0"/>
          <w:numId w:val="5"/>
        </w:numPr>
      </w:pPr>
      <w:r>
        <w:t xml:space="preserve">Table </w:t>
      </w:r>
      <w:r w:rsidR="00EF498C">
        <w:t>3</w:t>
      </w:r>
      <w:r>
        <w:t xml:space="preserve">. </w:t>
      </w:r>
      <w:r w:rsidR="00393229">
        <w:t>Budget filtration table</w:t>
      </w:r>
      <w:r w:rsidR="000C17DC">
        <w:t xml:space="preserve"> (MAYBE IN SI)</w:t>
      </w:r>
    </w:p>
    <w:p w14:paraId="0DDEE43D" w14:textId="24FC137F" w:rsidR="00760052" w:rsidRDefault="00760052" w:rsidP="00760052">
      <w:pPr>
        <w:pStyle w:val="ListParagraph"/>
        <w:numPr>
          <w:ilvl w:val="0"/>
          <w:numId w:val="5"/>
        </w:numPr>
      </w:pPr>
      <w:r>
        <w:t xml:space="preserve">Table </w:t>
      </w:r>
      <w:r w:rsidR="002F1374">
        <w:t>4</w:t>
      </w:r>
      <w:r>
        <w:t>. Scenario comparison scaling up nutrient retention numbers to address Maumee River Watershed goals</w:t>
      </w:r>
      <w:r w:rsidR="00E92579">
        <w:t xml:space="preserve"> (or alt make this Box 1.)</w:t>
      </w:r>
    </w:p>
    <w:p w14:paraId="7065816D" w14:textId="77777777" w:rsidR="007A3C0B" w:rsidRDefault="007A3C0B" w:rsidP="009E4EFF"/>
    <w:p w14:paraId="3D5DFFDC" w14:textId="755DCBE8" w:rsidR="007A3C0B" w:rsidRDefault="007A3C0B" w:rsidP="009E4EFF"/>
    <w:p w14:paraId="1BF6A4B6" w14:textId="77777777" w:rsidR="007A3C0B" w:rsidRDefault="007A3C0B" w:rsidP="009E4EFF"/>
    <w:p w14:paraId="535923DA" w14:textId="0802F35E" w:rsidR="007A3C0B" w:rsidRDefault="007A3C0B" w:rsidP="009E4EFF">
      <w:r>
        <w:t xml:space="preserve">Supplemental Material: </w:t>
      </w:r>
    </w:p>
    <w:p w14:paraId="741C8B48" w14:textId="12809766" w:rsidR="004D55D5" w:rsidRDefault="004D55D5" w:rsidP="007A3C0B">
      <w:pPr>
        <w:pStyle w:val="ListParagraph"/>
        <w:numPr>
          <w:ilvl w:val="0"/>
          <w:numId w:val="5"/>
        </w:numPr>
      </w:pPr>
      <w:r>
        <w:t>Table of individual project characteristics</w:t>
      </w:r>
    </w:p>
    <w:p w14:paraId="33031513" w14:textId="1464A50C" w:rsidR="007A3C0B" w:rsidRDefault="007A3C0B" w:rsidP="007A3C0B">
      <w:pPr>
        <w:pStyle w:val="ListParagraph"/>
        <w:numPr>
          <w:ilvl w:val="0"/>
          <w:numId w:val="5"/>
        </w:numPr>
      </w:pPr>
      <w:r>
        <w:t>Nutrient budget methods across all projects</w:t>
      </w:r>
    </w:p>
    <w:p w14:paraId="3C14E9D1" w14:textId="2702E732" w:rsidR="00FB2968" w:rsidRDefault="00FB2968" w:rsidP="007A3C0B">
      <w:pPr>
        <w:pStyle w:val="ListParagraph"/>
        <w:numPr>
          <w:ilvl w:val="0"/>
          <w:numId w:val="5"/>
        </w:numPr>
      </w:pPr>
      <w:r>
        <w:t>LOO figure</w:t>
      </w:r>
    </w:p>
    <w:p w14:paraId="14731920" w14:textId="6EA969AB" w:rsidR="00FB2968" w:rsidRDefault="00D44370" w:rsidP="00FB2968">
      <w:r>
        <w:rPr>
          <w:noProof/>
        </w:rPr>
        <w:lastRenderedPageBreak/>
        <w:drawing>
          <wp:inline distT="0" distB="0" distL="0" distR="0" wp14:anchorId="58B6FF62" wp14:editId="49D589C1">
            <wp:extent cx="3543300" cy="2186722"/>
            <wp:effectExtent l="0" t="0" r="0" b="4445"/>
            <wp:docPr id="4272852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46561" cy="2188734"/>
                    </a:xfrm>
                    <a:prstGeom prst="rect">
                      <a:avLst/>
                    </a:prstGeom>
                    <a:noFill/>
                  </pic:spPr>
                </pic:pic>
              </a:graphicData>
            </a:graphic>
          </wp:inline>
        </w:drawing>
      </w:r>
    </w:p>
    <w:p w14:paraId="1ACFB534" w14:textId="77777777" w:rsidR="007A3C0B" w:rsidRDefault="007A3C0B" w:rsidP="00933CF6"/>
    <w:p w14:paraId="15F52E9D" w14:textId="77777777" w:rsidR="00933CF6" w:rsidRDefault="00933CF6" w:rsidP="00933CF6"/>
    <w:p w14:paraId="53293B0E" w14:textId="77777777" w:rsidR="00634EF5" w:rsidRDefault="00634EF5" w:rsidP="00933CF6"/>
    <w:p w14:paraId="6B66D103" w14:textId="62BF23A2" w:rsidR="002E365D" w:rsidRDefault="002E365D">
      <w:r>
        <w:br w:type="page"/>
      </w:r>
    </w:p>
    <w:p w14:paraId="1916BA65" w14:textId="0E3F3731" w:rsidR="00F06CB2" w:rsidRPr="00E10E35" w:rsidRDefault="00F06CB2" w:rsidP="00F06CB2">
      <w:pPr>
        <w:rPr>
          <w:b/>
          <w:bCs/>
        </w:rPr>
      </w:pPr>
      <w:r>
        <w:rPr>
          <w:b/>
          <w:bCs/>
        </w:rPr>
        <w:lastRenderedPageBreak/>
        <w:t>1.</w:t>
      </w:r>
      <w:r w:rsidRPr="00E10E35">
        <w:rPr>
          <w:b/>
          <w:bCs/>
        </w:rPr>
        <w:t xml:space="preserve"> </w:t>
      </w:r>
      <w:r>
        <w:rPr>
          <w:b/>
          <w:bCs/>
        </w:rPr>
        <w:t>Introduction</w:t>
      </w:r>
      <w:r w:rsidRPr="00E10E35">
        <w:rPr>
          <w:b/>
          <w:bCs/>
        </w:rPr>
        <w:t xml:space="preserve">: </w:t>
      </w:r>
    </w:p>
    <w:p w14:paraId="6EA8DA8D" w14:textId="77777777" w:rsidR="005F1168" w:rsidRDefault="005F1168" w:rsidP="005F1168">
      <w:r>
        <w:tab/>
        <w:t xml:space="preserve">Non-point source nutrients (nutrients that do not originate from individual points on a landscape, but from large areas) are one of the leading factors driving water quality issues in aquatic ecosystems around the world </w:t>
      </w:r>
      <w:r>
        <w:fldChar w:fldCharType="begin"/>
      </w:r>
      <w:r>
        <w:instrText xml:space="preserve"> ADDIN ZOTERO_ITEM CSL_CITATION {"citationID":"6Ta0oebd","properties":{"formattedCitation":"(Heisler et al. 2008, Smith and Schindler 2009, Wurtsbaugh et al. 2019)","plainCitation":"(Heisler et al. 2008, Smith and Schindler 2009, Wurtsbaugh et al. 2019)","noteIndex":0},"citationItems":[{"id":1745,"uris":["http://zotero.org/users/5222684/items/NRQQI8A4"],"itemData":{"id":1745,"type":"article-journal","abstract":"In January 2003, the US Environmental Protection Agency sponsored a “roundtable discussion” to develop a consensus on the relationship between eutrophication and harmful algal blooms (HABs), specifically targeting those relationships for which management actions may be appropriate. Academic, federal, and state agency representatives were in attendance. The following seven statements were unanimously adopted by attendees based on review and analysis of current as well as pertinent previous data:(1)Degraded water quality from increased nutrient pollution promotes the development and persistence of many HABs and is one of the reasons for their expansion in the U.S. and other nations;(2)The composition–not just the total quantity–of the nutrient pool impacts HABs;(3)High-biomass blooms must have exogenous nutrients to be sustained;(4)Both chronic and episodic nutrient delivery promote HAB development;(5)Recently developed tools and techniques are already improving the detection of some HABs, and emerging technologies are rapidly advancing toward operational status for the prediction of HABs and their toxins;(6)Experimental studies are critical to further the understanding about the role of nutrients in HABs expression, and will strengthen prediction and mitigation of HABs; and(7)Management of nutrient inputs to the watershed can lead to significant reduction in HABs. Supporting evidence and pertinent examples for each consensus statement are provided herein.","collection-title":"HABs and Eutrophication","container-title":"Harmful Algae","DOI":"10.1016/j.hal.2008.08.006","ISSN":"1568-9883","issue":"1","journalAbbreviation":"Harmful Algae","page":"3-13","source":"ScienceDirect","title":"Eutrophication and harmful algal blooms: A scientific consensus","title-short":"Eutrophication and harmful algal blooms","volume":"8","author":[{"family":"Heisler","given":"J."},{"family":"Glibert","given":"P. M."},{"family":"Burkholder","given":"J. M."},{"family":"Anderson","given":"D. M."},{"family":"Cochlan","given":"W."},{"family":"Dennison","given":"W. C."},{"family":"Dortch","given":"Q."},{"family":"Gobler","given":"C. J."},{"family":"Heil","given":"C. A."},{"family":"Humphries","given":"E."},{"family":"Lewitus","given":"A."},{"family":"Magnien","given":"R."},{"family":"Marshall","given":"H. G."},{"family":"Sellner","given":"K."},{"family":"Stockwell","given":"D. A."},{"family":"Stoecker","given":"D. K."},{"family":"Suddleson","given":"M."}],"issued":{"date-parts":[["2008",12,1]]}}},{"id":956,"uris":["http://zotero.org/users/5222684/items/DV354ABV"],"itemData":{"id":956,"type":"article-journal","container-title":"Trends in ecology &amp; evolution","issue":"4","page":"201–207","source":"Google Scholar","title":"Eutrophication science: where do we go from here?","title-short":"Eutrophication science","volume":"24","author":[{"family":"Smith","given":"Val H."},{"family":"Schindler","given":"David W."}],"issued":{"date-parts":[["2009"]]}}},{"id":1744,"uris":["http://zotero.org/users/5222684/items/QB76PJ2G"],"itemData":{"id":1744,"type":"article-journal","abstract":"Agricultural,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fldChar w:fldCharType="separate"/>
      </w:r>
      <w:r w:rsidRPr="00D81C13">
        <w:rPr>
          <w:rFonts w:ascii="Aptos" w:hAnsi="Aptos"/>
        </w:rPr>
        <w:t>(Heisler et al. 2008, Smith and Schindler 2009, Wurtsbaugh et al. 2019)</w:t>
      </w:r>
      <w:r>
        <w:fldChar w:fldCharType="end"/>
      </w:r>
      <w:r>
        <w:t xml:space="preserve">. Eutrophication of aquatic habitats has </w:t>
      </w:r>
      <w:proofErr w:type="spellStart"/>
      <w:r>
        <w:t>lead</w:t>
      </w:r>
      <w:proofErr w:type="spellEnd"/>
      <w:r>
        <w:t xml:space="preserve"> to a variety of water quality issues including harmful algal blooms </w:t>
      </w:r>
      <w:r>
        <w:fldChar w:fldCharType="begin"/>
      </w:r>
      <w:r>
        <w:instrText xml:space="preserve"> ADDIN ZOTERO_ITEM CSL_CITATION {"citationID":"FztFvFaR","properties":{"formattedCitation":"(Anderson et al. 2002, Wurtsbaugh et al. 2019)","plainCitation":"(Anderson et al. 2002, Wurtsbaugh et al. 2019)","noteIndex":0},"citationItems":[{"id":1748,"uris":["http://zotero.org/users/5222684/items/FQTJ6S5E"],"itemData":{"id":1748,"type":"article-journal","abstract":"Although algal blooms, including those considered toxic or harmful, can be natural phenomena, the nature of the global problem of harmful algal blooms (HABs) has expanded both in extent and its public perception over the last several decades. Of concern, especially for resource managers, is the potential relationship between HABs and the accelerated eutrophication of coastal waters from human activities. We address current insights into the relationships between HABs and eutrophication, focusing on sources of nutrients, known effects of nutrient loading and reduction, new understanding of pathways of nutrient acquisition among HAB species, and relationships between nutrients and toxic algae. Through specific, regional, and global examples of these various relationships, we offer both an assessment of the state of understanding, and the uncertainties that require future research efforts. The sources of nutrients potentially stimulating algal blooms include sewage, atmospheric deposition, groundwater flow, as well as agricultural and aquaculture runoff and discharge. On a global basis, strong correlations have been demonstrated between total phosphorus inputs and phytoplankton production in freshwaters, and between total nitrogen input and phytoplankton production in estuarine and marine waters. There are also numerous examples in geographic regions ranging from the largest and second largest U.S. mainland estuaries (Chesapeake Bay and the Albemarle-Pamlico Estuarine System), to the Inland Sea of Japan, the Black Sea, and Chinese coastal waters, where increases in nutrient loading have been linked with the development of large biomass blooms, leading to anoxia and even toxic or harmful impacts on fisheries resources, ecosystems, and human health or recreation. Many of these regions have witnessed reductions in phytoplankton biomass (as chlorophylla) or HAB incidence when nutrient controls were put in place. Shifts in species composition have often been attributed to changes in nutrient supply ratios, primarily N∶P or N∶Si. Recently this concept has been extended to include organic forms of nutrients, and an elevation in the ratio of dissolved organic carbon to dissolved organic nitrogen (DOC∶DON) has been observed during several recent blooms. The physiological strategies by which different groups of species acquire their nutrients have become better understood, and alternate modes of nutrition such as heterotrophy and mixotrophy are now recognized as common among HAB species. Despite our increased understanding of the pathways by which nutrients are delivered to ecosystems and the pathways by which they are assimilated differentially by different groups of species, the relationships between nutrient delivery and the development of blooms and their potential toxicity or harmfulness remain poorly understood. Many factors such as algal species presence/abundance, degree of flushing or water exchange, weather conditions, and presence and abundance of grazers contribute to the success of a given species at a given point in time. Similar nutrient loads do not have the same impact in different environments or in the same environment at different points in time. Eutrophication is one of several mechanisms by which harmful algae appear to be increasing in extent and duration in many locations. Although important, it is not the only explanation for blooms or toxic outbreaks. Nutrient enrichment has been strongly linked to stimulation of some harmful species, but for others it has not been an apparent contributing factor. The overall effect of nutrient over-enrichment on harmful algal species is clearly species specific.","container-title":"Estuaries","DOI":"10.1007/BF02804901","ISSN":"0160-8347","issue":"4","journalAbbreviation":"Estuaries","language":"en","page":"704-726","source":"Springer Link","title":"Harmful algal blooms and eutrophication: Nutrient sources, composition, and consequences","title-short":"Harmful algal blooms and eutrophication","volume":"25","author":[{"family":"Anderson","given":"Donald M."},{"family":"Glibert","given":"Patricia M."},{"family":"Burkholder","given":"Joann M."}],"issued":{"date-parts":[["2002",8,1]]}}},{"id":1744,"uris":["http://zotero.org/users/5222684/items/QB76PJ2G"],"itemData":{"id":1744,"type":"article-journal","abstract":"Agricultural,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fldChar w:fldCharType="separate"/>
      </w:r>
      <w:r w:rsidRPr="00E45BA3">
        <w:rPr>
          <w:rFonts w:ascii="Aptos" w:hAnsi="Aptos"/>
        </w:rPr>
        <w:t>(Anderson et al. 2002, Wurtsbaugh et al. 2019)</w:t>
      </w:r>
      <w:r>
        <w:fldChar w:fldCharType="end"/>
      </w:r>
      <w:r>
        <w:t xml:space="preserve">. The creation or restoration of wetlands has become a common tool in attempts to mitigate non-point source pollution because they receive runoff from broad areas across the landscape creating a hotspot where non-point source pollution can be concentrated </w:t>
      </w:r>
      <w:r>
        <w:fldChar w:fldCharType="begin"/>
      </w:r>
      <w:r>
        <w:instrText xml:space="preserve"> ADDIN ZOTERO_ITEM CSL_CITATION {"citationID":"u3mF1erS","properties":{"formattedCitation":"(Carpenter et al. 1998, Vymazal 2007, Weisner et al. 2016)","plainCitation":"(Carpenter et al. 1998, Vymazal 2007, Weisner et al. 2016)","noteIndex":0},"citationItems":[{"id":4821,"uris":["http://zotero.org/users/5222684/items/AY5R3XJ7"],"itemData":{"id":4821,"type":"article-journal","abstract":"Agriculture and urban activities are major sources of phosphorus and nitrogen to aquatic ecosystems. Atmospheric deposition further contributes as a source of N. These nonpoint inputs of nutrients are difficult to measure and regulate because they derive from activities dispersed over wide areas of land and are variable in time due to effects of weather. In aquatic ecosystems, these nutrients cause diverse problems such as toxic algal blooms, loss of oxygen, fish kills, loss of biodiversity (including species important for commerce and recreation), loss of aquatic plant beds and coral reefs, and other problems. Nutrient enrichment seriously degrades aquatic ecosystems and impairs the use of water for drinking, industry, agriculture, recreation, and other purposes. Based on our review of the scientific literature, we are certain that (1) eutrophication is a widespread problem in rivers, lakes, estuaries, and coastal oceans, caused by overenrichment with P and N; (2) nonpoint pollution, a major source of P and N to surface waters of the United States, results primarily from agriculture and urban activity, including industry; (3) inputs of P and N to agriculture in the form of fertilizers exceed outputs in produce in the United States and many other nations; (4) nutrient flows to aquatic ecosystems are directly related to animal stocking densities, and under high livestock densities, manure production exceeds the needs of crops to which the manure is applied; (5) excess fertilization and manure production cause a P surplus to accumulate in soil, some of which is transported to aquatic ecosystems; and (6) excess fertilization and manure production on agricultural lands create surplus N, which is mobile in many soils and often leaches to downstream aquatic ecosystems, and which can also volatilize to the atmosphere, redepositing elsewhere and eventually reaching aquatic ecosystems. If current practices continue, nonpoint pollution of surface waters is virtually certain to increase in the future. Such an outcome is not inevitable, however, because a number of technologies, land use practices, and conservation measures are capable of decreasing the flow of nonpoint P and N into surface waters. From our review of the available scientific information, we are confident that: (1) nonpoint pollution of surface waters with P and N could be reduced by reducing surplus nutrient flows in agricultural systems and processes, reducing agricultural and urban runoff by diverse methods, and reducing N emissions from fossil fuel burning; and (2) eutrophication can be reversed by decreasing input rates of P and N to aquatic ecosystems, but rates of recovery are highly variable among water bodies. Often, the eutrophic state is persistent, and recovery is slow.","container-title":"Ecological Applications","DOI":"10.1890/1051-0761(1998)008[0559:NPOSWW]2.0.CO;2","ISSN":"1939-5582","issue":"3","language":"en","license":"© 1998 by the Ecological Society of America","note":"_eprint: https://onlinelibrary.wiley.com/doi/pdf/10.1890/1051-0761%281998%29008%5B0559%3ANPOSWW%5D2.0.CO%3B2","page":"559-568","source":"Wiley Online Library","title":"Nonpoint Pollution of Surface Waters with Phosphorus and Nitrogen","volume":"8","author":[{"family":"Carpenter","given":"S. R."},{"family":"Caraco","given":"N. F."},{"family":"Correll","given":"D. L."},{"family":"Howarth","given":"R. W."},{"family":"Sharpley","given":"A. N."},{"family":"Smith","given":"V. H."}],"issued":{"date-parts":[["1998"]]}}},{"id":1733,"uris":["http://zotero.org/users/5222684/items/XB3ZVBPS"],"itemData":{"id":1733,"type":"article-journal","abstract":"The processes that affect removal and retention of nitrogen during wastewater treatment in constructed wetlands (CWs) are manifold and include NH3 volatilization, nitrification, denitrification, nitrogen fixation, plant and microbial uptake, mineralization (ammonification), nitrate reduction to ammonium (nitrate-ammonification), anaerobic ammonia oxidation (ANAMMOX), fragmentation, sorption, desorption, burial, and leaching. However, only few processes ultimately remove total nitrogen from the wastewater while most processes just convert nitrogen to its various forms. Removal of total nitrogen in studied types of constructed wetlands varied between 40 and 55% with removed load ranging between 250 and 630 g N m−2 yr−1 depending on CWs type and inflow loading. However, the processes responsible for the removal differ in magnitude among systems. Single-stage constructed wetlands cannot achieve high removal of total nitrogen due to their inability to provide both aerobic and anaerobic conditions at the same time. Vertical flow constructed wetlands remove successfully ammonia-N but very limited denitrification takes place in these systems. On the other hand, horizontal-flow constructed wetlands provide good conditions for denitrification but the ability of these system to nitrify ammonia is very limited. Therefore, various types of constructed wetlands may be combined with each other in order to exploit the specific advantages of the individual systems. The soil phosphorus cycle is fundamentally different from the N cycle. There are no valency changes during biotic assimilation of inorganic P or during decomposition of organic P by microorganisms. Phosphorus transformations during wastewater treatment in CWs include adsorption, desorption, precipitation, dissolution, plant and microbial uptake, fragmentation, leaching, mineralization, sedimentation (peat accretion) and burial. The major phosphorus removal processes are sorption, precipitation, plant uptake (with subsequent harvest) and peat/soil accretion. However, the first three processes are saturable and soil accretion occurs only in FWS CWs. Removal of phosphorus in all types of constructed wetlands is low unless special substrates with high sorption capacity are used. Removal of total phosphorus varied between 40 and 60% in all types of constructed wetlands with removed load ranging between 45 and 75 g N m−2 yr−1 depending on CWs type and inflow loading. Removal of both nitrogen and phosphorus via harvesting of aboveground biomass of emergent vegetation is low but it could be substantial for lightly loaded systems (cca 100–200 g N m−2 yr−1 and 10–20 g P m−2 yr−1). Systems with free-floating plants may achieve higher removal of nitrogen via harvesting due to multiple harvesting schedule.","collection-title":"Contaminants in Natural and Constructed Wetlands: Pollutant Dynamics and Control","container-title":"Science of The Total Environment","DOI":"10.1016/j.scitotenv.2006.09.014","ISSN":"0048-9697","issue":"1","journalAbbreviation":"Science of The Total Environment","page":"48-65","source":"ScienceDirect","title":"Removal of nutrients in various types of constructed wetlands","volume":"380","author":[{"family":"Vymazal","given":"Jan"}],"issued":{"date-parts":[["2007",7,15]]}}},{"id":4776,"uris":["http://zotero.org/users/5222684/items/IZKP3WPD"],"itemData":{"id":4776,"type":"article-journal","abstract":"During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wetlands.","container-title":"Water","DOI":"10.3390/w8110544","ISSN":"2073-4441","issue":"11","language":"en","license":"http://creativecommons.org/licenses/by/3.0/","note":"number: 11\npublisher: Multidisciplinary Digital Publishing Institute","page":"544","source":"www.mdpi.com","title":"National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fldChar w:fldCharType="separate"/>
      </w:r>
      <w:r w:rsidRPr="000D7EC6">
        <w:rPr>
          <w:rFonts w:ascii="Aptos" w:hAnsi="Aptos"/>
        </w:rPr>
        <w:t xml:space="preserve">(Carpenter et al. 1998, </w:t>
      </w:r>
      <w:proofErr w:type="spellStart"/>
      <w:r w:rsidRPr="000D7EC6">
        <w:rPr>
          <w:rFonts w:ascii="Aptos" w:hAnsi="Aptos"/>
        </w:rPr>
        <w:t>Vymazal</w:t>
      </w:r>
      <w:proofErr w:type="spellEnd"/>
      <w:r w:rsidRPr="000D7EC6">
        <w:rPr>
          <w:rFonts w:ascii="Aptos" w:hAnsi="Aptos"/>
        </w:rPr>
        <w:t xml:space="preserve"> 2007, Weisner et al. 2016)</w:t>
      </w:r>
      <w:r>
        <w:fldChar w:fldCharType="end"/>
      </w:r>
      <w:r>
        <w:t xml:space="preserve">. </w:t>
      </w:r>
    </w:p>
    <w:p w14:paraId="5ED54244" w14:textId="77777777" w:rsidR="005F1168" w:rsidRDefault="005F1168" w:rsidP="005F1168">
      <w:r>
        <w:tab/>
        <w:t xml:space="preserve">Wetlands are nutrient cycling hotspots on the landscape that  can both capture and process nutrients </w:t>
      </w:r>
      <w:r>
        <w:fldChar w:fldCharType="begin"/>
      </w:r>
      <w:r>
        <w:instrText xml:space="preserve"> ADDIN ZOTERO_ITEM CSL_CITATION {"citationID":"EPgOxUQ9","properties":{"formattedCitation":"(Atkinson and Vaughn 2015, Cheng and Basu 2017)","plainCitation":"(Atkinson and Vaughn 2015, Cheng and Basu 2017)","noteIndex":0},"citationItems":[{"id":868,"uris":["http://zotero.org/users/5222684/items/JZPNWXE4"],"itemData":{"id":868,"type":"article-journal","abstract":"In streams, the creation of nutrient-transformation hotspots by aggregated organisms may have heterogeneous and strong cumulative influences on stream nutrient dynamics. Here, we examine the potential for aggregations of freshwater mussels to create such hotspots. We measured nitrogen (N) and phosphorus (P) excretion rates of six mussel species and body tissue composition of eight. We combined these data with population densities of surveyed mussel beds in the Kiamichi River, OK, to estimate reach-scale and stream-scale nutrient recycling and storage. Additionally, we estimated the temporal variability in the magnitude of mussel nutrient recycling combining volumetric excretion at a reach scale with discharge and temperature data. Mussel beds constituted 1.45% of the area of the Kiamichi River. Mussel nutrient remineralisation varied greatly across beds (11.1–699.5 μmol N m−2 h−1 and 0.8–53.0 μmol P m−2 h−1), because of varying mussel densities. The community-wide average excretion N:P (molar) of the mussel communities was 29.57, with higher excretion N:P significantly associated with higher abundances of Actinonaias ligamentina. Total nutrient storage per bed varied two orders of magnitude (6.3–631.7 kg N and 2.3–227.5 kg P) between mussel beds. Moreover, areal nutrient storage varied among the beds (11.2–133.7 mg N m−2, 4.1–48.9 mg P m−2) with the majority of nutrient storage in a long-term store, shell (c. 87% of total N storage, c. 95% of total P storage). Freshwater mussels can be important to nutrient dynamics through nutrient regeneration and the creation of storage hotspots. However, the importance of nutrient remineralisation varies dramatically in response to organism patchiness, flow conditions and background nutrient concentrations.","container-title":"Freshwater Biology","DOI":"10.1111/fwb.12498","ISSN":"1365-2427","issue":"3","language":"en","page":"563-574","source":"Wiley Online Library","title":"Biogeochemical hotspots: temporal and spatial scaling of the impact of freshwater mussels on ecosystem function","title-short":"Biogeochemical hotspots","volume":"60","author":[{"family":"Atkinson","given":"Carla L."},{"family":"Vaughn","given":"Caryn C."}],"issued":{"date-parts":[["2015"]]}}},{"id":64,"uris":["http://zotero.org/users/5222684/items/4N5GLFJS"],"itemData":{"id":64,"type":"article-journal","abstract":"Increased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B."}],"issued":{"date-parts":[["2017"]]}}}],"schema":"https://github.com/citation-style-language/schema/raw/master/csl-citation.json"} </w:instrText>
      </w:r>
      <w:r>
        <w:fldChar w:fldCharType="separate"/>
      </w:r>
      <w:r w:rsidRPr="00167B51">
        <w:rPr>
          <w:rFonts w:ascii="Aptos" w:hAnsi="Aptos"/>
        </w:rPr>
        <w:t>(Atkinson and Vaughn 2015, Cheng and Basu 2017)</w:t>
      </w:r>
      <w:r>
        <w:fldChar w:fldCharType="end"/>
      </w:r>
      <w:r>
        <w:t xml:space="preserve">.  Even small and seemingly disconnected wetlands have been shown to play major roles on landscape scale nutrient cycling </w:t>
      </w:r>
      <w:r>
        <w:fldChar w:fldCharType="begin"/>
      </w:r>
      <w:r>
        <w:instrText xml:space="preserve"> ADDIN ZOTERO_ITEM CSL_CITATION {"citationID":"jmKlGi80","properties":{"formattedCitation":"(Marton et al. 2015, Cheng et al. 2023)","plainCitation":"(Marton et al. 2015, Cheng et al. 2023)","noteIndex":0},"citationItems":[{"id":1648,"uris":["http://zotero.org/users/5222684/items/XZAUYF77"],"itemData":{"id":1648,"type":"article-journal","container-title":"Bioscience","issue":"4","note":"publisher: Oxford University Press","page":"408–418","source":"Google Scholar","title":"Geographically isolated wetlands are important biogeochemical reactors on the landscape","volume":"65","author":[{"family":"Marton","given":"John M."},{"family":"Creed","given":"Irena F."},{"family":"Lewis","given":"David B."},{"family":"Lane","given":"Charles R."},{"family":"Basu","given":"Nandita B."},{"family":"Cohen","given":"Matthew J."},{"family":"Craft","given":"Christopher B."}],"issued":{"date-parts":[["2015"]]}}},{"id":1655,"uris":["http://zotero.org/users/5222684/items/2ARKRPTS"],"itemData":{"id":1655,"type":"article-journal","container-title":"Environmental Research Letters","issue":"2","note":"publisher: IOP Publishing","page":"024018","source":"Google Scholar","title":"Disconnectivity matters: the outsized role of small ephemeral wetlands in landscape-scale nutrient retention","title-short":"Disconnectivity matters","volume":"18","author":[{"family":"Cheng","given":"Frederick Y."},{"family":"Park","given":"Junehyeong"},{"family":"Kumar","given":"Mukesh"},{"family":"Basu","given":"Nandita B."}],"issued":{"date-parts":[["2023"]]}}}],"schema":"https://github.com/citation-style-language/schema/raw/master/csl-citation.json"} </w:instrText>
      </w:r>
      <w:r>
        <w:fldChar w:fldCharType="separate"/>
      </w:r>
      <w:r w:rsidRPr="00AD1C0B">
        <w:rPr>
          <w:rFonts w:ascii="Aptos" w:hAnsi="Aptos"/>
        </w:rPr>
        <w:t>(Marton et al. 2015, Cheng et al. 2023)</w:t>
      </w:r>
      <w:r>
        <w:fldChar w:fldCharType="end"/>
      </w:r>
      <w:r>
        <w:t xml:space="preserve">. Constructed wetlands have successfully treated watershed nutrient loading, but successful restoration projects rely on an understanding of what’s happening within an individual wetland to retain nutrients </w:t>
      </w:r>
      <w:r>
        <w:fldChar w:fldCharType="begin"/>
      </w:r>
      <w:r>
        <w:instrText xml:space="preserve"> ADDIN ZOTERO_ITEM CSL_CITATION {"citationID":"YzxZAQRk","properties":{"formattedCitation":"(Jacquemin et al. 2018)","plainCitation":"(Jacquemin et al. 2018)","noteIndex":0},"citationItems":[{"id":5211,"uris":["http://zotero.org/users/5222684/items/RJW87AEC"],"itemData":{"id":5211,"type":"article-journal","abstract":"Grand Lake St. Marys watershed has drawn attention over the past decade as water quality issues resulting from nutrient loading have come to the forefront of public opinion, political concern, and scientific study. The objective of this study was to assess long-term changes in water quality (nutrient and sediment concentrations) following the distressed watershed rules package instituted in 2011. Since that time, a variety of rules (e.g., winter manure ban) and best management practices (cover crops, manure storage or transfers, buffers, etc.) have been implemented. We used a general linear model to assess variation in total suspended solids, particulate phosphorus, soluble reactive phosphorus (SRP), nitrate N, and total Kjeldahl nitrogen concentrations from daily Chickasaw Creek (drains </w:instrText>
      </w:r>
      <w:r>
        <w:rPr>
          <w:rFonts w:ascii="Cambria Math" w:hAnsi="Cambria Math" w:cs="Cambria Math"/>
        </w:rPr>
        <w:instrText>∼</w:instrText>
      </w:r>
      <w:r>
        <w:instrText xml:space="preserve">25% of watershed) samples spanning 2008 to 2016. Parameters were related to flow (higher values during high flows), timing (lower values during winter months), and the implementation of the distressed watershed rules package (lower values following implementation). Overall, reductions following the distressed designation for all parameters ranged from 5 to 35% during medium and high flow periods (with exception of SRP). Reductions were even more pronounced during winter months covered by the manure ban, where all parameters (including SRP) exhibited decreases at medium and high flows between 20 and 60%. While the reductions seen in this study are significant, concentrations are still highly elevated and continue to be a problem. We are optimistic that this study will serve to inform future management in the region and elsewhere. Core Ideas Grand Lake St. Marys receives high nutrient runoff from crop and livestock agriculture. The watershed was declared distressed in 2011, and management priorities were implemented. Management priorities included a winter manure application ban and encouraged other BMPs. Reductions in TSS, PP, SRP, NO3−, and TKN were noted at all flows following the designation. This represents an important step toward improved water quality in the watershed.","container-title":"Journal of Environmental Quality","DOI":"10.2134/jeq2017.08.0338","ISSN":"1537-2537","issue":"1","language":"en","license":"© 2018 The Authors.","note":"_eprint: https://onlinelibrary.wiley.com/doi/pdf/10.2134/jeq2017.08.0338","page":"113-120","source":"Wiley Online Library","title":"Changes in Water Quality of Grand Lake St. Marys Watershed Following Implementation of a Distressed Watershed Rules Package","volume":"47","author":[{"family":"Jacquemin","given":"Stephen J."},{"family":"Johnson","given":"Laura T."},{"family":"Dirksen","given":"Theresa A."},{"family":"McGlinch","given":"Greg"}],"issued":{"date-parts":[["2018"]]}}}],"schema":"https://github.com/citation-style-language/schema/raw/master/csl-citation.json"} </w:instrText>
      </w:r>
      <w:r>
        <w:fldChar w:fldCharType="separate"/>
      </w:r>
      <w:r w:rsidRPr="00C124B6">
        <w:rPr>
          <w:rFonts w:ascii="Aptos" w:hAnsi="Aptos"/>
        </w:rPr>
        <w:t>(Jacquemin et al. 2018)</w:t>
      </w:r>
      <w:r>
        <w:fldChar w:fldCharType="end"/>
      </w:r>
      <w:r>
        <w:t xml:space="preserve">. Wetlands initially capture nutrients by retaining water and slowing down flow, which leads to sedimentation of material that contains nutrients </w:t>
      </w:r>
      <w:r>
        <w:fldChar w:fldCharType="begin"/>
      </w:r>
      <w:r>
        <w:instrText xml:space="preserve"> ADDIN ZOTERO_ITEM CSL_CITATION {"citationID":"oBPLjKbm","properties":{"formattedCitation":"(Mitsch et al. 2014, Aziz and Van Cappellen 2021)","plainCitation":"(Mitsch et al. 2014, Aziz and Van Cappellen 2021)","noteIndex":0},"citationItems":[{"id":5173,"uris":["http://zotero.org/users/5222684/items/USB6UQF6"],"itemData":{"id":5173,"type":"article-journal","abstract":"This study summarizes five separate sedimentation studies spanning 15 years (years 3–17 following wetland creation in 1994) of two 1ha experimental flow-through wetlands. Included are methods and analyses of the most recent (2009–2010) comparative study that attempted to quantify both erosion and bioturbation processes. Depending on techniques used, two distinct types of sedimentation rates were estimated—gross and net sedimentation. Gross sedimentation in 2004–2005 (years 11 and 12) using sediment trap bottles was 45kgm−2 for 4 months during and after spring flood pulsing conditions in 2004 and 39kgm−2 for the same 4 months during and after steady flow conditions in 2005. Annual sediment accretion using feldspar and other horizon markers was 31.7±4.4kgm−2yr−1 (4.2±0.6cmyr−1) in 1996 (year 3 after wetland creation) and 34.4±4.5kgm−2yr−1 (5.5±0.8cmyr−1) in 2009 (year 16 after wetland creation). Net sedimentation using soil cores to estimate accumulation of sediments over antecedent soil horizon layers was 4.7±0.3kgm−2yr−1 (0.9±0.07cmyr−1) in 2004 (year 11) and 6.0±0.4kgm−2yr−1 (0.9±0.06cmyr−1) in 2009 (year 16). Net sedimentation, using estimates of sedimentation and erosion with the sediment erosion table (SET) method in 2009–2010 (years 16–17) was 3.9±6.1–9.0kgm−2yr−1 (1.3±0.8–1.4cmyr−1). Bioturbation by macrofauna significantly decreased sedimentation rates during the 2009 (year 16) study. Spatial patterns, consistent among horizon marker and net sedimentation studies, showed that deep, open-water areas had higher rates of sedimentation than shallow areas with emergent vegetation, and that sedimentation rates were higher when closer to the inflow than at the outflow of these flow-through wetlands. Net sedimentation of these created riverine wetlands ranged from 1.2cm/yr to 1.4cm/yr, suggesting that these wetlands will accumulate about 30cm of sediments in a little more than two decades.","collection-title":"The Olentangy River Wetland Research Park: Two Decades of Research on Ecosystem Services","container-title":"Ecological Engineering","DOI":"10.1016/j.ecoleng.2014.09.116","ISSN":"0925-8574","journalAbbreviation":"Ecological Engineering","page":"25-34","source":"ScienceDirect","title":"Sedimentation in created freshwater riverine wetlands: 15 years of succession and contrast of methods","title-short":"Sedimentation in created freshwater riverine wetlands","volume":"72","author":[{"family":"Mitsch","given":"William J."},{"family":"Nedrich","given":"Sara M."},{"family":"Harter","given":"Sarah K."},{"family":"Anderson","given":"Christopher"},{"family":"Nahlik","given":"Amanda M."},{"family":"Bernal","given":"Blanca"}],"issued":{"date-parts":[["2014",11,1]]}}},{"id":4760,"uris":["http://zotero.org/users/5222684/items/VCYEKIMB"],"itemData":{"id":4760,"type":"article-journal","abstract":"Wetlands are known for their water filtration (or purification) function. Although different wetland types differ in their filtration capacity, they are usually aggregated together in economic valuation studies. Here, we explicitly separate the valuation of the suspended sediment and phosphorus (P) filtration services of the four major wetland types—bogs, fens, marshes and swamps—found in southern Ontario, Canada. The areal extents of the four wetland types are derived from the Canadian Wetland Inventory (CWI) progress map, while the sediment accretion rate is used as the key variable regulating the suspended sediment and P filtration functions. Based on available literature data, we assess the relationship of the sediment accretion rate to wetland size. Because only weak positive correlations are found, we assign a mean (average) sediment accretion rate to each wetland type. The sediment accretion rates are combined with mean soil P concentrations to estimate Pretention rates by the wetlands. The replacement cost method is then applied to valuate the sediment and P filtration services. The unit values for both sediment and P retention decrease in the order: marshes &gt; bogs ≈ swamps &gt; fens. The total value of sediment plus phosphorus removal by all wetlands in southern Ontario amounts to $4.2 ± 2.9 billion per year, of which about 80% is accounted for by swamps. We further assess the costs of different options to offset the additional P loading generated in a hypothetical scenario whereby all wetlands are converted to agriculture. The results demonstrate that replacing the P filtration function of existing wetlands with conventional land management and water treatment solutions is not cost-effective, hence reinforcing the importance of protecting existing wetlands.","container-title":"Hydrological Processes","DOI":"10.1002/hyp.14442","ISSN":"1099-1085","issue":"12","language":"en","license":"© 2021 The Authors. Hydrological Processes published by John Wiley &amp; Sons Ltd.","note":"_eprint: https://onlinelibrary.wiley.com/doi/pdf/10.1002/hyp.14442","page":"e14442","source":"Wiley Online Library","title":"Economic valuation of suspended sediment and phosphorus filtration services by four different wetland types: A preliminary assessment for southern Ontario, Canada","title-short":"Economic valuation of suspended sediment and phosphorus filtration services by four different wetland types","volume":"35","author":[{"family":"Aziz","given":"Tariq"},{"family":"Van Cappellen","given":"Philippe"}],"issued":{"date-parts":[["2021"]]}}}],"schema":"https://github.com/citation-style-language/schema/raw/master/csl-citation.json"} </w:instrText>
      </w:r>
      <w:r>
        <w:fldChar w:fldCharType="separate"/>
      </w:r>
      <w:r w:rsidRPr="00FA4960">
        <w:rPr>
          <w:rFonts w:ascii="Aptos" w:hAnsi="Aptos"/>
        </w:rPr>
        <w:t xml:space="preserve">(Mitsch et al. 2014, Aziz and Van </w:t>
      </w:r>
      <w:proofErr w:type="spellStart"/>
      <w:r w:rsidRPr="00FA4960">
        <w:rPr>
          <w:rFonts w:ascii="Aptos" w:hAnsi="Aptos"/>
        </w:rPr>
        <w:t>Cappellen</w:t>
      </w:r>
      <w:proofErr w:type="spellEnd"/>
      <w:r w:rsidRPr="00FA4960">
        <w:rPr>
          <w:rFonts w:ascii="Aptos" w:hAnsi="Aptos"/>
        </w:rPr>
        <w:t xml:space="preserve"> 2021)</w:t>
      </w:r>
      <w:r>
        <w:fldChar w:fldCharType="end"/>
      </w:r>
      <w:r>
        <w:t xml:space="preserve">. Slowing down flow is important for both allowing sediment to settle, and allowing time for sorption of phosphorus to sediment binding sites </w:t>
      </w:r>
      <w:r>
        <w:fldChar w:fldCharType="begin"/>
      </w:r>
      <w:r>
        <w:instrText xml:space="preserve"> ADDIN ZOTERO_ITEM CSL_CITATION {"citationID":"ziKvZYnY","properties":{"formattedCitation":"(Collins et al. 2016)","plainCitation":"(Collins et al. 2016)","noteIndex":0},"citationItems":[{"id":5235,"uris":["http://zotero.org/users/5222684/items/29GSIQYS"],"itemData":{"id":5235,"type":"article-journal","abstract":"Although considered a sink of nutrients, limited information exists to verify phosphorus (P) and nitrogen (N) retention in drainage networks such as ditches and canals. Nutrient retention within two ditches on a cattle ranch in the greater Everglades region was measured using in-situ mesocosms. Phosphorus and N concentrations of water inside the mesocosms were increased or decreased to evaluate the effect of P and N concentration on P and N flux across the sediment-water interface. Ditch sediments possess high P retention capacity which was related to aluminum and iron contents. Soluble reactive P (SRP) retention over seven days varied between 13 and 55% of the starting water column concentration, though retention was significant after one day (p=0.035). Significant P release, although observed only at one site, does indicate the potential for the ditch to be a source of P to downstream locations. The P uptake and release were greater and more rapid in a ditch with organic sediment and emergent macrophytes compared to a ditch with a mineral substrate. P retention over time was rate-limited by diffusion and sediment pore-water exchange. Nitrogen transformation processes were unsubstantial, possibly because in warm sub-tropical Florida most nitrate is denitrified in the presence of an energy source. Several empirical P models predicted (r2&gt;0.90) P retention based on the known water column SRP concentrations and hydraulic residence time. The residence time of the site (0.46 and 0.11 days for the two ditches) is not long enough to significantly reduce P loads passing through the ditches under the current drainage regime. Delaying the drainage by increased water retention as a voluntary Best Management Practice (BMP) or Payment for Environmental Services (PES) program can help increase the residence time to reduce P leaving the ranch. Although these results are derived from a cattle ranch, similar benefits can be expected for drainage ditches in other agricultural systems such as agronomic (e.g. sugarcane) or horticultural (e.g. citrus, vegetable) crops, and the models presented in this paper may be useful for basin-scale water quality management.","container-title":"Ecological Engineering","DOI":"10.1016/j.ecoleng.2016.04.003","ISSN":"0925-8574","journalAbbreviation":"Ecological Engineering","page":"218-228","source":"ScienceDirect","title":"Drainage ditches have sufficient adsorption capacity but inadequate residence time for phosphorus retention in the Everglades","volume":"92","author":[{"family":"Collins","given":"Steven D."},{"family":"Shukla","given":"Sanjay"},{"family":"Shrestha","given":"Niroj K."}],"issued":{"date-parts":[["2016",7,1]]}}}],"schema":"https://github.com/citation-style-language/schema/raw/master/csl-citation.json"} </w:instrText>
      </w:r>
      <w:r>
        <w:fldChar w:fldCharType="separate"/>
      </w:r>
      <w:r w:rsidRPr="001A58BD">
        <w:rPr>
          <w:rFonts w:ascii="Aptos" w:hAnsi="Aptos"/>
        </w:rPr>
        <w:t>(Collins et al. 2016)</w:t>
      </w:r>
      <w:r>
        <w:fldChar w:fldCharType="end"/>
      </w:r>
      <w:r>
        <w:t xml:space="preserve">. Longer term storage can occur through sediment uptake by vegetation, which binds inorganic phosphorus to organic material making it more difficult to access by microbes and algae  </w:t>
      </w:r>
      <w:r>
        <w:fldChar w:fldCharType="begin"/>
      </w:r>
      <w:r>
        <w:instrText xml:space="preserve"> ADDIN ZOTERO_ITEM CSL_CITATION {"citationID":"ERMTeBqo","properties":{"formattedCitation":"(Silvan et al. 2004, Lucas and Greenway 2008)","plainCitation":"(Silvan et al. 2004, Lucas and Greenway 2008)","noteIndex":0},"citationItems":[{"id":5251,"uris":["http://zotero.org/users/5222684/items/87QNR89P"],"itemData":{"id":5251,"type":"article-journal","abstract":"Wetland buffers may play an important role in the retention of nitrogen (N) and phosphorus (P) that can be released in large quantities from forestry operations. In this study, we investigated the retention capacity of N and P of wetland vegetation comparing the control area with two experimental areas within one site before and after N and P pulse (45 kg N and 15 kg P) lasting one growing season (ca. 150 d). N and P pulse caused a significant increase in the plant biomass and N and P content in the upper experimental area, which received most of the added nutrients. Added N and P was mainly retained in the above and below ground parts of E. vaginatum, especially in storage organs and roots which form a long-term sink for nutrients. Total N retention in the plant biomass during the first year after N and P treatment ranged from 25.3 kg (equals to 126.7 kg N ha−1) in the upper experimental area to 6.1 kg (20.4 kg N ha−1) in the lower experimental area and 4.7 kg (15.7 kg N ha−1) in the control area. P retention ranged from 2.6 kg (13.1 kg P ha−1) in the upper experimental area to 1.0 kg (3.4 kg P ha−1) in the lower experimental area and 0.5 kg (1.8 kg P ha−1) in the control area. The retained proportions of N and P in the plant biomass in the two experimental areas were approximately 70% of the added N (45 kg N y−1) and approximately 25% of the added P (15 kg P y−1) during the first year after N and P addition in 1999. Our study shows that vigorously colonising and growing vegetation is the main factor in the retention of N, a significant factor in the retention of P in a constructed wetland buffer, and thus an important contributor to the prevention of detrimental effects of N and P leaching on watercourses.","container-title":"Plant and Soil","DOI":"10.1023/B:PLSO.0000016549.70555.9d","ISSN":"1573-5036","issue":"1","journalAbbreviation":"Plant and Soil","language":"en","page":"179-187","source":"Springer Link","title":"Vegetation is the main factor in nutrient retention in a constructed wetland buffer","volume":"258","author":[{"family":"Silvan","given":"Niko"},{"family":"Vasander","given":"Harri"},{"family":"Laine","given":"Jukka"}],"issued":{"date-parts":[["2004",1,1]]}}},{"id":5252,"uris":["http://zotero.org/users/5222684/items/F4HLYBNL"],"itemData":{"id":5252,"type":"article-journal","abstract":"Thirty well-established 240L bioretention mesocosms were used to investigate retention\nof dissolved nutrients by bioretention systems. Ten mesocosms were comprised of   80 cm   sandy loam, ten of   80 cm   loamy sand, and ten of pea gravel with   20 cm   of loamy sand. Half were ...","container-title":"Journal of Irrigation and Drainage Engineering","DOI":"10.1061/(ASCE)0733-9437(2008)134:5(613)","ISSN":"0733-9437","issue":"5","language":"EN","note":"publisher: American Society of Civil Engineers","page":"613-623","source":"ASCE","title":"Nutrient Retention in Vegetated and Nonvegetated Bioretention Mesocosms","volume":"134","author":[{"family":"Lucas","given":"William C."},{"family":"Greenway","given":"Margaret"}],"issued":{"date-parts":[["2008",10,1]]}}}],"schema":"https://github.com/citation-style-language/schema/raw/master/csl-citation.json"} </w:instrText>
      </w:r>
      <w:r>
        <w:fldChar w:fldCharType="separate"/>
      </w:r>
      <w:r w:rsidRPr="00CE1E9B">
        <w:rPr>
          <w:rFonts w:ascii="Aptos" w:hAnsi="Aptos"/>
        </w:rPr>
        <w:t>(Silvan et al. 2004, Lucas and Greenway 2008)</w:t>
      </w:r>
      <w:r>
        <w:fldChar w:fldCharType="end"/>
      </w:r>
      <w:r>
        <w:t xml:space="preserve">. </w:t>
      </w:r>
    </w:p>
    <w:p w14:paraId="365C0C09" w14:textId="5940FBF0" w:rsidR="005F1168" w:rsidRDefault="005F1168" w:rsidP="005F1168">
      <w:pPr>
        <w:ind w:firstLine="360"/>
      </w:pPr>
      <w:r>
        <w:t xml:space="preserve">A variety of methods are used to evaluate wetland restoration success, including data on vegetation, soil phosphorus sorption capacity (SPSC), and hydrology, but many of the available methods may not accurately assess wetlands ability to retain nutrients </w:t>
      </w:r>
      <w:r>
        <w:fldChar w:fldCharType="begin"/>
      </w:r>
      <w:r>
        <w:instrText xml:space="preserve"> ADDIN ZOTERO_ITEM CSL_CITATION {"citationID":"sDCjNdaP","properties":{"formattedCitation":"(Fennessy et al. 2007)","plainCitation":"(Fennessy et al. 2007)","noteIndex":0},"citationItems":[{"id":5254,"uris":["http://zotero.org/users/5222684/items/KV3EJM68"],"itemData":{"id":5254,"type":"article-journal","abstract":"We analyzed 40 existing wetland rapid assessment methods that were developed for a variety of purposes, including informing regulatory decisions and local land use planning, and reviewed them for their potential to assess ecological integrity or condition. Four evaluation criteria were used. We determined if the method 1) can be used to measure condition, 2) is truly rapid, 3) includes a site visit, and 4) can be verified. This resulted in six methods being selected for evaluation relative to a conceptual model describing the core elements of a wetland assessment method, including universal indicators of soil, hydrology, and biotic communities, as well as regional indicators. An additional nine methods were kept for ideas on indicators, scoring, or regionalization. From this review, we identified five general areas that need to be addressed when adapting existing methods or developing new methods to assess condition: 1) definition of the assessment area, 2) treatment of wetland type, 3) approaches to scoring, 4) consideration of highly valued wetland types or features, and 5) procedures for validation with comprehensive ecological data. With scoring in particular, we present the advantages of a method that produces a single integrative score. Development of a rapid assessment method can assist those interested in incorporating condition assessment into their programs because they require less time in the field and less taxonomic expertise than more quantitative methods, which can lead to significant cost savings and increased sample sizes.","container-title":"Wetlands","DOI":"10.1672/0277-5212(2007)27[543:AEORMF]2.0.CO;2","ISSN":"1943-6246","issue":"3","journalAbbreviation":"Wetlands","language":"en","license":"2007 Society of Wetland Scientists","note":"Company: Springer\nDistributor: Springer\nInstitution: Springer\nLabel: Springer\nnumber: 3\npublisher: Springer Netherlands","page":"543-560","source":"link.springer.com","title":"An evaluation of rapid methods for assessing the ecological condition of wetlands","volume":"27","author":[{"family":"Fennessy","given":"M. Siobhan"},{"family":"Jacobs","given":"Amy D."},{"family":"Kentula","given":"Mary E."}],"issued":{"date-parts":[["2007",9,1]]}}}],"schema":"https://github.com/citation-style-language/schema/raw/master/csl-citation.json"} </w:instrText>
      </w:r>
      <w:r>
        <w:fldChar w:fldCharType="separate"/>
      </w:r>
      <w:r w:rsidRPr="00742B9E">
        <w:rPr>
          <w:rFonts w:ascii="Aptos" w:hAnsi="Aptos"/>
        </w:rPr>
        <w:t>(Fennessy et al. 2007)</w:t>
      </w:r>
      <w:r>
        <w:fldChar w:fldCharType="end"/>
      </w:r>
      <w:r>
        <w:t xml:space="preserve">. The drivers of nutrient retention in wetlands are not clearly understood, with high variability in rates of nutrient retention across a variety of studied wetlands: but wetlands with high nutrient loading consistently retain more phosphorus </w:t>
      </w:r>
      <w:r>
        <w:fldChar w:fldCharType="begin"/>
      </w:r>
      <w:r>
        <w:instrText xml:space="preserve"> ADDIN ZOTERO_ITEM CSL_CITATION {"citationID":"DbSIlVM1","properties":{"formattedCitation":"(Land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Letters","issue":"8","note":"publisher: IOP Publishing","page":"083002","source":"Google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fldChar w:fldCharType="separate"/>
      </w:r>
      <w:r w:rsidRPr="00B92D1E">
        <w:rPr>
          <w:rFonts w:ascii="Aptos" w:hAnsi="Aptos"/>
        </w:rPr>
        <w:t>(Land et al. 2016, Ury et al. 2023)</w:t>
      </w:r>
      <w:r>
        <w:fldChar w:fldCharType="end"/>
      </w:r>
      <w:r>
        <w:t xml:space="preserve">. </w:t>
      </w:r>
      <w:r>
        <w:t>A</w:t>
      </w:r>
      <w:r>
        <w:t xml:space="preserve"> high proportion of nutrient retention estimates may be biased due to missing storm events that deliver a majority of nutrients to wetlands, and due to monitoring after the first three years after construction being rare </w:t>
      </w:r>
      <w:r>
        <w:fldChar w:fldCharType="begin"/>
      </w:r>
      <w:r>
        <w:instrText xml:space="preserve"> ADDIN ZOTERO_ITEM CSL_CITATION {"citationID":"wkwnhsib","properties":{"formattedCitation":"(Anderson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fldChar w:fldCharType="separate"/>
      </w:r>
      <w:r w:rsidRPr="00D00A50">
        <w:rPr>
          <w:rFonts w:ascii="Aptos" w:hAnsi="Aptos"/>
        </w:rPr>
        <w:t>(Anderson et al. 2024)</w:t>
      </w:r>
      <w:r>
        <w:fldChar w:fldCharType="end"/>
      </w:r>
      <w:r>
        <w:t>. Understanding the drivers of nutrient retention for constructed wetlands will enable practitioners to create wetlands that maximize their nutrient retention capabilities and accurately assess tradeoffs in nutrient retention when creating wetlands with other</w:t>
      </w:r>
      <w:r w:rsidR="00C96421">
        <w:t xml:space="preserve"> primary</w:t>
      </w:r>
      <w:r>
        <w:t xml:space="preserve"> goals such as waterfowl habitat, or diversity. </w:t>
      </w:r>
    </w:p>
    <w:p w14:paraId="3D39BCA9" w14:textId="33093928" w:rsidR="00FC35A0" w:rsidRPr="00251B2B" w:rsidRDefault="00FE3684" w:rsidP="00FC35A0">
      <w:r>
        <w:tab/>
        <w:t xml:space="preserve">To investigate the drivers of nutrient retention in wetlands we </w:t>
      </w:r>
      <w:r w:rsidR="001D108F">
        <w:t>constructed</w:t>
      </w:r>
      <w:r w:rsidR="007A7ACA">
        <w:t xml:space="preserve"> </w:t>
      </w:r>
      <w:r w:rsidR="00D15DCD">
        <w:t>nutrient budgets for 24 constructed wetlands across Ohio</w:t>
      </w:r>
      <w:r w:rsidR="007979E7">
        <w:t xml:space="preserve">. We constructed nutrient budgets using a mass balance approach, collecting nutrient concentration and water volumes across all projects at the inflow and outflow and calculating retention as the portion of inflow that did not exit each wetland. </w:t>
      </w:r>
      <w:r w:rsidR="005F1C4F">
        <w:t xml:space="preserve">We aimed to address </w:t>
      </w:r>
      <w:r w:rsidR="0097376A">
        <w:t>three</w:t>
      </w:r>
      <w:r w:rsidR="005F1C4F">
        <w:t xml:space="preserve"> main questions: 1. </w:t>
      </w:r>
      <w:r w:rsidR="000E29C0">
        <w:t>How much does connectivity of constructed wetlands to both water and nutrients contribute to their ability to retain nutrients? 2.</w:t>
      </w:r>
      <w:r w:rsidR="00807CC3">
        <w:t xml:space="preserve"> What drives potential for nutrient release in constructed wetlands? 3.</w:t>
      </w:r>
      <w:r w:rsidR="002740EE">
        <w:t xml:space="preserve"> Can constructed wetlands feasibly contribute to landscape scale nutrient retention goals?</w:t>
      </w:r>
      <w:r w:rsidR="00EC22F1">
        <w:t xml:space="preserve"> </w:t>
      </w:r>
      <w:r w:rsidR="00B062B8">
        <w:t xml:space="preserve">To evaluate the effects of connectivity on constructed wetland nutrient retention we </w:t>
      </w:r>
      <w:r w:rsidR="008D4E8B">
        <w:t>built linear models with</w:t>
      </w:r>
      <w:r w:rsidR="00C91E2B">
        <w:t xml:space="preserve"> monthly data for</w:t>
      </w:r>
      <w:r w:rsidR="008D4E8B">
        <w:t xml:space="preserve"> </w:t>
      </w:r>
      <w:r w:rsidR="00C91E2B">
        <w:t xml:space="preserve">inflow volume and nutrient </w:t>
      </w:r>
      <w:r w:rsidR="00C91E2B">
        <w:lastRenderedPageBreak/>
        <w:t xml:space="preserve">concentrations </w:t>
      </w:r>
      <w:r w:rsidR="00C91E2B">
        <w:t>as predictors of nutrient retention</w:t>
      </w:r>
      <w:r w:rsidR="00C91E2B">
        <w:t xml:space="preserve"> across all 24 wetlands. To investigate the potential for nutrient release we </w:t>
      </w:r>
      <w:r w:rsidR="00FA4954">
        <w:t xml:space="preserve">built logistic regressions to track the effects of timing, inflow volume, and nutrient concentration as potential drivers of release. To evaluate whether wetlands can feasibly contribute to landscape goals we </w:t>
      </w:r>
      <w:r w:rsidR="00EF48EB">
        <w:t xml:space="preserve">built out three hypothetical scenarios based on the data from </w:t>
      </w:r>
      <w:r w:rsidR="00760089">
        <w:t xml:space="preserve">monitored wetlands to extrapolate the total area that would need to be converted to wetlands to meet Lake Erie nutrient loading </w:t>
      </w:r>
      <w:r w:rsidR="00251B2B">
        <w:t>goals</w:t>
      </w:r>
      <w:r w:rsidR="00760089">
        <w:t xml:space="preserve"> based on </w:t>
      </w:r>
      <w:r w:rsidR="00510858">
        <w:t>Inter</w:t>
      </w:r>
      <w:r w:rsidR="00251B2B">
        <w:t>national Joint Council targets.</w:t>
      </w:r>
      <w:r w:rsidR="00200203">
        <w:t xml:space="preserve"> </w:t>
      </w:r>
    </w:p>
    <w:p w14:paraId="4A42B90C" w14:textId="77777777" w:rsidR="00FC35A0" w:rsidRPr="00FC35A0" w:rsidRDefault="00FC35A0" w:rsidP="00FC35A0">
      <w:pPr>
        <w:rPr>
          <w:b/>
          <w:bCs/>
        </w:rPr>
      </w:pPr>
    </w:p>
    <w:p w14:paraId="59C6DE5C" w14:textId="5762DCAE" w:rsidR="00634EF5" w:rsidRPr="00E10E35" w:rsidRDefault="00183CA1" w:rsidP="00933CF6">
      <w:pPr>
        <w:rPr>
          <w:b/>
          <w:bCs/>
        </w:rPr>
      </w:pPr>
      <w:r w:rsidRPr="00E10E35">
        <w:rPr>
          <w:b/>
          <w:bCs/>
        </w:rPr>
        <w:t xml:space="preserve">2. </w:t>
      </w:r>
      <w:r w:rsidR="002E365D" w:rsidRPr="00E10E35">
        <w:rPr>
          <w:b/>
          <w:bCs/>
        </w:rPr>
        <w:t xml:space="preserve">Methods: </w:t>
      </w:r>
    </w:p>
    <w:p w14:paraId="195D70B0" w14:textId="7F4793FC" w:rsidR="00183CA1" w:rsidRPr="00E10E35" w:rsidRDefault="00183CA1" w:rsidP="00933CF6">
      <w:pPr>
        <w:rPr>
          <w:b/>
          <w:bCs/>
          <w:u w:val="single"/>
        </w:rPr>
      </w:pPr>
      <w:r w:rsidRPr="00E10E35">
        <w:rPr>
          <w:b/>
          <w:bCs/>
          <w:u w:val="single"/>
        </w:rPr>
        <w:t xml:space="preserve">2.1 </w:t>
      </w:r>
      <w:r w:rsidR="00856741">
        <w:rPr>
          <w:b/>
          <w:bCs/>
          <w:u w:val="single"/>
        </w:rPr>
        <w:t>Site Description</w:t>
      </w:r>
      <w:r w:rsidR="00103739">
        <w:rPr>
          <w:b/>
          <w:bCs/>
          <w:u w:val="single"/>
        </w:rPr>
        <w:t>s</w:t>
      </w:r>
    </w:p>
    <w:p w14:paraId="3E36E5BF" w14:textId="56402172" w:rsidR="002E6747" w:rsidRDefault="009102B9" w:rsidP="00933CF6">
      <w:r>
        <w:tab/>
        <w:t xml:space="preserve">We analyzed data from 24 wetland projects built by the H2Ohio </w:t>
      </w:r>
      <w:r w:rsidR="00BE37AF">
        <w:t>Initiativ</w:t>
      </w:r>
      <w:r w:rsidR="008045A9">
        <w:t xml:space="preserve">e: a water quality program administered by the Ohio Department of Natural Resources </w:t>
      </w:r>
      <w:r w:rsidR="00D436DA">
        <w:t>that has to date created 498 wetland projects throughout the state of Ohio</w:t>
      </w:r>
      <w:r w:rsidR="006D2EBD">
        <w:t xml:space="preserve">, with many of those projects focused </w:t>
      </w:r>
      <w:r w:rsidR="00581FA9">
        <w:t>on</w:t>
      </w:r>
      <w:r w:rsidR="006D2EBD">
        <w:t xml:space="preserve"> the Maumee River Drainage Basin</w:t>
      </w:r>
      <w:r w:rsidR="00A921CF">
        <w:t xml:space="preserve"> of Northeast Ohio</w:t>
      </w:r>
      <w:r w:rsidR="006D2EBD">
        <w:t xml:space="preserve"> (Figure 1)</w:t>
      </w:r>
      <w:r w:rsidR="00D436DA">
        <w:t>.</w:t>
      </w:r>
      <w:r w:rsidR="006D2EBD">
        <w:t xml:space="preserve"> </w:t>
      </w:r>
      <w:r w:rsidR="00A921CF">
        <w:t>The goal of the H2Ohio program is to mitigate harmful algal blooms in Lake Erie</w:t>
      </w:r>
      <w:r w:rsidR="00997D46">
        <w:t xml:space="preserve"> through a variety of methods including the construction of wetlands </w:t>
      </w:r>
      <w:r w:rsidR="005C7C5E">
        <w:fldChar w:fldCharType="begin"/>
      </w:r>
      <w:r w:rsidR="00BD3DFF">
        <w:instrText xml:space="preserve"> ADDIN ZOTERO_ITEM CSL_CITATION {"citationID":"fGGYYxwT","properties":{"unsorted":false,"formattedCitation":"(International Joint Commission 2014)","plainCitation":"(International Joint Commission 2014)","noteIndex":0},"citationItems":[{"id":1746,"uris":["http://zotero.org/users/5222684/items/VPWL2YSB"],"itemData":{"id":1746,"type":"article-journal","container-title":"International Joint Commission","source":"Google Scholar","title":"A Balanced Diet for Lake Erie","author":[{"family":"International Joint Commission","given":""}],"issued":{"date-parts":[["2014"]]}}}],"schema":"https://github.com/citation-style-language/schema/raw/master/csl-citation.json"} </w:instrText>
      </w:r>
      <w:r w:rsidR="005C7C5E">
        <w:fldChar w:fldCharType="separate"/>
      </w:r>
      <w:r w:rsidR="00BD3DFF" w:rsidRPr="00BD3DFF">
        <w:rPr>
          <w:rFonts w:ascii="Aptos" w:hAnsi="Aptos"/>
        </w:rPr>
        <w:t>(International Joint Commission 2014)</w:t>
      </w:r>
      <w:r w:rsidR="005C7C5E">
        <w:fldChar w:fldCharType="end"/>
      </w:r>
      <w:r w:rsidR="005C7C5E">
        <w:t xml:space="preserve">. </w:t>
      </w:r>
      <w:r w:rsidR="001B4683">
        <w:t>Harmful algal blooms in Lake Erie are primarily driven by agricultural runoff</w:t>
      </w:r>
      <w:r w:rsidR="00851D75">
        <w:t xml:space="preserve">, where the entire state of Ohio is over 50% agricultural land, and the Maumee River Drainage basin is </w:t>
      </w:r>
      <w:r w:rsidR="00767DFA">
        <w:t>approximately 80% agricultural land</w:t>
      </w:r>
      <w:r w:rsidR="00947077">
        <w:t xml:space="preserve"> [CITE SOMETHING HERE]</w:t>
      </w:r>
      <w:r w:rsidR="00767DFA">
        <w:t xml:space="preserve">. </w:t>
      </w:r>
      <w:r w:rsidR="001B4683">
        <w:t xml:space="preserve"> </w:t>
      </w:r>
      <w:r w:rsidR="00947077">
        <w:t xml:space="preserve">Wetland restoration in Northeastern Ohio is especially relevant because </w:t>
      </w:r>
      <w:r w:rsidR="00717161">
        <w:t xml:space="preserve">the landscape was radically altered starting in the early 1900s when the Great Black Swamp, a wetland that covered </w:t>
      </w:r>
      <w:r w:rsidR="00844363">
        <w:t>1 million acres of Northeastern Ohio was drained to make room for agriculture</w:t>
      </w:r>
      <w:r w:rsidR="00200EA7">
        <w:t xml:space="preserve"> </w:t>
      </w:r>
      <w:r w:rsidR="00200EA7">
        <w:fldChar w:fldCharType="begin"/>
      </w:r>
      <w:r w:rsidR="00200EA7">
        <w:instrText xml:space="preserve"> ADDIN ZOTERO_ITEM CSL_CITATION {"citationID":"WG5LwzRh","properties":{"unsorted":false,"formattedCitation":"(Mitsch 2017)","plainCitation":"(Mitsch 2017)","noteIndex":0},"citationItems":[{"id":6218,"uris":["http://zotero.org/users/5222684/items/UF9G5DEI"],"itemData":{"id":6218,"type":"article-journal","abstract":"Harmful algal blooms are now a common occurrence around the world in these Anthropocene times because of fertilization of phosphorus and nitrogen for crop and animal production. One of the most dramatic cases in North America is the recent accelerated eutrophication of Lake Erie in the Laurentian Great Lakes. Also, we have lost, by some estimates, 50% of the world’s wetlands in the 20th century and 90% of the wetlands in Ohio USA over the 19th and 20th centuries. We are proposing a serious analysis of an ecological engineering opportunity to restore parts of the former 400,000ha (1 million acre) Great Black Swamp that was immediately southwest of Lake Erie in Ohio and is now one of the major sources of agricultural phosphorus to western Lake Erie through the Maumee River. Restoring and creating 20,000–40,000ha (50,000–100,000 acres) or 5–10% of the original wetlands in the Black Swamp to optimize nutrient reduction could reduce phosphorus loading by 480–960 metric tons/year or 18–37% percent of the annual phosphorus loading by the Maumee River to Lake Erie. A thorough investigation of this idea will first require physical (multi-year mesocosm experiments), mathematical, and business models to explore biogeochemical, hydrologic and economic feasibility and reliability. If this presents reasonable results, it would be followed by the creation of a small 400–1000ha (1000–2500 acre) demonstration treatment wetland in the Black Swamp region to see if wetland performance will scale up as predicted with the mesocosm and mathematical models. Only after a decade of studies at these smaller scale models and a demonstration levels would the full-scale nutrient retention wetlands be implemented in the former Black Swamp. When completed, these treatment wetlands would cover about 10% of the Great Black Swamp region and could remove, with proper ecological engineering design, 40% or more of the phosphorus load from the Maumee River Basin now going into Lake Erie.","collection-title":"Ecological Engineering of Sustainable Landscapes","container-title":"Ecological Engineering","DOI":"10.1016/j.ecoleng.2017.08.040","ISSN":"0925-8574","journalAbbreviation":"Ecological Engineering","page":"406-413","source":"ScienceDirect","title":"Solving Lake Erie’s harmful algal blooms by restoring the Great Black Swamp in Ohio","volume":"108","author":[{"family":"Mitsch","given":"William J."}],"issued":{"date-parts":[["2017",11,1]]}}}],"schema":"https://github.com/citation-style-language/schema/raw/master/csl-citation.json"} </w:instrText>
      </w:r>
      <w:r w:rsidR="00200EA7">
        <w:fldChar w:fldCharType="separate"/>
      </w:r>
      <w:r w:rsidR="00200EA7" w:rsidRPr="00200EA7">
        <w:rPr>
          <w:rFonts w:ascii="Aptos" w:hAnsi="Aptos"/>
        </w:rPr>
        <w:t>(Mitsch 2017)</w:t>
      </w:r>
      <w:r w:rsidR="00200EA7">
        <w:fldChar w:fldCharType="end"/>
      </w:r>
      <w:r w:rsidR="00844363">
        <w:t xml:space="preserve">. </w:t>
      </w:r>
      <w:r w:rsidR="00200EA7">
        <w:t>Wetland restoration projects</w:t>
      </w:r>
      <w:r w:rsidR="0071683F">
        <w:t xml:space="preserve"> in the region have been sporadic</w:t>
      </w:r>
      <w:r w:rsidR="00200EA7">
        <w:t xml:space="preserve"> </w:t>
      </w:r>
      <w:r w:rsidR="0071683F">
        <w:t>until</w:t>
      </w:r>
      <w:r w:rsidR="005740C2">
        <w:t xml:space="preserve"> the early 2000s </w:t>
      </w:r>
      <w:r w:rsidR="0071683F">
        <w:t>when</w:t>
      </w:r>
      <w:r w:rsidR="00867A4F">
        <w:t xml:space="preserve"> the Toledo Water Crisis spurred interested in restoration in the region </w:t>
      </w:r>
      <w:r w:rsidR="00DC3BEF">
        <w:fldChar w:fldCharType="begin"/>
      </w:r>
      <w:r w:rsidR="00DC3BEF">
        <w:instrText xml:space="preserve"> ADDIN ZOTERO_ITEM CSL_CITATION {"citationID":"tO2Ax6ku","properties":{"unsorted":false,"formattedCitation":"(Michalak et al. 2013, Bingham et al. 2015)","plainCitation":"(Michalak et al. 2013, Bingham et al. 2015)","noteIndex":0},"citationItems":[{"id":6220,"uris":["http://zotero.org/users/5222684/items/S82KMXT9"],"itemData":{"id":6220,"type":"article-journal","abstract":"In 2011, Lake Erie experienced the largest harmful algal bloom in its recorded history, with a peak intensity over three times greater than any previously observed bloom. Here we show that long-term trends in agricultural practices are consistent with increasing phosphorus loading to the western basin of the lake, and that these trends, coupled with meteorological conditions in spring 2011, produced record-breaking nutrient loads. An extended period of weak lake circulation then led to abnormally long residence times that incubated the bloom, and warm and quiescent conditions after bloom onset allowed algae to remain near the top of the water column and prevented flushing of nutrients from the system. We further find that all of these factors are consistent with expected future conditions. If a scientifically guided management plan to mitigate these impacts is not implemented, we can therefore expect this bloom to be a harbinger of future blooms in Lake Erie.","container-title":"Proceedings of the National Academy of Sciences","DOI":"10.1073/pnas.1216006110","issue":"16","page":"6448-6452","publisher":"Proceedings of the National Academy of Sciences","source":"pnas.org (Atypon)","title":"Record-setting algal bloom in Lake Erie caused by agricultural and meteorological trends consistent with expected future conditions","volume":"110","author":[{"family":"Michalak","given":"Anna M."},{"family":"Anderson","given":"Eric J."},{"family":"Beletsky","given":"Dmitry"},{"family":"Boland","given":"Steven"},{"family":"Bosch","given":"Nathan S."},{"family":"Bridgeman","given":"Thomas B."},{"family":"Chaffin","given":"Justin D."},{"family":"Cho","given":"Kyunghwa"},{"family":"Confesor","given":"Rem"},{"family":"Daloğlu","given":"Irem"},{"family":"DePinto","given":"Joseph V."},{"family":"Evans","given":"Mary Anne"},{"family":"Fahnenstiel","given":"Gary L."},{"family":"He","given":"Lingli"},{"family":"Ho","given":"Jeff C."},{"family":"Jenkins","given":"Liza"},{"family":"Johengen","given":"Thomas H."},{"family":"Kuo","given":"Kevin C."},{"family":"LaPorte","given":"Elizabeth"},{"family":"Liu","given":"Xiaojian"},{"family":"McWilliams","given":"Michael R."},{"family":"Moore","given":"Michael R."},{"family":"Posselt","given":"Derek J."},{"family":"Richards","given":"R. Peter"},{"family":"Scavia","given":"Donald"},{"family":"Steiner","given":"Allison L."},{"family":"Verhamme","given":"Ed"},{"family":"Wright","given":"David M."},{"family":"Zagorski","given":"Melissa A."}],"issued":{"date-parts":[["2013",4,16]]}}},{"id":1747,"uris":["http://zotero.org/users/5222684/items/9P3HBE96"],"itemData":{"id":1747,"type":"article-journal","container-title":"Environmental Consulting &amp; Technology, Inc., Report","source":"Google Scholar","title":"Economic benefits of reducing harmful algal blooms in Lake Erie","volume":"66","author":[{"family":"Bingham","given":"M."},{"family":"Sinha","given":"S. K."},{"family":"Lupi","given":"F."}],"issued":{"date-parts":[["2015"]]}}}],"schema":"https://github.com/citation-style-language/schema/raw/master/csl-citation.json"} </w:instrText>
      </w:r>
      <w:r w:rsidR="00DC3BEF">
        <w:fldChar w:fldCharType="separate"/>
      </w:r>
      <w:r w:rsidR="00DC3BEF" w:rsidRPr="00DC3BEF">
        <w:rPr>
          <w:rFonts w:ascii="Aptos" w:hAnsi="Aptos"/>
        </w:rPr>
        <w:t>(Michalak et al. 2013, Bingham et al. 2015)</w:t>
      </w:r>
      <w:r w:rsidR="00DC3BEF">
        <w:fldChar w:fldCharType="end"/>
      </w:r>
      <w:r w:rsidR="00867A4F">
        <w:t xml:space="preserve">, however the H2Ohio Initiative represents a major investment in wetland restoration across the state. </w:t>
      </w:r>
    </w:p>
    <w:p w14:paraId="5C21E66C" w14:textId="0B4DE81F" w:rsidR="002E6747" w:rsidRDefault="005E7061" w:rsidP="00933CF6">
      <w:r>
        <w:tab/>
        <w:t xml:space="preserve">The H2Ohio Wetland Monitoring program </w:t>
      </w:r>
      <w:r w:rsidR="0049292B">
        <w:t xml:space="preserve">collects data across </w:t>
      </w:r>
      <w:r w:rsidR="008C179B">
        <w:t xml:space="preserve">51 </w:t>
      </w:r>
      <w:r w:rsidR="003633B7">
        <w:t xml:space="preserve">total </w:t>
      </w:r>
      <w:r w:rsidR="008C179B">
        <w:t xml:space="preserve">wetland projects, </w:t>
      </w:r>
      <w:r w:rsidR="003633B7">
        <w:t xml:space="preserve">but this analysis focuses on the 24 projects where there was sufficient data to construct </w:t>
      </w:r>
      <w:r w:rsidR="002054B9">
        <w:t xml:space="preserve">a nutrient </w:t>
      </w:r>
      <w:r w:rsidR="00B35457">
        <w:t xml:space="preserve">mass balanced </w:t>
      </w:r>
      <w:r w:rsidR="002054B9">
        <w:t xml:space="preserve">budget </w:t>
      </w:r>
      <w:r w:rsidR="002054B9">
        <w:fldChar w:fldCharType="begin"/>
      </w:r>
      <w:r w:rsidR="0088336B">
        <w:instrText xml:space="preserve"> ADDIN ZOTERO_ITEM CSL_CITATION {"citationID":"yOyXQaAa","properties":{"unsorted":false,"formattedCitation":"(Kinsman-Costello et al. 2024)","plainCitation":"(Kinsman-Costello et al. 2024)","noteIndex":0},"citationItems":[{"id":5169,"uris":["http://zotero.org/users/5222684/items/ID4V44ZU"],"itemData":{"id":5169,"type":"book","publisher-place":"Columbus, OH, USA","title":"H2Ohio Wetland Monitoring Program:Monitoring Framework.","author":[{"family":"Kinsman-Costello","given":"Lauren E."},{"family":"Fussel","given":"Kristen"},{"family":"Winslow","given":"Chris"},{"family":"Kerns","given":"Janice"},{"family":"Schloegel","given":"Olivia"},{"family":"Mendonça","given":"Raissa"},{"family":"Becker","given":"Richard"},{"family":"Bridgeman","given":"Thomas B."},{"family":"Doro","given":"Kennedy"},{"family":"Jacquemin","given":"Stephen J."},{"family":"Johnson","given":"Laura"},{"family":"Liu","given":"Ganming"},{"family":"McCluney","given":"Kevin"},{"family":"Michaels","given":"Helen"},{"family":"Midden","given":"W. Robert"},{"family":"Newell","given":"Silvia E."},{"family":"Back","given":"Michael"},{"family":"Brown","given":"Lauren"},{"family":"Rahman","given":"Ishfaq"},{"family":"Swan","given":"Zach"}],"issued":{"date-parts":[["2024"]]}}}],"schema":"https://github.com/citation-style-language/schema/raw/master/csl-citation.json"} </w:instrText>
      </w:r>
      <w:r w:rsidR="002054B9">
        <w:fldChar w:fldCharType="separate"/>
      </w:r>
      <w:r w:rsidR="0088336B" w:rsidRPr="0088336B">
        <w:rPr>
          <w:rFonts w:ascii="Aptos" w:hAnsi="Aptos"/>
        </w:rPr>
        <w:t>(Kinsman-Costello et al. 2024)</w:t>
      </w:r>
      <w:r w:rsidR="002054B9">
        <w:fldChar w:fldCharType="end"/>
      </w:r>
      <w:r w:rsidR="002054B9">
        <w:t xml:space="preserve">. </w:t>
      </w:r>
      <w:r w:rsidR="0085355F">
        <w:t>Twenty</w:t>
      </w:r>
      <w:r w:rsidR="00CB5750">
        <w:t xml:space="preserve"> of the 24 projects were </w:t>
      </w:r>
      <w:r w:rsidR="00EF15F4">
        <w:t>from</w:t>
      </w:r>
      <w:r w:rsidR="00FA59E5">
        <w:t xml:space="preserve"> drainage areas with &gt;60% agricultural </w:t>
      </w:r>
      <w:r w:rsidR="00EF15F4">
        <w:t>land us</w:t>
      </w:r>
      <w:r w:rsidR="0033336F">
        <w:t xml:space="preserve">e, and the </w:t>
      </w:r>
      <w:r w:rsidR="00DC2F72">
        <w:t>3 of the 4</w:t>
      </w:r>
      <w:r w:rsidR="0033336F">
        <w:t xml:space="preserve"> remaining were</w:t>
      </w:r>
      <w:r w:rsidR="009C6F95">
        <w:t xml:space="preserve"> from drainage areas with</w:t>
      </w:r>
      <w:r w:rsidR="0033336F">
        <w:t xml:space="preserve"> </w:t>
      </w:r>
      <w:r w:rsidR="009F653C">
        <w:t>&gt;70% urban land use</w:t>
      </w:r>
      <w:r w:rsidR="00DC2F72">
        <w:t xml:space="preserve">, while one was from a drainage area evenly split between </w:t>
      </w:r>
      <w:r w:rsidR="0097680E">
        <w:t>forest and agriculture.</w:t>
      </w:r>
      <w:r w:rsidR="00407ACF">
        <w:t xml:space="preserve"> </w:t>
      </w:r>
      <w:r w:rsidR="00B13268">
        <w:t>Wetland structure varied between projects</w:t>
      </w:r>
      <w:r w:rsidR="00EA6E2E">
        <w:t>; 1</w:t>
      </w:r>
      <w:r w:rsidR="00BC4B88">
        <w:t>7</w:t>
      </w:r>
      <w:r w:rsidR="00EA6E2E">
        <w:t xml:space="preserve"> of the 24 projects </w:t>
      </w:r>
      <w:r w:rsidR="001240C3">
        <w:t>received inflow from</w:t>
      </w:r>
      <w:r w:rsidR="00EA6E2E">
        <w:t xml:space="preserve"> rivers, </w:t>
      </w:r>
      <w:r w:rsidR="001240C3">
        <w:t xml:space="preserve">3 had direct coastal connections with lakes, </w:t>
      </w:r>
      <w:r w:rsidR="00274626">
        <w:t xml:space="preserve">and </w:t>
      </w:r>
      <w:r w:rsidR="00A01232">
        <w:t xml:space="preserve">6 had direct tile drain inflows. </w:t>
      </w:r>
    </w:p>
    <w:p w14:paraId="22BD7CC8" w14:textId="77777777" w:rsidR="002E365D" w:rsidRDefault="002E365D" w:rsidP="00933CF6">
      <w:pPr>
        <w:rPr>
          <w:b/>
          <w:bCs/>
          <w:u w:val="single"/>
        </w:rPr>
      </w:pPr>
    </w:p>
    <w:p w14:paraId="306FE631" w14:textId="2DB17AA9" w:rsidR="00616799" w:rsidRDefault="00183CA1" w:rsidP="00933CF6">
      <w:pPr>
        <w:rPr>
          <w:b/>
          <w:bCs/>
          <w:u w:val="single"/>
        </w:rPr>
      </w:pPr>
      <w:r>
        <w:rPr>
          <w:b/>
          <w:bCs/>
          <w:u w:val="single"/>
        </w:rPr>
        <w:t>2.3 Nutrient Budgets</w:t>
      </w:r>
    </w:p>
    <w:p w14:paraId="0BDFA295" w14:textId="69CB73CA" w:rsidR="00183CA1" w:rsidRPr="00FE4FA8" w:rsidRDefault="00183CA1" w:rsidP="00933CF6">
      <w:pPr>
        <w:rPr>
          <w:i/>
          <w:iCs/>
        </w:rPr>
      </w:pPr>
      <w:r w:rsidRPr="00FE4FA8">
        <w:rPr>
          <w:i/>
          <w:iCs/>
        </w:rPr>
        <w:t>2.3.1 Water Volume</w:t>
      </w:r>
    </w:p>
    <w:p w14:paraId="6A2BC575" w14:textId="5EEC17DE" w:rsidR="00933CF6" w:rsidRDefault="009C24A0" w:rsidP="00D36EAB">
      <w:pPr>
        <w:ind w:firstLine="720"/>
      </w:pPr>
      <w:r>
        <w:t xml:space="preserve">Wetland nutrient retention was calculated </w:t>
      </w:r>
      <w:r w:rsidR="003E5237">
        <w:t>using a mass loading approach, where inflowing</w:t>
      </w:r>
      <w:r w:rsidR="0057628A">
        <w:t xml:space="preserve"> and outflowing</w:t>
      </w:r>
      <w:r w:rsidR="003E5237">
        <w:t xml:space="preserve"> volume</w:t>
      </w:r>
      <w:r w:rsidR="0057628A">
        <w:t>s</w:t>
      </w:r>
      <w:r w:rsidR="003E5237">
        <w:t xml:space="preserve"> of water w</w:t>
      </w:r>
      <w:r w:rsidR="0057628A">
        <w:t>ere</w:t>
      </w:r>
      <w:r w:rsidR="003E5237">
        <w:t xml:space="preserve"> multiplied by </w:t>
      </w:r>
      <w:r w:rsidR="0057628A">
        <w:t xml:space="preserve">inflow and outflowing </w:t>
      </w:r>
      <w:r w:rsidR="003E5237">
        <w:t>concentration</w:t>
      </w:r>
      <w:r w:rsidR="0057628A">
        <w:t xml:space="preserve">s for each wetland. </w:t>
      </w:r>
      <w:r w:rsidR="00D9664D">
        <w:t xml:space="preserve">We calculated the nutrient retention </w:t>
      </w:r>
      <w:r w:rsidR="00E03034">
        <w:t xml:space="preserve">for </w:t>
      </w:r>
      <w:r w:rsidR="00E03034" w:rsidRPr="519D435F" w:rsidDel="00713CFE">
        <w:t>2</w:t>
      </w:r>
      <w:r w:rsidR="00E03034">
        <w:t>4</w:t>
      </w:r>
      <w:r w:rsidR="00E03034" w:rsidRPr="519D435F" w:rsidDel="00713CFE">
        <w:t xml:space="preserve"> wetland Projects</w:t>
      </w:r>
      <w:r w:rsidR="00E03034">
        <w:t xml:space="preserve"> from 2021 to 2025</w:t>
      </w:r>
      <w:r w:rsidR="00E03034" w:rsidDel="00713CFE">
        <w:t>,</w:t>
      </w:r>
      <w:r w:rsidR="00E03034" w:rsidRPr="519D435F" w:rsidDel="00713CFE">
        <w:t xml:space="preserve"> </w:t>
      </w:r>
      <w:r w:rsidR="00E03034">
        <w:t>totaling</w:t>
      </w:r>
      <w:r w:rsidR="00E03034" w:rsidRPr="519D435F" w:rsidDel="00713CFE">
        <w:t xml:space="preserve"> 44 year and wetland combinations.</w:t>
      </w:r>
      <w:r w:rsidR="00E03034">
        <w:t xml:space="preserve"> </w:t>
      </w:r>
      <w:r w:rsidR="008D5871">
        <w:t>Each wetla</w:t>
      </w:r>
      <w:r w:rsidR="00DF5BAB">
        <w:t xml:space="preserve">nd Project </w:t>
      </w:r>
      <w:r w:rsidR="003C0D98">
        <w:t xml:space="preserve">has bespoke monitoring to account for </w:t>
      </w:r>
      <w:r w:rsidR="00573CDF">
        <w:t>individuality</w:t>
      </w:r>
      <w:r w:rsidR="003C0D98">
        <w:t xml:space="preserve"> of the wetland and logistical constraints of the sampling crew. Specific details for each </w:t>
      </w:r>
      <w:r w:rsidR="003C0D98">
        <w:lastRenderedPageBreak/>
        <w:t xml:space="preserve">wetland are detailed in the supplemental material (SI: Nutrient budget methods). </w:t>
      </w:r>
      <w:r w:rsidR="000B5113">
        <w:t xml:space="preserve">All projects </w:t>
      </w:r>
      <w:r w:rsidR="008A50D5">
        <w:t xml:space="preserve">collected continuous water inflow volume through either </w:t>
      </w:r>
      <w:r w:rsidR="008E2993">
        <w:t xml:space="preserve">direct measurement </w:t>
      </w:r>
      <w:r w:rsidR="0050253D">
        <w:t>of inflows, stage storage models, or</w:t>
      </w:r>
      <w:r w:rsidR="00C37827">
        <w:t xml:space="preserve"> estimation</w:t>
      </w:r>
      <w:r w:rsidR="00BD7066">
        <w:t xml:space="preserve"> of flow based on runoff and drainage area of the wetland parcel</w:t>
      </w:r>
      <w:r w:rsidR="00573CDF">
        <w:t xml:space="preserve"> </w:t>
      </w:r>
      <w:r w:rsidR="00106EDB">
        <w:fldChar w:fldCharType="begin"/>
      </w:r>
      <w:r w:rsidR="00106EDB">
        <w:instrText xml:space="preserve"> ADDIN ZOTERO_ITEM CSL_CITATION {"citationID":"PontaeXm","properties":{"unsorted":false,"formattedCitation":"(USDA-NRCS 2004)","plainCitation":"(USDA-NRCS 2004)","noteIndex":0},"citationItems":[{"id":5079,"uris":["http://zotero.org/users/5222684/items/H7GZIS4Z"],"itemData":{"id":5079,"type":"chapter","container-title":"National Engineering Handbook, Title 210 Engineering","publisher":"United States Department of Agriculture Natural Resources Conservation Service","title":"Estimation of Direct Runoff from Storm Rainfall","author":[{"family":"USDA-NRCS","given":""}],"issued":{"date-parts":[["2004"]]}}}],"schema":"https://github.com/citation-style-language/schema/raw/master/csl-citation.json"} </w:instrText>
      </w:r>
      <w:r w:rsidR="00106EDB">
        <w:fldChar w:fldCharType="separate"/>
      </w:r>
      <w:r w:rsidR="00106EDB" w:rsidRPr="00106EDB">
        <w:rPr>
          <w:rFonts w:ascii="Aptos" w:hAnsi="Aptos"/>
        </w:rPr>
        <w:t>(USDA-NRCS 2004)</w:t>
      </w:r>
      <w:r w:rsidR="00106EDB">
        <w:fldChar w:fldCharType="end"/>
      </w:r>
      <w:r w:rsidR="00C37827">
        <w:t xml:space="preserve">. </w:t>
      </w:r>
      <w:r w:rsidR="00D44E03">
        <w:t xml:space="preserve">For all </w:t>
      </w:r>
      <w:r w:rsidR="003B5768">
        <w:t xml:space="preserve">24 wetland </w:t>
      </w:r>
      <w:r w:rsidR="00D44E03">
        <w:t xml:space="preserve">projects inflow </w:t>
      </w:r>
      <w:r w:rsidR="00074DF4">
        <w:t>and/</w:t>
      </w:r>
      <w:r w:rsidR="00D44E03">
        <w:t xml:space="preserve">or outflow </w:t>
      </w:r>
      <w:r w:rsidR="00A939BF">
        <w:t xml:space="preserve">volume </w:t>
      </w:r>
      <w:r w:rsidR="00D44E03">
        <w:t xml:space="preserve">was measured </w:t>
      </w:r>
      <w:r w:rsidR="00A939BF">
        <w:t xml:space="preserve">using one of </w:t>
      </w:r>
      <w:r w:rsidR="00DE7376">
        <w:t>five</w:t>
      </w:r>
      <w:r w:rsidR="00A939BF">
        <w:t xml:space="preserve"> methods: pumping rates (3 projects), </w:t>
      </w:r>
      <w:r w:rsidR="003B5768">
        <w:t xml:space="preserve">stage-storage models (13 projects), </w:t>
      </w:r>
      <w:r w:rsidR="00822773">
        <w:t xml:space="preserve">watershed weighting using USGS discharge (1 project), or </w:t>
      </w:r>
      <w:r w:rsidR="00AA1C19">
        <w:t>water depth and</w:t>
      </w:r>
      <w:r w:rsidR="00DD3397">
        <w:t xml:space="preserve"> weir equations (</w:t>
      </w:r>
      <w:r w:rsidR="00DE7376">
        <w:t>7 projects).</w:t>
      </w:r>
      <w:r w:rsidR="00711E53">
        <w:t xml:space="preserve"> </w:t>
      </w:r>
      <w:r w:rsidR="00D36EAB">
        <w:t>For all projects either inflow or outflow was directly measured, but f</w:t>
      </w:r>
      <w:r w:rsidR="00711E53">
        <w:t>or 16 of the 24 total projects evapotranspiration was used to</w:t>
      </w:r>
      <w:r w:rsidR="00D36EAB">
        <w:t xml:space="preserve"> estimate the unmeasured value. </w:t>
      </w:r>
    </w:p>
    <w:p w14:paraId="61B842CC" w14:textId="360E3C18" w:rsidR="00147A9F" w:rsidRDefault="00147A9F" w:rsidP="00D36EAB">
      <w:pPr>
        <w:ind w:firstLine="720"/>
      </w:pPr>
      <w:r w:rsidRPr="2B2CDC4F">
        <w:t>Reference evapotranspiration (ET</w:t>
      </w:r>
      <w:r w:rsidRPr="000A7381">
        <w:rPr>
          <w:vertAlign w:val="subscript"/>
        </w:rPr>
        <w:t>0</w:t>
      </w:r>
      <w:r w:rsidRPr="2B2CDC4F">
        <w:t xml:space="preserve">) </w:t>
      </w:r>
      <w:r w:rsidR="00FC1787">
        <w:t xml:space="preserve">across projects </w:t>
      </w:r>
      <w:r w:rsidRPr="2B2CDC4F">
        <w:t>was calculated from meteorological data using the Penman-Monteith FAO-56 method (Allen et al., 1998</w:t>
      </w:r>
      <w:r w:rsidR="00822F41">
        <w:t>)</w:t>
      </w:r>
      <w:r w:rsidRPr="2B2CDC4F">
        <w:t>. Daily meteorological inputs, including minimum and maximum air temperature, minimum and maximum relative humidity, and wind speed at 2 meters, were obtained from the nearest Ohio station of the Automated Surface Observing System (ASOS) network via the Iowa Environmental Mesonet (IEM). Where wind speed was only available at 10 meters, it was adjusted to the 2-meter reference height using the logarithmic wind profile equation</w:t>
      </w:r>
      <w:r w:rsidR="00862349">
        <w:t xml:space="preserve"> </w:t>
      </w:r>
      <w:r w:rsidR="00862349">
        <w:fldChar w:fldCharType="begin"/>
      </w:r>
      <w:r w:rsidR="00862349">
        <w:instrText xml:space="preserve"> ADDIN ZOTERO_ITEM CSL_CITATION {"citationID":"RmHNuS9d","properties":{"unsorted":false,"formattedCitation":"(Allen et al. 1998)","plainCitation":"(Allen et al. 1998)","noteIndex":0},"citationItems":[{"id":6216,"uris":["http://zotero.org/users/5222684/items/HWEHAR4L"],"itemData":{"id":6216,"type":"article-journal","container-title":"Fao, rome","issue":"9","page":"D05109","source":"Google Scholar","title":"Crop evapotranspiration-Guidelines for computing crop water requirements-FAO Irrigation and drainage paper 56","volume":"300","author":[{"family":"Allen","given":"Richard G."},{"family":"Pereira","given":"Luis S."},{"family":"Raes","given":"Dirk"},{"family":"Smith","given":"Martin"}],"issued":{"date-parts":[["1998"]]}}}],"schema":"https://github.com/citation-style-language/schema/raw/master/csl-citation.json"} </w:instrText>
      </w:r>
      <w:r w:rsidR="00862349">
        <w:fldChar w:fldCharType="separate"/>
      </w:r>
      <w:r w:rsidR="00862349" w:rsidRPr="00862349">
        <w:rPr>
          <w:rFonts w:ascii="Aptos" w:hAnsi="Aptos"/>
        </w:rPr>
        <w:t>(Allen et al. 1998)</w:t>
      </w:r>
      <w:r w:rsidR="00862349">
        <w:fldChar w:fldCharType="end"/>
      </w:r>
      <w:r w:rsidRPr="2B2CDC4F">
        <w:t xml:space="preserve">. Atmospheric pressure was either obtained directly from ASOS station records or estimated from the </w:t>
      </w:r>
      <w:r>
        <w:t>elevation above sea level</w:t>
      </w:r>
      <w:r w:rsidRPr="2B2CDC4F">
        <w:t xml:space="preserve"> </w:t>
      </w:r>
      <w:r>
        <w:t>of</w:t>
      </w:r>
      <w:r w:rsidRPr="2B2CDC4F">
        <w:t xml:space="preserve"> the wetland project using the barometric formula</w:t>
      </w:r>
      <w:r>
        <w:t>:</w:t>
      </w:r>
    </w:p>
    <w:p w14:paraId="74E77CE0" w14:textId="77777777" w:rsidR="00147A9F" w:rsidRDefault="00147A9F" w:rsidP="00147A9F">
      <w:pPr>
        <w:jc w:val="center"/>
      </w:pPr>
      <m:oMathPara>
        <m:oMath>
          <m:r>
            <w:rPr>
              <w:rFonts w:ascii="Cambria Math" w:hAnsi="Cambria Math"/>
              <w:lang w:val=""/>
            </w:rPr>
            <m:t>P=</m:t>
          </m:r>
          <m:sSub>
            <m:sSubPr>
              <m:ctrlPr>
                <w:rPr>
                  <w:rFonts w:ascii="Cambria Math" w:hAnsi="Cambria Math"/>
                  <w:i/>
                  <w:lang w:val=""/>
                </w:rPr>
              </m:ctrlPr>
            </m:sSubPr>
            <m:e>
              <m:r>
                <w:rPr>
                  <w:rFonts w:ascii="Cambria Math" w:hAnsi="Cambria Math"/>
                  <w:lang w:val=""/>
                </w:rPr>
                <m:t>P</m:t>
              </m:r>
            </m:e>
            <m:sub>
              <m:r>
                <w:rPr>
                  <w:rFonts w:ascii="Cambria Math" w:hAnsi="Cambria Math"/>
                  <w:lang w:val=""/>
                </w:rPr>
                <m:t>0</m:t>
              </m:r>
            </m:sub>
          </m:sSub>
          <m:r>
            <w:rPr>
              <w:rFonts w:ascii="Cambria Math" w:hAnsi="Cambria Math"/>
              <w:lang w:val=""/>
            </w:rPr>
            <m:t>⋅</m:t>
          </m:r>
          <m:sSup>
            <m:sSupPr>
              <m:ctrlPr>
                <w:rPr>
                  <w:rFonts w:ascii="Cambria Math" w:hAnsi="Cambria Math"/>
                  <w:i/>
                  <w:lang w:val=""/>
                </w:rPr>
              </m:ctrlPr>
            </m:sSupPr>
            <m:e>
              <m:r>
                <w:rPr>
                  <w:rFonts w:ascii="Cambria Math" w:hAnsi="Cambria Math"/>
                  <w:lang w:val=""/>
                </w:rPr>
                <m:t>(</m:t>
              </m:r>
              <m:f>
                <m:fPr>
                  <m:ctrlPr>
                    <w:rPr>
                      <w:rFonts w:ascii="Cambria Math" w:hAnsi="Cambria Math"/>
                      <w:i/>
                      <w:lang w:val=""/>
                    </w:rPr>
                  </m:ctrlPr>
                </m:fPr>
                <m:num>
                  <m:sSub>
                    <m:sSubPr>
                      <m:ctrlPr>
                        <w:rPr>
                          <w:rFonts w:ascii="Cambria Math" w:hAnsi="Cambria Math"/>
                          <w:i/>
                          <w:lang w:val=""/>
                        </w:rPr>
                      </m:ctrlPr>
                    </m:sSubPr>
                    <m:e>
                      <m:r>
                        <w:rPr>
                          <w:rFonts w:ascii="Cambria Math" w:hAnsi="Cambria Math"/>
                          <w:lang w:val=""/>
                        </w:rPr>
                        <m:t>T</m:t>
                      </m:r>
                    </m:e>
                    <m:sub>
                      <m:r>
                        <w:rPr>
                          <w:rFonts w:ascii="Cambria Math" w:hAnsi="Cambria Math"/>
                          <w:lang w:val=""/>
                        </w:rPr>
                        <m:t>0</m:t>
                      </m:r>
                    </m:sub>
                  </m:sSub>
                  <m:r>
                    <w:rPr>
                      <w:rFonts w:ascii="Cambria Math" w:hAnsi="Cambria Math"/>
                      <w:lang w:val=""/>
                    </w:rPr>
                    <m:t>-L⋅h</m:t>
                  </m:r>
                </m:num>
                <m:den>
                  <m:sSub>
                    <m:sSubPr>
                      <m:ctrlPr>
                        <w:rPr>
                          <w:rFonts w:ascii="Cambria Math" w:hAnsi="Cambria Math"/>
                          <w:i/>
                          <w:lang w:val=""/>
                        </w:rPr>
                      </m:ctrlPr>
                    </m:sSubPr>
                    <m:e>
                      <m:r>
                        <w:rPr>
                          <w:rFonts w:ascii="Cambria Math" w:hAnsi="Cambria Math"/>
                          <w:lang w:val=""/>
                        </w:rPr>
                        <m:t>T</m:t>
                      </m:r>
                    </m:e>
                    <m:sub>
                      <m:r>
                        <w:rPr>
                          <w:rFonts w:ascii="Cambria Math" w:hAnsi="Cambria Math"/>
                          <w:lang w:val=""/>
                        </w:rPr>
                        <m:t>0</m:t>
                      </m:r>
                    </m:sub>
                  </m:sSub>
                </m:den>
              </m:f>
              <m:r>
                <w:rPr>
                  <w:rFonts w:ascii="Cambria Math" w:hAnsi="Cambria Math"/>
                  <w:lang w:val=""/>
                </w:rPr>
                <m:t>)</m:t>
              </m:r>
            </m:e>
            <m:sup>
              <m:f>
                <m:fPr>
                  <m:ctrlPr>
                    <w:rPr>
                      <w:rFonts w:ascii="Cambria Math" w:hAnsi="Cambria Math"/>
                      <w:i/>
                      <w:lang w:val=""/>
                    </w:rPr>
                  </m:ctrlPr>
                </m:fPr>
                <m:num>
                  <m:r>
                    <w:rPr>
                      <w:rFonts w:ascii="Cambria Math" w:hAnsi="Cambria Math"/>
                      <w:lang w:val=""/>
                    </w:rPr>
                    <m:t>g</m:t>
                  </m:r>
                </m:num>
                <m:den>
                  <m:r>
                    <w:rPr>
                      <w:rFonts w:ascii="Cambria Math" w:hAnsi="Cambria Math"/>
                      <w:lang w:val=""/>
                    </w:rPr>
                    <m:t>R⋅L</m:t>
                  </m:r>
                </m:den>
              </m:f>
            </m:sup>
          </m:sSup>
        </m:oMath>
      </m:oMathPara>
    </w:p>
    <w:p w14:paraId="6FAE855F" w14:textId="3C22E824" w:rsidR="00147A9F" w:rsidRDefault="00147A9F" w:rsidP="00147A9F">
      <w:r>
        <w:t xml:space="preserve">where </w:t>
      </w:r>
      <m:oMath>
        <m:r>
          <w:rPr>
            <w:rFonts w:ascii="Cambria Math" w:hAnsi="Cambria Math"/>
          </w:rPr>
          <m:t>P</m:t>
        </m:r>
      </m:oMath>
      <w:r>
        <w:t xml:space="preserve"> is the atmospheric pressure (kPa) at </w:t>
      </w:r>
      <m:oMath>
        <m:r>
          <w:rPr>
            <w:rFonts w:ascii="Cambria Math" w:hAnsi="Cambria Math"/>
          </w:rPr>
          <m:t>h</m:t>
        </m:r>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are respectively the reference pressure and temperature at sea level, </w:t>
      </w:r>
      <m:oMath>
        <m:r>
          <w:rPr>
            <w:rFonts w:ascii="Cambria Math" w:hAnsi="Cambria Math"/>
          </w:rPr>
          <m:t>L</m:t>
        </m:r>
      </m:oMath>
      <w:r>
        <w:t xml:space="preserve"> is the temperature lapse rate in the troposphere, </w:t>
      </w:r>
      <m:oMath>
        <m:r>
          <w:rPr>
            <w:rFonts w:ascii="Cambria Math" w:hAnsi="Cambria Math"/>
          </w:rPr>
          <m:t>h</m:t>
        </m:r>
      </m:oMath>
      <w:r>
        <w:t xml:space="preserve"> is elevation above sea level (m), </w:t>
      </w:r>
      <m:oMath>
        <m:r>
          <w:rPr>
            <w:rFonts w:ascii="Cambria Math" w:hAnsi="Cambria Math"/>
          </w:rPr>
          <m:t>g</m:t>
        </m:r>
      </m:oMath>
      <w:r>
        <w:t xml:space="preserve"> is the gravitational acceleration, and </w:t>
      </w:r>
      <m:oMath>
        <m:r>
          <w:rPr>
            <w:rFonts w:ascii="Cambria Math" w:hAnsi="Cambria Math"/>
          </w:rPr>
          <m:t>R</m:t>
        </m:r>
      </m:oMath>
      <w:r>
        <w:t xml:space="preserve"> is the universal gas constant for air. </w:t>
      </w:r>
      <w:r w:rsidRPr="2B2CDC4F">
        <w:t>Daily solar radiation (MJ/m²/day) was sourced from the National Aeronautics and Space Administration (NASA) Langley Research Center's Prediction Of Worldwide Energy Resources (</w:t>
      </w:r>
      <w:hyperlink r:id="rId14">
        <w:r w:rsidRPr="2B2CDC4F">
          <w:rPr>
            <w:rStyle w:val="Hyperlink"/>
          </w:rPr>
          <w:t>POWER</w:t>
        </w:r>
      </w:hyperlink>
      <w:r w:rsidRPr="2B2CDC4F">
        <w:t xml:space="preserve">) database using the wetland project coordinates and the </w:t>
      </w:r>
      <w:proofErr w:type="spellStart"/>
      <w:r w:rsidRPr="00765718">
        <w:rPr>
          <w:rFonts w:ascii="Courier New" w:hAnsi="Courier New" w:cs="Courier New"/>
        </w:rPr>
        <w:t>nasapower</w:t>
      </w:r>
      <w:proofErr w:type="spellEnd"/>
      <w:r w:rsidRPr="2B2CDC4F">
        <w:t xml:space="preserve"> R package</w:t>
      </w:r>
      <w:r w:rsidR="000217F4">
        <w:t xml:space="preserve"> </w:t>
      </w:r>
      <w:r w:rsidR="000217F4">
        <w:fldChar w:fldCharType="begin"/>
      </w:r>
      <w:r w:rsidR="000217F4">
        <w:instrText xml:space="preserve"> ADDIN ZOTERO_ITEM CSL_CITATION {"citationID":"XaJTZUwY","properties":{"unsorted":false,"formattedCitation":"(Sparks 2018)","plainCitation":"(Sparks 2018)","noteIndex":0},"citationItems":[{"id":6214,"uris":["http://zotero.org/users/5222684/items/IYD8QERH"],"itemData":{"id":6214,"type":"article-journal","container-title":"Journal of Open Source Software","DOI":"10.21105/joss.01035","ISSN":"2475-9066","issue":"30","journalAbbreviation":"JOSS","license":"http://creativecommons.org/licenses/by/4.0/","page":"1035","source":"DOI.org (Crossref)","title":"nasapower: A NASA POWER Global Meteorology, Surface Solar Energy and Climatology Data Client for R","title-short":"nasapower","volume":"3","author":[{"family":"Sparks","given":"Adam"}],"issued":{"date-parts":[["2018",10,19]]}}}],"schema":"https://github.com/citation-style-language/schema/raw/master/csl-citation.json"} </w:instrText>
      </w:r>
      <w:r w:rsidR="000217F4">
        <w:fldChar w:fldCharType="separate"/>
      </w:r>
      <w:r w:rsidR="000217F4" w:rsidRPr="000217F4">
        <w:rPr>
          <w:rFonts w:ascii="Aptos" w:hAnsi="Aptos"/>
        </w:rPr>
        <w:t>(Sparks 2018)</w:t>
      </w:r>
      <w:r w:rsidR="000217F4">
        <w:fldChar w:fldCharType="end"/>
      </w:r>
      <w:r>
        <w:t>.</w:t>
      </w:r>
    </w:p>
    <w:p w14:paraId="153F9236" w14:textId="2F1031A8" w:rsidR="00147A9F" w:rsidRDefault="00147A9F" w:rsidP="00D60EB6">
      <w:pPr>
        <w:ind w:firstLine="720"/>
      </w:pPr>
      <w:r w:rsidRPr="13E6B12C">
        <w:t>ET</w:t>
      </w:r>
      <w:r w:rsidRPr="009036B4">
        <w:rPr>
          <w:vertAlign w:val="subscript"/>
        </w:rPr>
        <w:t>0</w:t>
      </w:r>
      <w:r w:rsidRPr="13E6B12C">
        <w:t xml:space="preserve"> was computed following the Penman-Monteith FAO-56 equation, which combines a radiation term (</w:t>
      </w:r>
      <w:proofErr w:type="spellStart"/>
      <w:r w:rsidRPr="009036B4">
        <w:rPr>
          <w:i/>
          <w:iCs/>
        </w:rPr>
        <w:t>r</w:t>
      </w:r>
      <w:r w:rsidRPr="009036B4">
        <w:rPr>
          <w:i/>
          <w:iCs/>
          <w:vertAlign w:val="subscript"/>
        </w:rPr>
        <w:t>s</w:t>
      </w:r>
      <w:proofErr w:type="spellEnd"/>
      <w:r w:rsidRPr="13E6B12C">
        <w:t>) and an aerodynamic term (</w:t>
      </w:r>
      <w:proofErr w:type="spellStart"/>
      <w:r w:rsidRPr="009036B4">
        <w:rPr>
          <w:i/>
          <w:iCs/>
        </w:rPr>
        <w:t>r</w:t>
      </w:r>
      <w:r w:rsidRPr="009036B4">
        <w:rPr>
          <w:i/>
          <w:iCs/>
          <w:vertAlign w:val="subscript"/>
        </w:rPr>
        <w:t>a</w:t>
      </w:r>
      <w:proofErr w:type="spellEnd"/>
      <w:r w:rsidRPr="13E6B12C">
        <w:t>) to estimate the evaporative demand of the atmosphere over a hypothetical reference crop (Allen et al., 1998). Key intermediate variables (e.g., slope of the saturation vapor pressure curve, the psychrometric constant, mean saturation and actual vapor pressure) were calculated from the daily meteorological inputs and project-specific parameters (latitude, elevation). Soil heat flux density (</w:t>
      </w:r>
      <m:oMath>
        <m:r>
          <w:rPr>
            <w:rFonts w:ascii="Cambria Math" w:hAnsi="Cambria Math"/>
          </w:rPr>
          <m:t>G</m:t>
        </m:r>
      </m:oMath>
      <w:r w:rsidRPr="13E6B12C">
        <w:t xml:space="preserve">) was assumed negligible for daily time-step calculations, consistent with FAO-56 guidance. </w:t>
      </w:r>
    </w:p>
    <w:p w14:paraId="7E50CE52" w14:textId="05986D16" w:rsidR="007E6815" w:rsidRPr="00FE4FA8" w:rsidRDefault="00183CA1" w:rsidP="00933CF6">
      <w:pPr>
        <w:rPr>
          <w:i/>
          <w:iCs/>
        </w:rPr>
      </w:pPr>
      <w:r w:rsidRPr="00FE4FA8">
        <w:rPr>
          <w:i/>
          <w:iCs/>
        </w:rPr>
        <w:t>2.3.2 Nutrient Concentrations</w:t>
      </w:r>
    </w:p>
    <w:p w14:paraId="119B5200" w14:textId="5995CC07" w:rsidR="00183CA1" w:rsidRDefault="000864A8" w:rsidP="00D60EB6">
      <w:pPr>
        <w:ind w:firstLine="720"/>
      </w:pPr>
      <w:r>
        <w:t>Nutrient concentration</w:t>
      </w:r>
      <w:r w:rsidR="00BE1959">
        <w:t>s</w:t>
      </w:r>
      <w:r w:rsidR="00EF4591">
        <w:t xml:space="preserve"> at the inflow and outflow of each project</w:t>
      </w:r>
      <w:r>
        <w:t xml:space="preserve"> were sampled at least monthly for all Projects except </w:t>
      </w:r>
      <w:r w:rsidR="00681037">
        <w:t xml:space="preserve">for </w:t>
      </w:r>
      <w:r w:rsidR="00F373E7">
        <w:t>5</w:t>
      </w:r>
      <w:r w:rsidR="00681037">
        <w:t xml:space="preserve"> that only received or </w:t>
      </w:r>
      <w:r w:rsidR="00EF4591">
        <w:t>released water through water control structures</w:t>
      </w:r>
      <w:r w:rsidR="00F373E7">
        <w:t xml:space="preserve"> or during storm events</w:t>
      </w:r>
      <w:r w:rsidR="00EF4591">
        <w:t xml:space="preserve">; nutrient concentrations for those </w:t>
      </w:r>
      <w:r w:rsidR="00F373E7">
        <w:t>5</w:t>
      </w:r>
      <w:r w:rsidR="00EF4591">
        <w:t xml:space="preserve"> projects were sampled </w:t>
      </w:r>
      <w:r w:rsidR="00EC12CC">
        <w:t xml:space="preserve">only when water was </w:t>
      </w:r>
      <w:r w:rsidR="00F373E7">
        <w:t>moving</w:t>
      </w:r>
      <w:r w:rsidR="00EC12CC">
        <w:t xml:space="preserve"> into or out of the wetland. </w:t>
      </w:r>
      <w:r w:rsidR="001C42A4">
        <w:t xml:space="preserve">Of the other 19 </w:t>
      </w:r>
      <w:r w:rsidR="00CE1DFE">
        <w:t>wetlands,</w:t>
      </w:r>
      <w:r w:rsidR="001C42A4">
        <w:t xml:space="preserve"> 12 were sampled monthly</w:t>
      </w:r>
      <w:r w:rsidR="00CE1DFE">
        <w:t xml:space="preserve"> and 7 were sampled every other week. </w:t>
      </w:r>
      <w:r w:rsidR="00E01CF1">
        <w:t>The 1</w:t>
      </w:r>
      <w:r w:rsidR="007A5BBB">
        <w:t>8</w:t>
      </w:r>
      <w:r w:rsidR="00E01CF1">
        <w:t xml:space="preserve"> wetlands</w:t>
      </w:r>
      <w:r w:rsidR="000515A3">
        <w:t xml:space="preserve"> that received flow during storm </w:t>
      </w:r>
      <w:r w:rsidR="00E87A11">
        <w:t xml:space="preserve">events </w:t>
      </w:r>
      <w:r w:rsidR="003E4C95">
        <w:t>all had at least 1 storm event sampled</w:t>
      </w:r>
      <w:r w:rsidR="008121A6">
        <w:t xml:space="preserve">, and there </w:t>
      </w:r>
      <w:r w:rsidR="00B93DF4">
        <w:t>was</w:t>
      </w:r>
      <w:r w:rsidR="008121A6">
        <w:t xml:space="preserve"> a mean of 4 storm samples </w:t>
      </w:r>
      <w:r w:rsidR="00B56373">
        <w:t>per</w:t>
      </w:r>
      <w:r w:rsidR="008121A6">
        <w:t xml:space="preserve"> </w:t>
      </w:r>
      <w:proofErr w:type="gramStart"/>
      <w:r w:rsidR="008121A6">
        <w:t>projects</w:t>
      </w:r>
      <w:proofErr w:type="gramEnd"/>
      <w:r w:rsidR="008121A6">
        <w:t xml:space="preserve">. </w:t>
      </w:r>
      <w:r w:rsidR="007A5BBB">
        <w:t xml:space="preserve">The </w:t>
      </w:r>
      <w:r w:rsidR="000F5DF5">
        <w:t>remaining 6 wetlands had inflows only through pump</w:t>
      </w:r>
      <w:r w:rsidR="004206FA">
        <w:t xml:space="preserve">s or water control structures. </w:t>
      </w:r>
    </w:p>
    <w:p w14:paraId="0EF7A5F9" w14:textId="45979A5B" w:rsidR="00850344" w:rsidRDefault="00850344" w:rsidP="00933CF6">
      <w:pPr>
        <w:rPr>
          <w:i/>
          <w:iCs/>
        </w:rPr>
      </w:pPr>
      <w:r w:rsidRPr="00850344">
        <w:rPr>
          <w:i/>
          <w:iCs/>
        </w:rPr>
        <w:lastRenderedPageBreak/>
        <w:t>2.3.3 Runoff Prevention</w:t>
      </w:r>
    </w:p>
    <w:p w14:paraId="19525AFB" w14:textId="2A99D4A0" w:rsidR="00850344" w:rsidRDefault="00D60EB6" w:rsidP="00933CF6">
      <w:r>
        <w:tab/>
        <w:t xml:space="preserve">The processing of new nutrients is not the only way that wetlands can contribute to nutrient reductions across the watershed. </w:t>
      </w:r>
      <w:r w:rsidR="0054174E">
        <w:t>To</w:t>
      </w:r>
      <w:r w:rsidR="00124E77">
        <w:t xml:space="preserve"> scale up our numbers we need to account for both the active treatment of nutrients by wetlands as well as </w:t>
      </w:r>
      <w:r w:rsidR="0054174E">
        <w:t xml:space="preserve">how wetland creation alters areas that were formerly agriculture. </w:t>
      </w:r>
      <w:r>
        <w:t xml:space="preserve">To account for </w:t>
      </w:r>
      <w:r w:rsidR="005D277D">
        <w:t>the effects of replacing agricultural land with wetlands</w:t>
      </w:r>
      <w:r w:rsidR="00C5714A">
        <w:t xml:space="preserve">, </w:t>
      </w:r>
      <w:r w:rsidR="003F6125">
        <w:t xml:space="preserve">including reduced fertilizer application </w:t>
      </w:r>
      <w:r w:rsidR="00864E53">
        <w:t xml:space="preserve">and runoff, we </w:t>
      </w:r>
      <w:r w:rsidR="00E12F36">
        <w:t xml:space="preserve">assume that wetlands are no longer being fertilized and store water that would previously have runoff the landscape due to the disruption of tile drains. </w:t>
      </w:r>
      <w:r w:rsidR="00A7055D">
        <w:t xml:space="preserve">We do not have pre-construction data on runoff for agricultural fields that were converted to wetlands so we use </w:t>
      </w:r>
      <w:r w:rsidR="002D206E">
        <w:t xml:space="preserve">data from a range of Northwest Ohio wetlands from the USDA-NRCS Edge of Field and applied the mean annual runoff </w:t>
      </w:r>
      <w:r w:rsidR="00154721">
        <w:t xml:space="preserve">to the acre of converted agriculture at H2Ohio wetlands </w:t>
      </w:r>
      <w:r w:rsidR="00154721">
        <w:fldChar w:fldCharType="begin"/>
      </w:r>
      <w:r w:rsidR="00154721">
        <w:instrText xml:space="preserve"> ADDIN ZOTERO_ITEM CSL_CITATION {"citationID":"isQ5Ck6q","properties":{"unsorted":false,"formattedCitation":"(Hanrahan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00154721">
        <w:fldChar w:fldCharType="separate"/>
      </w:r>
      <w:r w:rsidR="00154721" w:rsidRPr="00154721">
        <w:rPr>
          <w:rFonts w:ascii="Aptos" w:hAnsi="Aptos"/>
        </w:rPr>
        <w:t>(Hanrahan et al. 2019)</w:t>
      </w:r>
      <w:r w:rsidR="00154721">
        <w:fldChar w:fldCharType="end"/>
      </w:r>
      <w:r w:rsidR="00154721">
        <w:t xml:space="preserve">. </w:t>
      </w:r>
    </w:p>
    <w:p w14:paraId="5B687FC9" w14:textId="130EDBDF" w:rsidR="003240E1" w:rsidRDefault="003240E1" w:rsidP="003240E1">
      <w:pPr>
        <w:rPr>
          <w:b/>
          <w:bCs/>
          <w:u w:val="single"/>
        </w:rPr>
      </w:pPr>
      <w:r>
        <w:rPr>
          <w:b/>
          <w:bCs/>
          <w:u w:val="single"/>
        </w:rPr>
        <w:t>2.4 Statistical Analysis</w:t>
      </w:r>
    </w:p>
    <w:p w14:paraId="013EFF2E" w14:textId="7EA91A84" w:rsidR="00462FB4" w:rsidRDefault="00462FB4" w:rsidP="00D2505B">
      <w:pPr>
        <w:pStyle w:val="ListParagraph"/>
        <w:numPr>
          <w:ilvl w:val="0"/>
          <w:numId w:val="12"/>
        </w:numPr>
      </w:pPr>
      <w:r>
        <w:t>Linear models</w:t>
      </w:r>
    </w:p>
    <w:p w14:paraId="44AA7C1F" w14:textId="7D27F716" w:rsidR="003240E1" w:rsidRDefault="00462FB4" w:rsidP="00D2505B">
      <w:pPr>
        <w:pStyle w:val="ListParagraph"/>
        <w:numPr>
          <w:ilvl w:val="0"/>
          <w:numId w:val="12"/>
        </w:numPr>
      </w:pPr>
      <w:r>
        <w:t>LOO analysis</w:t>
      </w:r>
    </w:p>
    <w:p w14:paraId="2B23A975" w14:textId="07C7201F" w:rsidR="00462FB4" w:rsidRDefault="00462FB4" w:rsidP="00D2505B">
      <w:pPr>
        <w:pStyle w:val="ListParagraph"/>
        <w:numPr>
          <w:ilvl w:val="0"/>
          <w:numId w:val="12"/>
        </w:numPr>
      </w:pPr>
      <w:r>
        <w:t>Logistic Regression</w:t>
      </w:r>
    </w:p>
    <w:p w14:paraId="158ADF22" w14:textId="77777777" w:rsidR="003115EA" w:rsidRDefault="003115EA" w:rsidP="00933CF6"/>
    <w:p w14:paraId="6A14C2C9" w14:textId="77777777" w:rsidR="003115EA" w:rsidRDefault="003115EA" w:rsidP="00933CF6"/>
    <w:p w14:paraId="0A430956" w14:textId="6AD5B5CD" w:rsidR="003115EA" w:rsidRPr="00E10E35" w:rsidRDefault="003115EA" w:rsidP="003115EA">
      <w:pPr>
        <w:rPr>
          <w:b/>
          <w:bCs/>
        </w:rPr>
      </w:pPr>
      <w:r>
        <w:rPr>
          <w:b/>
          <w:bCs/>
        </w:rPr>
        <w:t>3</w:t>
      </w:r>
      <w:r w:rsidRPr="00E10E35">
        <w:rPr>
          <w:b/>
          <w:bCs/>
        </w:rPr>
        <w:t xml:space="preserve">. </w:t>
      </w:r>
      <w:r w:rsidR="00E92BE2">
        <w:rPr>
          <w:b/>
          <w:bCs/>
        </w:rPr>
        <w:t>Results</w:t>
      </w:r>
      <w:r w:rsidRPr="00E10E35">
        <w:rPr>
          <w:b/>
          <w:bCs/>
        </w:rPr>
        <w:t xml:space="preserve">: </w:t>
      </w:r>
    </w:p>
    <w:p w14:paraId="5C184B83" w14:textId="3795D7F4" w:rsidR="00847646" w:rsidRPr="005C4211" w:rsidRDefault="00847646" w:rsidP="00847646">
      <w:pPr>
        <w:rPr>
          <w:i/>
          <w:iCs/>
        </w:rPr>
      </w:pPr>
      <w:r w:rsidRPr="005C4211">
        <w:rPr>
          <w:i/>
          <w:iCs/>
        </w:rPr>
        <w:t>3.1. Nutrient Retention</w:t>
      </w:r>
    </w:p>
    <w:p w14:paraId="4C2F26EF" w14:textId="2407D8E3" w:rsidR="00C47115" w:rsidRDefault="00C701E1" w:rsidP="0032696B">
      <w:pPr>
        <w:ind w:firstLine="720"/>
      </w:pPr>
      <w:r>
        <w:t>We</w:t>
      </w:r>
      <w:r w:rsidR="00A36891" w:rsidRPr="00A36891">
        <w:t xml:space="preserve"> observed net </w:t>
      </w:r>
      <w:r w:rsidR="00BF447C">
        <w:t xml:space="preserve">annual </w:t>
      </w:r>
      <w:r w:rsidR="00A36891" w:rsidRPr="00A36891">
        <w:t>nutrient filtration</w:t>
      </w:r>
      <w:r>
        <w:t xml:space="preserve"> in most </w:t>
      </w:r>
      <w:proofErr w:type="gramStart"/>
      <w:r>
        <w:t>wetlands</w:t>
      </w:r>
      <w:proofErr w:type="gramEnd"/>
      <w:r w:rsidR="00266EB1">
        <w:t xml:space="preserve"> </w:t>
      </w:r>
      <w:r w:rsidR="00A36891" w:rsidRPr="00A36891">
        <w:t xml:space="preserve">net annual TP release in two </w:t>
      </w:r>
      <w:r w:rsidR="00266EB1">
        <w:t>wetlands</w:t>
      </w:r>
      <w:r w:rsidR="00A36891" w:rsidRPr="00A36891">
        <w:t xml:space="preserve"> and net annual TN release in three </w:t>
      </w:r>
      <w:r w:rsidR="00266EB1">
        <w:t>wetlands</w:t>
      </w:r>
      <w:r w:rsidR="00A36891" w:rsidRPr="00A36891">
        <w:t xml:space="preserve"> across all years monitored (</w:t>
      </w:r>
      <w:r w:rsidR="00A36891" w:rsidRPr="004B6FF2">
        <w:rPr>
          <w:highlight w:val="yellow"/>
        </w:rPr>
        <w:t xml:space="preserve">Table </w:t>
      </w:r>
      <w:r w:rsidR="00502353" w:rsidRPr="004B6FF2">
        <w:rPr>
          <w:highlight w:val="yellow"/>
        </w:rPr>
        <w:t>XX</w:t>
      </w:r>
      <w:r w:rsidR="00A36891" w:rsidRPr="00A36891">
        <w:t>).</w:t>
      </w:r>
      <w:r w:rsidR="00D55584">
        <w:t xml:space="preserve"> TP retention ranged </w:t>
      </w:r>
      <w:r w:rsidR="00A36891" w:rsidRPr="00A36891">
        <w:t>from –11 lbs./year to 1732 lbs./year, with a mean (± standard deviation) of 113 lbs./year (±280), and a median of 25</w:t>
      </w:r>
      <w:r w:rsidR="0072526F">
        <w:t xml:space="preserve"> </w:t>
      </w:r>
      <w:r w:rsidR="00A36891" w:rsidRPr="00A36891">
        <w:t xml:space="preserve">lbs./year. </w:t>
      </w:r>
      <w:r w:rsidR="00D55584">
        <w:t>TN retention</w:t>
      </w:r>
      <w:r w:rsidR="00A36891" w:rsidRPr="00A36891">
        <w:t xml:space="preserve"> ranged from -549 lbs./year to 7345 lbs./year, with a mean (± standard deviation) of 1416 lbs./year (±1812) and a median of 711 lbs./year</w:t>
      </w:r>
      <w:r w:rsidR="00D55584">
        <w:t xml:space="preserve">. </w:t>
      </w:r>
      <w:r w:rsidR="00DC14A8" w:rsidRPr="00DC14A8">
        <w:t xml:space="preserve">Of the 528 </w:t>
      </w:r>
      <w:r w:rsidR="00862FA7">
        <w:t>wetland-months</w:t>
      </w:r>
      <w:r w:rsidR="00DC14A8" w:rsidRPr="00DC14A8">
        <w:t xml:space="preserve"> (unique combinations of </w:t>
      </w:r>
      <w:r w:rsidR="00862FA7">
        <w:t>wetland</w:t>
      </w:r>
      <w:r w:rsidR="00DC14A8" w:rsidRPr="00DC14A8">
        <w:t xml:space="preserve"> and month), 60% (313 </w:t>
      </w:r>
      <w:r w:rsidR="004A529E">
        <w:t>wetland-months</w:t>
      </w:r>
      <w:r w:rsidR="00DC14A8" w:rsidRPr="00DC14A8">
        <w:t>) indicated net</w:t>
      </w:r>
      <w:r w:rsidR="009E3C3E">
        <w:t xml:space="preserve"> TP</w:t>
      </w:r>
      <w:r w:rsidR="00DC14A8" w:rsidRPr="00DC14A8">
        <w:t xml:space="preserve"> </w:t>
      </w:r>
      <w:r w:rsidR="009E3C3E">
        <w:t>retention</w:t>
      </w:r>
      <w:r w:rsidR="00DC14A8" w:rsidRPr="00DC14A8">
        <w:t xml:space="preserve">, 13% (72 </w:t>
      </w:r>
      <w:r w:rsidR="004A529E">
        <w:t>wetland-months</w:t>
      </w:r>
      <w:r w:rsidR="00DC14A8" w:rsidRPr="00DC14A8">
        <w:t xml:space="preserve">) indicated net </w:t>
      </w:r>
      <w:r w:rsidR="00862FA7">
        <w:t xml:space="preserve">TP </w:t>
      </w:r>
      <w:r w:rsidR="00DC14A8" w:rsidRPr="00DC14A8">
        <w:t xml:space="preserve">release, and 27% (143 </w:t>
      </w:r>
      <w:r w:rsidR="004A529E">
        <w:t>wetland-months</w:t>
      </w:r>
      <w:r w:rsidR="00DC14A8" w:rsidRPr="00DC14A8">
        <w:t xml:space="preserve">) indicated no net release or </w:t>
      </w:r>
      <w:r w:rsidR="00862FA7">
        <w:t>retention</w:t>
      </w:r>
      <w:r w:rsidR="00DC14A8" w:rsidRPr="00DC14A8">
        <w:t xml:space="preserve"> of P. Within that same dataset, 64% (336 </w:t>
      </w:r>
      <w:r w:rsidR="004A529E">
        <w:t>wetland-months</w:t>
      </w:r>
      <w:r w:rsidR="00DC14A8" w:rsidRPr="00DC14A8">
        <w:t xml:space="preserve">) indicated net retention of N, 9% (49 </w:t>
      </w:r>
      <w:r w:rsidR="004A529E">
        <w:t>wetland-months</w:t>
      </w:r>
      <w:r w:rsidR="00DC14A8" w:rsidRPr="00DC14A8">
        <w:t xml:space="preserve">) indicated net release of N, and 27% (143 </w:t>
      </w:r>
      <w:r w:rsidR="004A529E">
        <w:t>wetland-months</w:t>
      </w:r>
      <w:r w:rsidR="00DC14A8" w:rsidRPr="00DC14A8">
        <w:t xml:space="preserve">) indicated no net release or filtration of N. For </w:t>
      </w:r>
      <w:proofErr w:type="gramStart"/>
      <w:r w:rsidR="00DC14A8" w:rsidRPr="00DC14A8">
        <w:t>the vast majority of</w:t>
      </w:r>
      <w:proofErr w:type="gramEnd"/>
      <w:r w:rsidR="00DC14A8" w:rsidRPr="00DC14A8">
        <w:t xml:space="preserve"> </w:t>
      </w:r>
      <w:r w:rsidR="00AC401C">
        <w:t>wetlands</w:t>
      </w:r>
      <w:r w:rsidR="00DC14A8" w:rsidRPr="00DC14A8">
        <w:t xml:space="preserve">, </w:t>
      </w:r>
      <w:r w:rsidR="00AC401C">
        <w:t>retention</w:t>
      </w:r>
      <w:r w:rsidR="00DC14A8" w:rsidRPr="00DC14A8">
        <w:t xml:space="preserve"> outweighed release in terms of both total mass and number of months. </w:t>
      </w:r>
      <w:r w:rsidR="00C47115">
        <w:t>Retention of</w:t>
      </w:r>
      <w:r w:rsidR="00C47115" w:rsidRPr="00DC14A8">
        <w:t xml:space="preserve"> both TP and TN, across all </w:t>
      </w:r>
      <w:r w:rsidR="00C47115">
        <w:t>wetlands</w:t>
      </w:r>
      <w:r w:rsidR="00C47115" w:rsidRPr="00DC14A8">
        <w:t>, occurred primarily during spring (March through May) and summer (June through August), with 38% of TP and 45% of</w:t>
      </w:r>
      <w:r w:rsidR="00C47115">
        <w:t xml:space="preserve"> </w:t>
      </w:r>
      <w:r w:rsidR="00C47115" w:rsidRPr="00DC14A8">
        <w:t>TN filtered in the spring and 38% of TP and 36% of TN filtered in the summer</w:t>
      </w:r>
      <w:r w:rsidR="001A39D9">
        <w:t xml:space="preserve"> (Figure XX)</w:t>
      </w:r>
      <w:r w:rsidR="00C47115" w:rsidRPr="00DC14A8">
        <w:t xml:space="preserve">. </w:t>
      </w:r>
      <w:r w:rsidR="00090A77">
        <w:t>Dissolved nutrients were similarly retained primarily during spring with</w:t>
      </w:r>
      <w:r w:rsidR="00C47115" w:rsidRPr="00DC14A8">
        <w:t xml:space="preserve"> 34% of DRP is processed in the spring and 39% in the summer, 44% of </w:t>
      </w:r>
      <w:proofErr w:type="spellStart"/>
      <w:r w:rsidR="00C47115" w:rsidRPr="00DC14A8">
        <w:t>nitrite+nitrate</w:t>
      </w:r>
      <w:proofErr w:type="spellEnd"/>
      <w:r w:rsidR="00C47115" w:rsidRPr="00DC14A8">
        <w:t xml:space="preserve"> is processed in the spring and 38% in the summer, and 18% of total ammonium nitrogen (NH4) is processed in the spring and 58% in the summer.</w:t>
      </w:r>
    </w:p>
    <w:p w14:paraId="333B6730" w14:textId="2357E368" w:rsidR="00847646" w:rsidRPr="00F76D36" w:rsidRDefault="00847646" w:rsidP="00847646">
      <w:pPr>
        <w:rPr>
          <w:i/>
          <w:iCs/>
        </w:rPr>
      </w:pPr>
      <w:r w:rsidRPr="00F76D36">
        <w:rPr>
          <w:i/>
          <w:iCs/>
        </w:rPr>
        <w:t>3.2</w:t>
      </w:r>
      <w:r w:rsidR="005C4211" w:rsidRPr="00F76D36">
        <w:rPr>
          <w:i/>
          <w:iCs/>
        </w:rPr>
        <w:t xml:space="preserve"> Drivers of Nutrient Retention</w:t>
      </w:r>
      <w:r w:rsidR="0014428F">
        <w:rPr>
          <w:i/>
          <w:iCs/>
        </w:rPr>
        <w:t xml:space="preserve"> Across Wetlands</w:t>
      </w:r>
    </w:p>
    <w:p w14:paraId="5F005A4D" w14:textId="6B46C93C" w:rsidR="000F27FD" w:rsidRDefault="000F27FD" w:rsidP="000F27FD">
      <w:r>
        <w:tab/>
      </w:r>
      <w:r w:rsidR="002A08D2">
        <w:t>Nutrient retention</w:t>
      </w:r>
      <w:r w:rsidR="0030219A">
        <w:t xml:space="preserve"> and release</w:t>
      </w:r>
      <w:r w:rsidR="002A08D2">
        <w:t xml:space="preserve"> across wetlands </w:t>
      </w:r>
      <w:proofErr w:type="gramStart"/>
      <w:r w:rsidR="002A08D2">
        <w:t>was</w:t>
      </w:r>
      <w:proofErr w:type="gramEnd"/>
      <w:r w:rsidR="002A08D2">
        <w:t xml:space="preserve"> significantly </w:t>
      </w:r>
      <w:r w:rsidR="00C530AC">
        <w:t xml:space="preserve">related to inflow volume. </w:t>
      </w:r>
      <w:r w:rsidR="00C530AC">
        <w:t xml:space="preserve">Across months and Projects, the </w:t>
      </w:r>
      <w:r w:rsidR="00964E09">
        <w:t xml:space="preserve">log-scale </w:t>
      </w:r>
      <w:r w:rsidR="00C530AC">
        <w:t xml:space="preserve">total monthly mass of </w:t>
      </w:r>
      <w:r w:rsidR="00964E09">
        <w:t>both TP and TN</w:t>
      </w:r>
      <w:r w:rsidR="00C530AC">
        <w:t xml:space="preserve"> removed and/or </w:t>
      </w:r>
      <w:r w:rsidR="00C530AC">
        <w:lastRenderedPageBreak/>
        <w:t>released was strongly related to</w:t>
      </w:r>
      <w:r w:rsidR="00964E09">
        <w:t xml:space="preserve"> the log-scale</w:t>
      </w:r>
      <w:r w:rsidR="00C530AC">
        <w:t xml:space="preserve"> monthly inflow volume (</w:t>
      </w:r>
      <w:r w:rsidR="002F403D">
        <w:t xml:space="preserve">TP: </w:t>
      </w:r>
      <w:r w:rsidR="00C530AC">
        <w:t>R</w:t>
      </w:r>
      <w:r w:rsidR="00C530AC" w:rsidRPr="00306FBE">
        <w:rPr>
          <w:vertAlign w:val="superscript"/>
        </w:rPr>
        <w:t>2</w:t>
      </w:r>
      <w:r w:rsidR="00C530AC">
        <w:t xml:space="preserve"> = 0.83 for </w:t>
      </w:r>
      <w:r w:rsidR="002F403D">
        <w:t>retained</w:t>
      </w:r>
      <w:r w:rsidR="00C530AC">
        <w:t>, R</w:t>
      </w:r>
      <w:r w:rsidR="00C530AC" w:rsidRPr="00306FBE">
        <w:rPr>
          <w:vertAlign w:val="superscript"/>
        </w:rPr>
        <w:t>2</w:t>
      </w:r>
      <w:r w:rsidR="00C530AC">
        <w:t xml:space="preserve"> = 0.59 for released</w:t>
      </w:r>
      <w:r w:rsidR="00C530AC" w:rsidRPr="004B04EC">
        <w:t xml:space="preserve">; </w:t>
      </w:r>
      <w:r w:rsidR="002F403D">
        <w:t xml:space="preserve">TN: </w:t>
      </w:r>
      <w:r w:rsidR="002F403D">
        <w:t>R</w:t>
      </w:r>
      <w:r w:rsidR="002F403D" w:rsidRPr="00306FBE">
        <w:rPr>
          <w:vertAlign w:val="superscript"/>
        </w:rPr>
        <w:t>2</w:t>
      </w:r>
      <w:r w:rsidR="002F403D">
        <w:t xml:space="preserve"> = 0.8 for retained, R</w:t>
      </w:r>
      <w:r w:rsidR="002F403D" w:rsidRPr="00306FBE">
        <w:rPr>
          <w:vertAlign w:val="superscript"/>
        </w:rPr>
        <w:t>2</w:t>
      </w:r>
      <w:r w:rsidR="002F403D">
        <w:t xml:space="preserve"> = 0.5</w:t>
      </w:r>
      <w:r w:rsidR="002F403D">
        <w:t>8</w:t>
      </w:r>
      <w:r w:rsidR="002F403D">
        <w:t xml:space="preserve"> for release</w:t>
      </w:r>
      <w:r w:rsidR="002F403D">
        <w:t xml:space="preserve">d; </w:t>
      </w:r>
      <w:r w:rsidR="002F403D" w:rsidRPr="002F403D">
        <w:rPr>
          <w:highlight w:val="yellow"/>
        </w:rPr>
        <w:t>FIG XX</w:t>
      </w:r>
      <w:r w:rsidR="00C530AC" w:rsidRPr="004B04EC">
        <w:t xml:space="preserve">). </w:t>
      </w:r>
      <w:r w:rsidR="008D6A4E">
        <w:t>While there is a significant relationship between</w:t>
      </w:r>
      <w:r w:rsidR="00701FFC">
        <w:t xml:space="preserve"> </w:t>
      </w:r>
      <w:r w:rsidR="00885393">
        <w:t>retention and concentration for both TP and TN, the variability explained by that relationship is limited compared to volume (</w:t>
      </w:r>
      <w:r w:rsidR="00855E5D">
        <w:t>TP: R</w:t>
      </w:r>
      <w:r w:rsidR="00855E5D" w:rsidRPr="00306FBE">
        <w:rPr>
          <w:vertAlign w:val="superscript"/>
        </w:rPr>
        <w:t>2</w:t>
      </w:r>
      <w:r w:rsidR="00855E5D">
        <w:t xml:space="preserve"> = 0.01</w:t>
      </w:r>
      <w:r w:rsidR="00855E5D">
        <w:t xml:space="preserve">, </w:t>
      </w:r>
      <w:r w:rsidR="00701FFC">
        <w:t>TN:</w:t>
      </w:r>
      <w:r w:rsidR="008D6A4E">
        <w:t xml:space="preserve"> </w:t>
      </w:r>
      <w:r w:rsidR="00701FFC">
        <w:t>R</w:t>
      </w:r>
      <w:r w:rsidR="00701FFC" w:rsidRPr="00306FBE">
        <w:rPr>
          <w:vertAlign w:val="superscript"/>
        </w:rPr>
        <w:t>2</w:t>
      </w:r>
      <w:r w:rsidR="00701FFC">
        <w:t xml:space="preserve"> =</w:t>
      </w:r>
      <w:r w:rsidR="00701FFC">
        <w:t xml:space="preserve"> 0.15</w:t>
      </w:r>
      <w:r w:rsidR="00885393">
        <w:t xml:space="preserve">; </w:t>
      </w:r>
      <w:r w:rsidR="00885393" w:rsidRPr="00885393">
        <w:rPr>
          <w:highlight w:val="yellow"/>
        </w:rPr>
        <w:t>FIG XX</w:t>
      </w:r>
      <w:r w:rsidR="00885393">
        <w:t xml:space="preserve">). </w:t>
      </w:r>
      <w:r w:rsidR="00855E5D">
        <w:t xml:space="preserve">We found similar relationships between inflow volume and retention of dissolved nutrients </w:t>
      </w:r>
      <w:r>
        <w:t>DRP (R</w:t>
      </w:r>
      <w:r w:rsidRPr="003E4D95">
        <w:rPr>
          <w:vertAlign w:val="superscript"/>
        </w:rPr>
        <w:t>2</w:t>
      </w:r>
      <w:r>
        <w:t xml:space="preserve"> = 0.76), NO</w:t>
      </w:r>
      <w:r w:rsidRPr="008D3437">
        <w:rPr>
          <w:vertAlign w:val="subscript"/>
        </w:rPr>
        <w:t>x</w:t>
      </w:r>
      <w:r>
        <w:t xml:space="preserve"> (R</w:t>
      </w:r>
      <w:r w:rsidRPr="003E4D95">
        <w:rPr>
          <w:vertAlign w:val="superscript"/>
        </w:rPr>
        <w:t xml:space="preserve">2 </w:t>
      </w:r>
      <w:r>
        <w:t>= 0.70), and total ammonium nitrogen (NH</w:t>
      </w:r>
      <w:r w:rsidRPr="008D3437">
        <w:rPr>
          <w:vertAlign w:val="subscript"/>
        </w:rPr>
        <w:t>4</w:t>
      </w:r>
      <w:r>
        <w:t>, R</w:t>
      </w:r>
      <w:r w:rsidRPr="003E4D95">
        <w:rPr>
          <w:vertAlign w:val="superscript"/>
        </w:rPr>
        <w:t>2</w:t>
      </w:r>
      <w:r>
        <w:t xml:space="preserve"> = 0.76)</w:t>
      </w:r>
      <w:r w:rsidR="00907023">
        <w:t xml:space="preserve">, as well as between inflow volume and release of dissolved nutrients </w:t>
      </w:r>
      <w:r>
        <w:t>for DRP (R</w:t>
      </w:r>
      <w:r w:rsidRPr="003E4D95">
        <w:rPr>
          <w:vertAlign w:val="superscript"/>
        </w:rPr>
        <w:t>2</w:t>
      </w:r>
      <w:r>
        <w:t xml:space="preserve"> = 0.52), TN (R</w:t>
      </w:r>
      <w:r w:rsidRPr="003E4D95">
        <w:rPr>
          <w:vertAlign w:val="superscript"/>
        </w:rPr>
        <w:t>2</w:t>
      </w:r>
      <w:r>
        <w:t xml:space="preserve"> = 0.48), NO</w:t>
      </w:r>
      <w:r w:rsidRPr="008D3437">
        <w:rPr>
          <w:vertAlign w:val="subscript"/>
        </w:rPr>
        <w:t>x</w:t>
      </w:r>
      <w:r>
        <w:t xml:space="preserve"> (R</w:t>
      </w:r>
      <w:r w:rsidRPr="003E4D95">
        <w:rPr>
          <w:vertAlign w:val="superscript"/>
        </w:rPr>
        <w:t xml:space="preserve">2 </w:t>
      </w:r>
      <w:r>
        <w:t xml:space="preserve">= 0.45), and </w:t>
      </w:r>
      <w:r w:rsidR="00907023">
        <w:t xml:space="preserve">ammonium nitrogen </w:t>
      </w:r>
      <w:r>
        <w:t>(R</w:t>
      </w:r>
      <w:r w:rsidRPr="003E4D95">
        <w:rPr>
          <w:vertAlign w:val="superscript"/>
        </w:rPr>
        <w:t>2</w:t>
      </w:r>
      <w:r>
        <w:t xml:space="preserve"> = 0.28). Similarly, weak relationships exist between concentration and filtration for DRP (R</w:t>
      </w:r>
      <w:r w:rsidRPr="003E4D95">
        <w:rPr>
          <w:vertAlign w:val="superscript"/>
        </w:rPr>
        <w:t>2</w:t>
      </w:r>
      <w:r>
        <w:t xml:space="preserve"> = 0.03), NO</w:t>
      </w:r>
      <w:r w:rsidRPr="008D3437">
        <w:rPr>
          <w:vertAlign w:val="subscript"/>
        </w:rPr>
        <w:t>x</w:t>
      </w:r>
      <w:r>
        <w:t xml:space="preserve"> (R</w:t>
      </w:r>
      <w:r w:rsidRPr="003E4D95">
        <w:rPr>
          <w:vertAlign w:val="superscript"/>
        </w:rPr>
        <w:t xml:space="preserve">2 </w:t>
      </w:r>
      <w:r>
        <w:t>= 0.03), and NH</w:t>
      </w:r>
      <w:r w:rsidRPr="008D3437">
        <w:rPr>
          <w:vertAlign w:val="subscript"/>
        </w:rPr>
        <w:t>4</w:t>
      </w:r>
      <w:r>
        <w:t xml:space="preserve"> (R</w:t>
      </w:r>
      <w:r w:rsidRPr="003E4D95">
        <w:rPr>
          <w:vertAlign w:val="superscript"/>
        </w:rPr>
        <w:t>2</w:t>
      </w:r>
      <w:r>
        <w:t xml:space="preserve"> = 0.00).</w:t>
      </w:r>
    </w:p>
    <w:p w14:paraId="104D45CF" w14:textId="72640D5F" w:rsidR="00E7277F" w:rsidRDefault="00E43B5C" w:rsidP="000F27FD">
      <w:r>
        <w:tab/>
      </w:r>
      <w:r w:rsidR="00E94EF3">
        <w:t>It is notable that o</w:t>
      </w:r>
      <w:r w:rsidR="00A871BC">
        <w:t xml:space="preserve">ur values for nutrient retention are calculated in part using both inflow volume and </w:t>
      </w:r>
      <w:r w:rsidR="006D118F">
        <w:t xml:space="preserve">inflowing </w:t>
      </w:r>
      <w:r w:rsidR="00A871BC">
        <w:t>nutrient concentrations</w:t>
      </w:r>
      <w:r w:rsidR="00E94EF3">
        <w:t xml:space="preserve">, </w:t>
      </w:r>
      <w:r w:rsidR="00452476">
        <w:t xml:space="preserve">however the function of the wetland </w:t>
      </w:r>
      <w:r w:rsidR="00C90AC5">
        <w:t>on nutrient retention is represented by the change from in</w:t>
      </w:r>
      <w:r w:rsidR="004E335D">
        <w:t xml:space="preserve">let to outlet which is not </w:t>
      </w:r>
      <w:r w:rsidR="00CD1FE7">
        <w:t xml:space="preserve">included in the model. </w:t>
      </w:r>
      <w:r w:rsidR="00E84294">
        <w:t>T</w:t>
      </w:r>
      <w:r>
        <w:t xml:space="preserve">o </w:t>
      </w:r>
      <w:r w:rsidR="009C0E89">
        <w:t xml:space="preserve">ensure that the relationship between inflow volume and nutrient retention was robust </w:t>
      </w:r>
      <w:r w:rsidR="00D24786">
        <w:t xml:space="preserve">to </w:t>
      </w:r>
      <w:r w:rsidR="00F763F8">
        <w:t>independent data</w:t>
      </w:r>
      <w:r w:rsidR="00C457E6">
        <w:t xml:space="preserve"> we remade the model sequentially removing wetlands from the database to perform a </w:t>
      </w:r>
      <w:r w:rsidR="00EC48CB">
        <w:t xml:space="preserve">leave-one-out analysis. </w:t>
      </w:r>
      <w:r w:rsidR="000326DE">
        <w:t xml:space="preserve">We </w:t>
      </w:r>
      <w:r w:rsidR="00805FBD">
        <w:t>remade the linear model between inflow volume and filtration of each nutrient</w:t>
      </w:r>
      <w:r w:rsidR="00EC48CB">
        <w:t xml:space="preserve"> </w:t>
      </w:r>
      <w:r w:rsidR="00805FBD">
        <w:t xml:space="preserve">sequentially removing </w:t>
      </w:r>
      <w:r w:rsidR="002F51CD">
        <w:t>one</w:t>
      </w:r>
      <w:r w:rsidR="00201107">
        <w:t xml:space="preserve"> wetland</w:t>
      </w:r>
      <w:r w:rsidR="002F51CD">
        <w:t xml:space="preserve"> at a time</w:t>
      </w:r>
      <w:r w:rsidR="00201107">
        <w:t xml:space="preserve"> from the model</w:t>
      </w:r>
      <w:r w:rsidR="000D1691">
        <w:t xml:space="preserve">. The model fit was robust to the removal of wetlands </w:t>
      </w:r>
      <w:r w:rsidR="00DF7EAF">
        <w:t xml:space="preserve">with mean RMSE </w:t>
      </w:r>
      <w:r w:rsidR="003C0BC4">
        <w:t xml:space="preserve">values </w:t>
      </w:r>
      <w:r w:rsidR="00DF7EAF">
        <w:t xml:space="preserve">of </w:t>
      </w:r>
      <w:r w:rsidR="006D3C42">
        <w:t xml:space="preserve">3.2lbs </w:t>
      </w:r>
      <w:r w:rsidR="003C0BC4">
        <w:t xml:space="preserve">for </w:t>
      </w:r>
      <w:r w:rsidR="006D3C42">
        <w:t>TP</w:t>
      </w:r>
      <w:r w:rsidR="003C0BC4">
        <w:t xml:space="preserve">, 3.5lbs for TN, 4.2lbs for DRP, 7.5lbs for NOX, and 4.7lbs for NH3. </w:t>
      </w:r>
      <w:r w:rsidR="00D20408">
        <w:t xml:space="preserve">We then applied each new model to predict nutrient retention at the removed wetland and found </w:t>
      </w:r>
      <w:r w:rsidR="00632FB1">
        <w:t>that mean RMSE when predicting wetlands that were not included in the model was similar to predictions when data was include</w:t>
      </w:r>
      <w:r w:rsidR="00980A9E">
        <w:t>d</w:t>
      </w:r>
      <w:r w:rsidR="00632FB1">
        <w:t xml:space="preserve"> (mean RMSE: 3.1lbs TP, 3.3lbs TN, 4.2lbs DRP, 9lbs NOX, 4.6lbs NH3). </w:t>
      </w:r>
      <w:r w:rsidR="00652830">
        <w:t>Wetlands did however vary in their ability to be predicted when excluded from the model (</w:t>
      </w:r>
      <w:r w:rsidR="00652830" w:rsidRPr="00652830">
        <w:rPr>
          <w:highlight w:val="yellow"/>
        </w:rPr>
        <w:t>Fig. SXX</w:t>
      </w:r>
      <w:r w:rsidR="00652830">
        <w:t>).</w:t>
      </w:r>
    </w:p>
    <w:p w14:paraId="104B9117" w14:textId="241255EA" w:rsidR="00693961" w:rsidRDefault="00693961" w:rsidP="00693961">
      <w:pPr>
        <w:rPr>
          <w:i/>
          <w:iCs/>
        </w:rPr>
      </w:pPr>
      <w:r w:rsidRPr="00CD0484">
        <w:rPr>
          <w:i/>
          <w:iCs/>
        </w:rPr>
        <w:t xml:space="preserve">3.3 </w:t>
      </w:r>
      <w:r w:rsidR="0064257D">
        <w:rPr>
          <w:i/>
          <w:iCs/>
        </w:rPr>
        <w:t>Drivers of Nutrient Retention</w:t>
      </w:r>
      <w:r w:rsidR="0014428F">
        <w:rPr>
          <w:i/>
          <w:iCs/>
        </w:rPr>
        <w:t xml:space="preserve"> Within Wetlands</w:t>
      </w:r>
    </w:p>
    <w:p w14:paraId="7DC4D94C" w14:textId="5AB061CB" w:rsidR="00693961" w:rsidRDefault="00EB4B6E" w:rsidP="004D6926">
      <w:pPr>
        <w:ind w:firstLine="360"/>
      </w:pPr>
      <w:r>
        <w:t xml:space="preserve">While we found that inflow volume to each wetland had a stronger correlation </w:t>
      </w:r>
      <w:r w:rsidR="005A20DB">
        <w:t>with nutrient retention tha</w:t>
      </w:r>
      <w:r w:rsidR="00D91219">
        <w:t xml:space="preserve">n </w:t>
      </w:r>
      <w:r w:rsidR="005A20DB">
        <w:t>concentration, we found that within</w:t>
      </w:r>
      <w:r w:rsidR="007D3E1F">
        <w:t xml:space="preserve"> individual</w:t>
      </w:r>
      <w:r w:rsidR="005A20DB">
        <w:t xml:space="preserve"> wetlands concentration </w:t>
      </w:r>
      <w:r w:rsidR="00120A55">
        <w:t xml:space="preserve">often </w:t>
      </w:r>
      <w:r w:rsidR="009E0860">
        <w:t>was</w:t>
      </w:r>
      <w:r w:rsidR="00120A55">
        <w:t xml:space="preserve"> a similar or occasionally</w:t>
      </w:r>
      <w:r w:rsidR="005A20DB">
        <w:t xml:space="preserve"> a</w:t>
      </w:r>
      <w:r w:rsidR="004B00F7">
        <w:t xml:space="preserve"> more</w:t>
      </w:r>
      <w:r w:rsidR="005A20DB">
        <w:t xml:space="preserve"> important </w:t>
      </w:r>
      <w:r w:rsidR="009E0860">
        <w:t>predictor of nutrient retention</w:t>
      </w:r>
      <w:r w:rsidR="00D417F1">
        <w:t xml:space="preserve"> than inflowing volume</w:t>
      </w:r>
      <w:r w:rsidR="004B00F7">
        <w:t xml:space="preserve">. </w:t>
      </w:r>
      <w:r w:rsidR="000D2752">
        <w:t>We made linear models</w:t>
      </w:r>
      <w:r w:rsidR="00143EE9">
        <w:t xml:space="preserve"> predicting nutrient retention by </w:t>
      </w:r>
      <w:r w:rsidR="00D164C7">
        <w:t>inflowing volume and concentration</w:t>
      </w:r>
      <w:r w:rsidR="000D2752">
        <w:t xml:space="preserve"> </w:t>
      </w:r>
      <w:r w:rsidR="00B01868">
        <w:t>for each</w:t>
      </w:r>
      <w:r w:rsidR="000D2752">
        <w:t xml:space="preserve"> individual wetland</w:t>
      </w:r>
      <w:r w:rsidR="00B01868">
        <w:t xml:space="preserve"> and </w:t>
      </w:r>
      <w:r w:rsidR="002B06DE">
        <w:t>predictor</w:t>
      </w:r>
      <w:r w:rsidR="00D164C7">
        <w:t xml:space="preserve"> </w:t>
      </w:r>
      <w:r w:rsidR="00E669E0">
        <w:t>t-value</w:t>
      </w:r>
      <w:r w:rsidR="002B06DE">
        <w:t xml:space="preserve">s indicate that </w:t>
      </w:r>
      <w:r w:rsidR="009C74D7">
        <w:t>concentration is sometimes a more significant predictor and often a similarly important predictor</w:t>
      </w:r>
      <w:r w:rsidR="00501540">
        <w:t xml:space="preserve"> to inflowing volume</w:t>
      </w:r>
      <w:r w:rsidR="00597D0C">
        <w:t xml:space="preserve"> (</w:t>
      </w:r>
      <w:r w:rsidR="00597D0C" w:rsidRPr="00597D0C">
        <w:rPr>
          <w:highlight w:val="yellow"/>
        </w:rPr>
        <w:t>Figure XX</w:t>
      </w:r>
      <w:r w:rsidR="00597D0C">
        <w:t>).</w:t>
      </w:r>
      <w:r w:rsidR="00470CA9">
        <w:t xml:space="preserve"> </w:t>
      </w:r>
      <w:r w:rsidR="008D4C71">
        <w:t>Based on model t-values TP</w:t>
      </w:r>
      <w:r w:rsidR="007271A0">
        <w:t xml:space="preserve"> concentration </w:t>
      </w:r>
      <w:r w:rsidR="008D4C71">
        <w:t xml:space="preserve">was a more significant predictor than inflowing volume at two wetlands, and </w:t>
      </w:r>
      <w:r w:rsidR="00666E2F">
        <w:t>within the same magnitude</w:t>
      </w:r>
      <w:r w:rsidR="006C3A20">
        <w:t xml:space="preserve"> </w:t>
      </w:r>
      <w:r w:rsidR="00666E2F">
        <w:t>at 8 more wetlands</w:t>
      </w:r>
      <w:r w:rsidR="00BA3C1C">
        <w:t xml:space="preserve">, </w:t>
      </w:r>
      <w:r w:rsidR="004622CA">
        <w:t>TN concentration</w:t>
      </w:r>
      <w:r w:rsidR="000527AF">
        <w:t xml:space="preserve"> was a more significant predictor than inflowing volume at 4 wetlands and within the same magnitude at </w:t>
      </w:r>
      <w:r w:rsidR="0054057C">
        <w:t xml:space="preserve">7 more wetlands, </w:t>
      </w:r>
      <w:r w:rsidR="00443B64">
        <w:t xml:space="preserve">DRP </w:t>
      </w:r>
      <w:r w:rsidR="00443B64">
        <w:t xml:space="preserve">concentration was a more significant predictor than inflowing volume at </w:t>
      </w:r>
      <w:r w:rsidR="00443B64">
        <w:t>3</w:t>
      </w:r>
      <w:r w:rsidR="00443B64">
        <w:t xml:space="preserve"> wetlands and within the same magnitude at </w:t>
      </w:r>
      <w:r w:rsidR="00443B64">
        <w:t>7</w:t>
      </w:r>
      <w:r w:rsidR="00443B64">
        <w:t xml:space="preserve"> more wetlands</w:t>
      </w:r>
      <w:r w:rsidR="00443B64">
        <w:t xml:space="preserve">, </w:t>
      </w:r>
      <w:proofErr w:type="spellStart"/>
      <w:r w:rsidR="00443B64">
        <w:t>NoX</w:t>
      </w:r>
      <w:proofErr w:type="spellEnd"/>
      <w:r w:rsidR="00443B64">
        <w:t xml:space="preserve"> </w:t>
      </w:r>
      <w:r w:rsidR="006B1A66">
        <w:t xml:space="preserve">concentration was a more significant predictor than inflowing volume at </w:t>
      </w:r>
      <w:r w:rsidR="00262AF2">
        <w:t>6</w:t>
      </w:r>
      <w:r w:rsidR="006B1A66">
        <w:t xml:space="preserve"> wetlands and within the same magnitude at </w:t>
      </w:r>
      <w:r w:rsidR="007006D6">
        <w:t>4</w:t>
      </w:r>
      <w:r w:rsidR="006B1A66">
        <w:t xml:space="preserve"> more wetlands</w:t>
      </w:r>
      <w:r w:rsidR="008160CF">
        <w:t xml:space="preserve">, and NH3 </w:t>
      </w:r>
      <w:r w:rsidR="008160CF">
        <w:t xml:space="preserve">concentration was a more significant predictor than inflowing volume at </w:t>
      </w:r>
      <w:r w:rsidR="002616EF">
        <w:t>3</w:t>
      </w:r>
      <w:r w:rsidR="008160CF">
        <w:t xml:space="preserve"> wetlands and within the same magnitude at </w:t>
      </w:r>
      <w:r w:rsidR="00B3201A">
        <w:t xml:space="preserve">8 </w:t>
      </w:r>
      <w:r w:rsidR="008160CF">
        <w:t>more wetlands</w:t>
      </w:r>
      <w:r w:rsidR="00B3201A">
        <w:t xml:space="preserve"> (</w:t>
      </w:r>
      <w:r w:rsidR="00B3201A" w:rsidRPr="00955315">
        <w:rPr>
          <w:highlight w:val="yellow"/>
        </w:rPr>
        <w:t>Table SX</w:t>
      </w:r>
      <w:r w:rsidR="00B3201A">
        <w:t>).</w:t>
      </w:r>
    </w:p>
    <w:p w14:paraId="063DF2AB" w14:textId="487A1BB7" w:rsidR="003B177B" w:rsidRDefault="003B177B" w:rsidP="003B177B">
      <w:pPr>
        <w:rPr>
          <w:i/>
          <w:iCs/>
        </w:rPr>
      </w:pPr>
      <w:r w:rsidRPr="00CD0484">
        <w:rPr>
          <w:i/>
          <w:iCs/>
        </w:rPr>
        <w:t>3.</w:t>
      </w:r>
      <w:r>
        <w:rPr>
          <w:i/>
          <w:iCs/>
        </w:rPr>
        <w:t>4</w:t>
      </w:r>
      <w:r w:rsidRPr="00CD0484">
        <w:rPr>
          <w:i/>
          <w:iCs/>
        </w:rPr>
        <w:t xml:space="preserve"> </w:t>
      </w:r>
      <w:r>
        <w:rPr>
          <w:i/>
          <w:iCs/>
        </w:rPr>
        <w:t>Drivers of Nutrient Re</w:t>
      </w:r>
      <w:r>
        <w:rPr>
          <w:i/>
          <w:iCs/>
        </w:rPr>
        <w:t>lease</w:t>
      </w:r>
    </w:p>
    <w:p w14:paraId="49968D4B" w14:textId="5B6AD806" w:rsidR="006B5561" w:rsidRDefault="003B177B" w:rsidP="005F3449">
      <w:r>
        <w:tab/>
      </w:r>
      <w:r w:rsidR="00617075">
        <w:t xml:space="preserve">To understand patterns of nutrient release we </w:t>
      </w:r>
      <w:r w:rsidR="007D5B05">
        <w:t>performed</w:t>
      </w:r>
      <w:r w:rsidR="00617075">
        <w:t xml:space="preserve"> a </w:t>
      </w:r>
      <w:r w:rsidR="00747FA5">
        <w:t xml:space="preserve">logistic regression </w:t>
      </w:r>
      <w:r w:rsidR="007D5B05">
        <w:t xml:space="preserve">with month, </w:t>
      </w:r>
      <w:r w:rsidR="00F12701">
        <w:t xml:space="preserve">inflowing concentration, and inflowing volume as predictors of </w:t>
      </w:r>
      <w:r w:rsidR="00DD6CAF">
        <w:t xml:space="preserve">whether </w:t>
      </w:r>
      <w:r w:rsidR="00F12701">
        <w:t>nutrient</w:t>
      </w:r>
      <w:r w:rsidR="00DD6CAF">
        <w:t>s</w:t>
      </w:r>
      <w:r w:rsidR="00F12701">
        <w:t xml:space="preserve"> </w:t>
      </w:r>
      <w:r w:rsidR="00DD6CAF">
        <w:t>were retained or released</w:t>
      </w:r>
      <w:r w:rsidR="00F12701">
        <w:t>.</w:t>
      </w:r>
      <w:r w:rsidR="00524F41" w:rsidRPr="00524F41">
        <w:t xml:space="preserve"> </w:t>
      </w:r>
      <w:r w:rsidR="00C129BF">
        <w:t>I</w:t>
      </w:r>
      <w:r w:rsidR="00524F41">
        <w:t>nf</w:t>
      </w:r>
      <w:r w:rsidR="00DD6CAF">
        <w:t xml:space="preserve">lowing nutrient concentration was the only significant predictor of </w:t>
      </w:r>
      <w:r w:rsidR="00405199">
        <w:t>nutrient release</w:t>
      </w:r>
      <w:r w:rsidR="005301A2">
        <w:t xml:space="preserve"> for both </w:t>
      </w:r>
      <w:r w:rsidR="005301A2">
        <w:t>TP (Logistic Regression; z = -3.74, p &lt; 0.01) and TN (Logistic Regression; z = -4.13, p &lt; 0.01)</w:t>
      </w:r>
      <w:r w:rsidR="00405199">
        <w:t xml:space="preserve">, </w:t>
      </w:r>
      <w:r w:rsidR="00405199">
        <w:lastRenderedPageBreak/>
        <w:t>with higher probability of release at lower nutrient concentrations</w:t>
      </w:r>
      <w:r w:rsidR="00E426A4">
        <w:t xml:space="preserve"> (</w:t>
      </w:r>
      <w:r w:rsidR="00E426A4" w:rsidRPr="00F91838">
        <w:rPr>
          <w:highlight w:val="yellow"/>
        </w:rPr>
        <w:t>Fig</w:t>
      </w:r>
      <w:r w:rsidR="004F5831" w:rsidRPr="00F91838">
        <w:rPr>
          <w:highlight w:val="yellow"/>
        </w:rPr>
        <w:t>ure XX</w:t>
      </w:r>
      <w:r w:rsidR="004F5831">
        <w:t>)</w:t>
      </w:r>
      <w:r w:rsidR="00405199">
        <w:t xml:space="preserve">. </w:t>
      </w:r>
      <w:r w:rsidR="001562D6">
        <w:t>Neither month (</w:t>
      </w:r>
      <w:r w:rsidR="0031630A">
        <w:t xml:space="preserve">TP: </w:t>
      </w:r>
      <w:r w:rsidR="001562D6">
        <w:t xml:space="preserve">z = </w:t>
      </w:r>
      <w:r w:rsidR="0017671F">
        <w:t>-1.0</w:t>
      </w:r>
      <w:r w:rsidR="0031630A">
        <w:t>, p = 0.3, TN: z =</w:t>
      </w:r>
      <w:r w:rsidR="0031630A">
        <w:t xml:space="preserve"> 0.37, p = 0.7</w:t>
      </w:r>
      <w:r w:rsidR="0031630A">
        <w:t xml:space="preserve">) </w:t>
      </w:r>
      <w:r w:rsidR="001562D6">
        <w:t>nor inflow volume</w:t>
      </w:r>
      <w:r w:rsidR="0017671F">
        <w:t xml:space="preserve"> </w:t>
      </w:r>
      <w:r w:rsidR="0017671F">
        <w:t>(TP: z = -</w:t>
      </w:r>
      <w:r w:rsidR="0017671F">
        <w:t>0.</w:t>
      </w:r>
      <w:r w:rsidR="003E1011">
        <w:t>16</w:t>
      </w:r>
      <w:r w:rsidR="0017671F">
        <w:t>, p = 0.</w:t>
      </w:r>
      <w:r w:rsidR="00801CE7">
        <w:t>9</w:t>
      </w:r>
      <w:r w:rsidR="0017671F">
        <w:t xml:space="preserve">, TN: z = </w:t>
      </w:r>
      <w:r w:rsidR="00801CE7">
        <w:t>-0.62</w:t>
      </w:r>
      <w:r w:rsidR="0017671F">
        <w:t>, p = 0.</w:t>
      </w:r>
      <w:r w:rsidR="00801CE7">
        <w:t>5</w:t>
      </w:r>
      <w:r w:rsidR="0017671F">
        <w:t>)</w:t>
      </w:r>
      <w:r w:rsidR="001562D6">
        <w:t xml:space="preserve"> were significant predictors of nutrient release.</w:t>
      </w:r>
      <w:r w:rsidR="00405DC7">
        <w:t xml:space="preserve"> </w:t>
      </w:r>
      <w:r w:rsidR="001D10C7">
        <w:t xml:space="preserve">Inflowing TP concentration during </w:t>
      </w:r>
      <w:r w:rsidR="00E426A4">
        <w:t xml:space="preserve">months with net </w:t>
      </w:r>
      <w:r w:rsidR="001D10C7">
        <w:t>releases</w:t>
      </w:r>
      <w:r w:rsidR="00E426A4">
        <w:t xml:space="preserve"> of TP</w:t>
      </w:r>
      <w:r w:rsidR="001D10C7">
        <w:t xml:space="preserve"> </w:t>
      </w:r>
      <w:r w:rsidR="00EC726D">
        <w:t>(mean 0.16</w:t>
      </w:r>
      <w:r w:rsidR="00373C3F">
        <w:t>±0.15</w:t>
      </w:r>
      <w:r w:rsidR="00EC726D">
        <w:t xml:space="preserve"> mg/L) </w:t>
      </w:r>
      <w:r w:rsidR="001D10C7">
        <w:t>were</w:t>
      </w:r>
      <w:r w:rsidR="00DC2139">
        <w:t xml:space="preserve"> significantly</w:t>
      </w:r>
      <w:r w:rsidR="001D10C7">
        <w:t xml:space="preserve"> </w:t>
      </w:r>
      <w:r w:rsidR="0075165B">
        <w:t>lower</w:t>
      </w:r>
      <w:r w:rsidR="001D10C7">
        <w:t xml:space="preserve"> than </w:t>
      </w:r>
      <w:r w:rsidR="0075165B">
        <w:t xml:space="preserve">during </w:t>
      </w:r>
      <w:r w:rsidR="00E426A4">
        <w:t xml:space="preserve">months with </w:t>
      </w:r>
      <w:r w:rsidR="00E841B6">
        <w:t>net retention of TP (</w:t>
      </w:r>
      <w:r w:rsidR="00373C3F">
        <w:t>mean 0.39</w:t>
      </w:r>
      <w:r w:rsidR="00044F02">
        <w:t>±0.</w:t>
      </w:r>
      <w:proofErr w:type="gramStart"/>
      <w:r w:rsidR="00A10538">
        <w:t>40</w:t>
      </w:r>
      <w:r w:rsidR="00044F02">
        <w:t xml:space="preserve"> </w:t>
      </w:r>
      <w:r w:rsidR="00373C3F">
        <w:t xml:space="preserve"> mg</w:t>
      </w:r>
      <w:proofErr w:type="gramEnd"/>
      <w:r w:rsidR="00373C3F">
        <w:t xml:space="preserve">/L; </w:t>
      </w:r>
      <w:r w:rsidR="003C3A89">
        <w:t>Welch Two-Sample t-test, t = 7.4, p &lt; 0.01)</w:t>
      </w:r>
      <w:r w:rsidR="00EC726D">
        <w:t xml:space="preserve">. </w:t>
      </w:r>
      <w:r w:rsidR="004D1604">
        <w:t>Inflowing T</w:t>
      </w:r>
      <w:r w:rsidR="004D1604">
        <w:t>N</w:t>
      </w:r>
      <w:r w:rsidR="004D1604">
        <w:t xml:space="preserve"> concentration during months with net releases of T</w:t>
      </w:r>
      <w:r w:rsidR="004D1604">
        <w:t>N</w:t>
      </w:r>
      <w:r w:rsidR="004D1604">
        <w:t xml:space="preserve"> (mean </w:t>
      </w:r>
      <w:r w:rsidR="006A4868">
        <w:t>2.11</w:t>
      </w:r>
      <w:r w:rsidR="004D1604">
        <w:t>±</w:t>
      </w:r>
      <w:r w:rsidR="00A87C40">
        <w:t>1.66</w:t>
      </w:r>
      <w:r w:rsidR="004D1604">
        <w:t xml:space="preserve"> mg/L) were significantly lower than during months with net retention of T</w:t>
      </w:r>
      <w:r w:rsidR="004D1604">
        <w:t>N</w:t>
      </w:r>
      <w:r w:rsidR="004D1604">
        <w:t xml:space="preserve"> (mean </w:t>
      </w:r>
      <w:r w:rsidR="00A87C40">
        <w:t>5.08</w:t>
      </w:r>
      <w:r w:rsidR="004D1604">
        <w:t>±</w:t>
      </w:r>
      <w:r w:rsidR="00A87C40">
        <w:t>4.</w:t>
      </w:r>
      <w:proofErr w:type="gramStart"/>
      <w:r w:rsidR="00A87C40">
        <w:t>78</w:t>
      </w:r>
      <w:r w:rsidR="004D1604">
        <w:t xml:space="preserve">  mg</w:t>
      </w:r>
      <w:proofErr w:type="gramEnd"/>
      <w:r w:rsidR="004D1604">
        <w:t>/L; Welch Two-Sample t-test, t = 7.</w:t>
      </w:r>
      <w:r w:rsidR="00057012">
        <w:t>9</w:t>
      </w:r>
      <w:r w:rsidR="004D1604">
        <w:t>, p &lt; 0.01).</w:t>
      </w:r>
    </w:p>
    <w:p w14:paraId="2E51D10B" w14:textId="4E93C9D0" w:rsidR="000E7AF9" w:rsidRDefault="000E7AF9" w:rsidP="000E7AF9">
      <w:pPr>
        <w:rPr>
          <w:i/>
          <w:iCs/>
        </w:rPr>
      </w:pPr>
      <w:r w:rsidRPr="00CD0484">
        <w:rPr>
          <w:i/>
          <w:iCs/>
        </w:rPr>
        <w:t>3.</w:t>
      </w:r>
      <w:r w:rsidR="00E97E25">
        <w:rPr>
          <w:i/>
          <w:iCs/>
        </w:rPr>
        <w:t>5</w:t>
      </w:r>
      <w:r w:rsidRPr="00CD0484">
        <w:rPr>
          <w:i/>
          <w:iCs/>
        </w:rPr>
        <w:t xml:space="preserve"> </w:t>
      </w:r>
      <w:r w:rsidR="00E97E25">
        <w:rPr>
          <w:i/>
          <w:iCs/>
        </w:rPr>
        <w:t xml:space="preserve">Nutrient Retention </w:t>
      </w:r>
      <w:r w:rsidR="007122A3">
        <w:rPr>
          <w:i/>
          <w:iCs/>
        </w:rPr>
        <w:t>over time</w:t>
      </w:r>
    </w:p>
    <w:p w14:paraId="372E6770" w14:textId="0EFB1C2F" w:rsidR="003115EA" w:rsidRPr="00850344" w:rsidRDefault="00780C90" w:rsidP="00780C90">
      <w:pPr>
        <w:ind w:firstLine="720"/>
      </w:pPr>
      <w:r>
        <w:t>We collected 3 or more years of data at 5 of the 24 t</w:t>
      </w:r>
      <w:r w:rsidR="008A250F">
        <w:t>otal wetlands.</w:t>
      </w:r>
    </w:p>
    <w:sectPr w:rsidR="003115EA" w:rsidRPr="0085034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66164A" w14:textId="77777777" w:rsidR="00B51086" w:rsidRDefault="00B51086" w:rsidP="003115EA">
      <w:pPr>
        <w:spacing w:after="0" w:line="240" w:lineRule="auto"/>
      </w:pPr>
      <w:r>
        <w:separator/>
      </w:r>
    </w:p>
  </w:endnote>
  <w:endnote w:type="continuationSeparator" w:id="0">
    <w:p w14:paraId="35C0E4D5" w14:textId="77777777" w:rsidR="00B51086" w:rsidRDefault="00B51086" w:rsidP="003115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A3E0A8" w14:textId="77777777" w:rsidR="00B51086" w:rsidRDefault="00B51086" w:rsidP="003115EA">
      <w:pPr>
        <w:spacing w:after="0" w:line="240" w:lineRule="auto"/>
      </w:pPr>
      <w:r>
        <w:separator/>
      </w:r>
    </w:p>
  </w:footnote>
  <w:footnote w:type="continuationSeparator" w:id="0">
    <w:p w14:paraId="0C66B34C" w14:textId="77777777" w:rsidR="00B51086" w:rsidRDefault="00B51086" w:rsidP="003115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29C5"/>
    <w:multiLevelType w:val="hybridMultilevel"/>
    <w:tmpl w:val="4A44A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F20F49"/>
    <w:multiLevelType w:val="hybridMultilevel"/>
    <w:tmpl w:val="0E4A8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94165"/>
    <w:multiLevelType w:val="hybridMultilevel"/>
    <w:tmpl w:val="09623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B4374C"/>
    <w:multiLevelType w:val="hybridMultilevel"/>
    <w:tmpl w:val="58D09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472B69"/>
    <w:multiLevelType w:val="hybridMultilevel"/>
    <w:tmpl w:val="43E621F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D3A182D"/>
    <w:multiLevelType w:val="hybridMultilevel"/>
    <w:tmpl w:val="48B48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2A5E45"/>
    <w:multiLevelType w:val="hybridMultilevel"/>
    <w:tmpl w:val="6B786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93142C"/>
    <w:multiLevelType w:val="hybridMultilevel"/>
    <w:tmpl w:val="012EC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8F7064"/>
    <w:multiLevelType w:val="hybridMultilevel"/>
    <w:tmpl w:val="E570AD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E175955"/>
    <w:multiLevelType w:val="hybridMultilevel"/>
    <w:tmpl w:val="A2D660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24A0488"/>
    <w:multiLevelType w:val="hybridMultilevel"/>
    <w:tmpl w:val="EF6A6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846B85"/>
    <w:multiLevelType w:val="hybridMultilevel"/>
    <w:tmpl w:val="5518E9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D561E69"/>
    <w:multiLevelType w:val="hybridMultilevel"/>
    <w:tmpl w:val="909C3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7226138">
    <w:abstractNumId w:val="11"/>
  </w:num>
  <w:num w:numId="2" w16cid:durableId="965892648">
    <w:abstractNumId w:val="1"/>
  </w:num>
  <w:num w:numId="3" w16cid:durableId="1668171874">
    <w:abstractNumId w:val="2"/>
  </w:num>
  <w:num w:numId="4" w16cid:durableId="1042562642">
    <w:abstractNumId w:val="0"/>
  </w:num>
  <w:num w:numId="5" w16cid:durableId="1836919319">
    <w:abstractNumId w:val="9"/>
  </w:num>
  <w:num w:numId="6" w16cid:durableId="1838303938">
    <w:abstractNumId w:val="7"/>
  </w:num>
  <w:num w:numId="7" w16cid:durableId="1714689514">
    <w:abstractNumId w:val="8"/>
  </w:num>
  <w:num w:numId="8" w16cid:durableId="688142674">
    <w:abstractNumId w:val="5"/>
  </w:num>
  <w:num w:numId="9" w16cid:durableId="544871964">
    <w:abstractNumId w:val="10"/>
  </w:num>
  <w:num w:numId="10" w16cid:durableId="210460688">
    <w:abstractNumId w:val="4"/>
  </w:num>
  <w:num w:numId="11" w16cid:durableId="1575356027">
    <w:abstractNumId w:val="6"/>
  </w:num>
  <w:num w:numId="12" w16cid:durableId="1864246044">
    <w:abstractNumId w:val="3"/>
  </w:num>
  <w:num w:numId="13" w16cid:durableId="48374564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368"/>
    <w:rsid w:val="000202BC"/>
    <w:rsid w:val="000217F4"/>
    <w:rsid w:val="000326DE"/>
    <w:rsid w:val="000408B8"/>
    <w:rsid w:val="00044F02"/>
    <w:rsid w:val="000515A3"/>
    <w:rsid w:val="000527AF"/>
    <w:rsid w:val="00052D3C"/>
    <w:rsid w:val="00057012"/>
    <w:rsid w:val="00061993"/>
    <w:rsid w:val="00074DF4"/>
    <w:rsid w:val="00076B35"/>
    <w:rsid w:val="000864A8"/>
    <w:rsid w:val="00087E90"/>
    <w:rsid w:val="00090A77"/>
    <w:rsid w:val="000914A1"/>
    <w:rsid w:val="000A0AF7"/>
    <w:rsid w:val="000A245C"/>
    <w:rsid w:val="000A3287"/>
    <w:rsid w:val="000B16A1"/>
    <w:rsid w:val="000B5113"/>
    <w:rsid w:val="000C17DC"/>
    <w:rsid w:val="000D1691"/>
    <w:rsid w:val="000D2752"/>
    <w:rsid w:val="000D402F"/>
    <w:rsid w:val="000D555C"/>
    <w:rsid w:val="000D65CB"/>
    <w:rsid w:val="000E1C51"/>
    <w:rsid w:val="000E29C0"/>
    <w:rsid w:val="000E7AF9"/>
    <w:rsid w:val="000F27FD"/>
    <w:rsid w:val="000F5994"/>
    <w:rsid w:val="000F5DF5"/>
    <w:rsid w:val="00103739"/>
    <w:rsid w:val="00103A4A"/>
    <w:rsid w:val="0010663C"/>
    <w:rsid w:val="00106EDB"/>
    <w:rsid w:val="001101A7"/>
    <w:rsid w:val="00111587"/>
    <w:rsid w:val="00120A55"/>
    <w:rsid w:val="00122EE9"/>
    <w:rsid w:val="001240C3"/>
    <w:rsid w:val="00124E77"/>
    <w:rsid w:val="00126A66"/>
    <w:rsid w:val="00143EE9"/>
    <w:rsid w:val="0014428F"/>
    <w:rsid w:val="00147A9F"/>
    <w:rsid w:val="00154721"/>
    <w:rsid w:val="001562D6"/>
    <w:rsid w:val="00166056"/>
    <w:rsid w:val="00172681"/>
    <w:rsid w:val="00175F1B"/>
    <w:rsid w:val="0017671F"/>
    <w:rsid w:val="00176E1F"/>
    <w:rsid w:val="00183CA1"/>
    <w:rsid w:val="001956F5"/>
    <w:rsid w:val="001A39D9"/>
    <w:rsid w:val="001A42DD"/>
    <w:rsid w:val="001B4683"/>
    <w:rsid w:val="001C42A4"/>
    <w:rsid w:val="001C66A1"/>
    <w:rsid w:val="001C7423"/>
    <w:rsid w:val="001D108F"/>
    <w:rsid w:val="001D10C7"/>
    <w:rsid w:val="001D67D8"/>
    <w:rsid w:val="001F53FC"/>
    <w:rsid w:val="001F6B5C"/>
    <w:rsid w:val="001F79E7"/>
    <w:rsid w:val="00200203"/>
    <w:rsid w:val="00200EA7"/>
    <w:rsid w:val="002010AF"/>
    <w:rsid w:val="00201107"/>
    <w:rsid w:val="002054B9"/>
    <w:rsid w:val="00224BCE"/>
    <w:rsid w:val="0025103C"/>
    <w:rsid w:val="00251B2B"/>
    <w:rsid w:val="002616EF"/>
    <w:rsid w:val="00262AF2"/>
    <w:rsid w:val="00266EB1"/>
    <w:rsid w:val="002740EE"/>
    <w:rsid w:val="00274626"/>
    <w:rsid w:val="00277081"/>
    <w:rsid w:val="002A08D2"/>
    <w:rsid w:val="002B06DE"/>
    <w:rsid w:val="002B3E7A"/>
    <w:rsid w:val="002B63E8"/>
    <w:rsid w:val="002C4DC3"/>
    <w:rsid w:val="002D206E"/>
    <w:rsid w:val="002D271B"/>
    <w:rsid w:val="002D5DB5"/>
    <w:rsid w:val="002E2C5A"/>
    <w:rsid w:val="002E365D"/>
    <w:rsid w:val="002E6747"/>
    <w:rsid w:val="002F06D2"/>
    <w:rsid w:val="002F1374"/>
    <w:rsid w:val="002F403D"/>
    <w:rsid w:val="002F51CD"/>
    <w:rsid w:val="0030219A"/>
    <w:rsid w:val="003115EA"/>
    <w:rsid w:val="0031630A"/>
    <w:rsid w:val="00316BCA"/>
    <w:rsid w:val="003200E6"/>
    <w:rsid w:val="00324015"/>
    <w:rsid w:val="003240E1"/>
    <w:rsid w:val="0032696B"/>
    <w:rsid w:val="0033336F"/>
    <w:rsid w:val="00346344"/>
    <w:rsid w:val="003557B1"/>
    <w:rsid w:val="003630C1"/>
    <w:rsid w:val="003633B7"/>
    <w:rsid w:val="00370D04"/>
    <w:rsid w:val="00373C3F"/>
    <w:rsid w:val="00375539"/>
    <w:rsid w:val="00383449"/>
    <w:rsid w:val="00387C3E"/>
    <w:rsid w:val="00393229"/>
    <w:rsid w:val="00393704"/>
    <w:rsid w:val="003A2BD8"/>
    <w:rsid w:val="003B177B"/>
    <w:rsid w:val="003B394A"/>
    <w:rsid w:val="003B5768"/>
    <w:rsid w:val="003B6541"/>
    <w:rsid w:val="003C0BC4"/>
    <w:rsid w:val="003C0D98"/>
    <w:rsid w:val="003C3A89"/>
    <w:rsid w:val="003D5A2A"/>
    <w:rsid w:val="003E1011"/>
    <w:rsid w:val="003E2B13"/>
    <w:rsid w:val="003E32BE"/>
    <w:rsid w:val="003E4C95"/>
    <w:rsid w:val="003E5237"/>
    <w:rsid w:val="003E5498"/>
    <w:rsid w:val="003F4806"/>
    <w:rsid w:val="003F6125"/>
    <w:rsid w:val="00405199"/>
    <w:rsid w:val="00405DC7"/>
    <w:rsid w:val="00407ACF"/>
    <w:rsid w:val="004206FA"/>
    <w:rsid w:val="004249E2"/>
    <w:rsid w:val="004369C9"/>
    <w:rsid w:val="00443B64"/>
    <w:rsid w:val="00444626"/>
    <w:rsid w:val="00451781"/>
    <w:rsid w:val="00452476"/>
    <w:rsid w:val="00455CE3"/>
    <w:rsid w:val="004622CA"/>
    <w:rsid w:val="00462FB4"/>
    <w:rsid w:val="00470CA9"/>
    <w:rsid w:val="0047415B"/>
    <w:rsid w:val="00482233"/>
    <w:rsid w:val="004827BD"/>
    <w:rsid w:val="00486B99"/>
    <w:rsid w:val="00487DBE"/>
    <w:rsid w:val="0049292B"/>
    <w:rsid w:val="00494C3C"/>
    <w:rsid w:val="004A529E"/>
    <w:rsid w:val="004A7A6C"/>
    <w:rsid w:val="004B00F7"/>
    <w:rsid w:val="004B06C7"/>
    <w:rsid w:val="004B6FF2"/>
    <w:rsid w:val="004D1604"/>
    <w:rsid w:val="004D55D5"/>
    <w:rsid w:val="004D6926"/>
    <w:rsid w:val="004D79B9"/>
    <w:rsid w:val="004E2B59"/>
    <w:rsid w:val="004E335D"/>
    <w:rsid w:val="004E44A1"/>
    <w:rsid w:val="004F5831"/>
    <w:rsid w:val="00501540"/>
    <w:rsid w:val="00502353"/>
    <w:rsid w:val="0050253D"/>
    <w:rsid w:val="00510858"/>
    <w:rsid w:val="00510FDA"/>
    <w:rsid w:val="00514225"/>
    <w:rsid w:val="00524B1C"/>
    <w:rsid w:val="00524F41"/>
    <w:rsid w:val="005301A2"/>
    <w:rsid w:val="0054057C"/>
    <w:rsid w:val="0054174E"/>
    <w:rsid w:val="00543FA3"/>
    <w:rsid w:val="0055311A"/>
    <w:rsid w:val="0055409D"/>
    <w:rsid w:val="00555E04"/>
    <w:rsid w:val="00573CDF"/>
    <w:rsid w:val="005740C2"/>
    <w:rsid w:val="0057628A"/>
    <w:rsid w:val="00581FA9"/>
    <w:rsid w:val="005852C5"/>
    <w:rsid w:val="005922B1"/>
    <w:rsid w:val="00592BC0"/>
    <w:rsid w:val="00597D0C"/>
    <w:rsid w:val="005A20DB"/>
    <w:rsid w:val="005C2689"/>
    <w:rsid w:val="005C4211"/>
    <w:rsid w:val="005C7C5E"/>
    <w:rsid w:val="005D277D"/>
    <w:rsid w:val="005E123E"/>
    <w:rsid w:val="005E7061"/>
    <w:rsid w:val="005F1168"/>
    <w:rsid w:val="005F1C4F"/>
    <w:rsid w:val="005F3449"/>
    <w:rsid w:val="005F446A"/>
    <w:rsid w:val="00602B10"/>
    <w:rsid w:val="00616799"/>
    <w:rsid w:val="00617075"/>
    <w:rsid w:val="00622E4D"/>
    <w:rsid w:val="00632FB1"/>
    <w:rsid w:val="0063484C"/>
    <w:rsid w:val="00634EF5"/>
    <w:rsid w:val="0064257D"/>
    <w:rsid w:val="00652830"/>
    <w:rsid w:val="00661E7A"/>
    <w:rsid w:val="00663789"/>
    <w:rsid w:val="00666E2F"/>
    <w:rsid w:val="00673229"/>
    <w:rsid w:val="00681037"/>
    <w:rsid w:val="006875D6"/>
    <w:rsid w:val="00693961"/>
    <w:rsid w:val="00696796"/>
    <w:rsid w:val="006A4868"/>
    <w:rsid w:val="006B1A66"/>
    <w:rsid w:val="006B5561"/>
    <w:rsid w:val="006B63B7"/>
    <w:rsid w:val="006C3A20"/>
    <w:rsid w:val="006D118F"/>
    <w:rsid w:val="006D2EBD"/>
    <w:rsid w:val="006D36F5"/>
    <w:rsid w:val="006D3C42"/>
    <w:rsid w:val="006D7288"/>
    <w:rsid w:val="006E6D3A"/>
    <w:rsid w:val="006F03BD"/>
    <w:rsid w:val="006F08FC"/>
    <w:rsid w:val="007006D6"/>
    <w:rsid w:val="00701FFC"/>
    <w:rsid w:val="00711E53"/>
    <w:rsid w:val="007122A3"/>
    <w:rsid w:val="0071679E"/>
    <w:rsid w:val="0071683F"/>
    <w:rsid w:val="00717161"/>
    <w:rsid w:val="0072526F"/>
    <w:rsid w:val="007271A0"/>
    <w:rsid w:val="00747FA5"/>
    <w:rsid w:val="0075165B"/>
    <w:rsid w:val="00754E76"/>
    <w:rsid w:val="0075518F"/>
    <w:rsid w:val="00760052"/>
    <w:rsid w:val="00760089"/>
    <w:rsid w:val="00767DFA"/>
    <w:rsid w:val="00774497"/>
    <w:rsid w:val="00780C90"/>
    <w:rsid w:val="007908C8"/>
    <w:rsid w:val="00791EDE"/>
    <w:rsid w:val="007977C6"/>
    <w:rsid w:val="007979E7"/>
    <w:rsid w:val="007A3C0B"/>
    <w:rsid w:val="007A541E"/>
    <w:rsid w:val="007A5BBB"/>
    <w:rsid w:val="007A7ACA"/>
    <w:rsid w:val="007D3E1F"/>
    <w:rsid w:val="007D5B05"/>
    <w:rsid w:val="007E3A63"/>
    <w:rsid w:val="007E6815"/>
    <w:rsid w:val="00801CE7"/>
    <w:rsid w:val="008045A9"/>
    <w:rsid w:val="008047E2"/>
    <w:rsid w:val="00805FBD"/>
    <w:rsid w:val="00807CC3"/>
    <w:rsid w:val="008106C3"/>
    <w:rsid w:val="008121A6"/>
    <w:rsid w:val="008160CF"/>
    <w:rsid w:val="00822773"/>
    <w:rsid w:val="00822F41"/>
    <w:rsid w:val="008277B2"/>
    <w:rsid w:val="00834D34"/>
    <w:rsid w:val="008402AE"/>
    <w:rsid w:val="00841FA4"/>
    <w:rsid w:val="008422DB"/>
    <w:rsid w:val="00843BD3"/>
    <w:rsid w:val="00844363"/>
    <w:rsid w:val="00847646"/>
    <w:rsid w:val="00850344"/>
    <w:rsid w:val="00851D75"/>
    <w:rsid w:val="0085355F"/>
    <w:rsid w:val="00853640"/>
    <w:rsid w:val="00855E5D"/>
    <w:rsid w:val="00856741"/>
    <w:rsid w:val="00862349"/>
    <w:rsid w:val="00862FA7"/>
    <w:rsid w:val="00864AE7"/>
    <w:rsid w:val="00864E53"/>
    <w:rsid w:val="008668E8"/>
    <w:rsid w:val="00866BDC"/>
    <w:rsid w:val="00867A4F"/>
    <w:rsid w:val="00874C2D"/>
    <w:rsid w:val="00882A51"/>
    <w:rsid w:val="0088336B"/>
    <w:rsid w:val="00885393"/>
    <w:rsid w:val="00892653"/>
    <w:rsid w:val="008A1184"/>
    <w:rsid w:val="008A250F"/>
    <w:rsid w:val="008A50D5"/>
    <w:rsid w:val="008B0772"/>
    <w:rsid w:val="008C179B"/>
    <w:rsid w:val="008C6046"/>
    <w:rsid w:val="008D4C71"/>
    <w:rsid w:val="008D4E8B"/>
    <w:rsid w:val="008D5871"/>
    <w:rsid w:val="008D5905"/>
    <w:rsid w:val="008D6A4E"/>
    <w:rsid w:val="008E1FC5"/>
    <w:rsid w:val="008E2993"/>
    <w:rsid w:val="008F0958"/>
    <w:rsid w:val="009046EF"/>
    <w:rsid w:val="00904A5B"/>
    <w:rsid w:val="00907023"/>
    <w:rsid w:val="009102B9"/>
    <w:rsid w:val="00924CAF"/>
    <w:rsid w:val="00933CF6"/>
    <w:rsid w:val="00947077"/>
    <w:rsid w:val="0095092A"/>
    <w:rsid w:val="00955292"/>
    <w:rsid w:val="00955315"/>
    <w:rsid w:val="00956B26"/>
    <w:rsid w:val="00957AF9"/>
    <w:rsid w:val="009608CC"/>
    <w:rsid w:val="00964E09"/>
    <w:rsid w:val="0097376A"/>
    <w:rsid w:val="0097680E"/>
    <w:rsid w:val="00980A9E"/>
    <w:rsid w:val="009936CE"/>
    <w:rsid w:val="00997D46"/>
    <w:rsid w:val="009B4728"/>
    <w:rsid w:val="009B5286"/>
    <w:rsid w:val="009C0E89"/>
    <w:rsid w:val="009C24A0"/>
    <w:rsid w:val="009C6F95"/>
    <w:rsid w:val="009C74D7"/>
    <w:rsid w:val="009D1C7A"/>
    <w:rsid w:val="009D1EEB"/>
    <w:rsid w:val="009E0860"/>
    <w:rsid w:val="009E0890"/>
    <w:rsid w:val="009E3C3E"/>
    <w:rsid w:val="009E4EFF"/>
    <w:rsid w:val="009E6C7E"/>
    <w:rsid w:val="009F1E75"/>
    <w:rsid w:val="009F653C"/>
    <w:rsid w:val="00A00F9E"/>
    <w:rsid w:val="00A01232"/>
    <w:rsid w:val="00A10538"/>
    <w:rsid w:val="00A36891"/>
    <w:rsid w:val="00A43032"/>
    <w:rsid w:val="00A46CE1"/>
    <w:rsid w:val="00A556A2"/>
    <w:rsid w:val="00A7055D"/>
    <w:rsid w:val="00A707D7"/>
    <w:rsid w:val="00A81EC2"/>
    <w:rsid w:val="00A871BC"/>
    <w:rsid w:val="00A87C40"/>
    <w:rsid w:val="00A87ED5"/>
    <w:rsid w:val="00A921CF"/>
    <w:rsid w:val="00A939BF"/>
    <w:rsid w:val="00AA1C19"/>
    <w:rsid w:val="00AB17F0"/>
    <w:rsid w:val="00AC401C"/>
    <w:rsid w:val="00AE4120"/>
    <w:rsid w:val="00B01868"/>
    <w:rsid w:val="00B062B8"/>
    <w:rsid w:val="00B13268"/>
    <w:rsid w:val="00B316C5"/>
    <w:rsid w:val="00B3201A"/>
    <w:rsid w:val="00B35457"/>
    <w:rsid w:val="00B51086"/>
    <w:rsid w:val="00B5442D"/>
    <w:rsid w:val="00B56373"/>
    <w:rsid w:val="00B87B17"/>
    <w:rsid w:val="00B93DF4"/>
    <w:rsid w:val="00BA09CF"/>
    <w:rsid w:val="00BA2975"/>
    <w:rsid w:val="00BA3C1C"/>
    <w:rsid w:val="00BA712D"/>
    <w:rsid w:val="00BB0DA5"/>
    <w:rsid w:val="00BC4B88"/>
    <w:rsid w:val="00BC7E07"/>
    <w:rsid w:val="00BD11CF"/>
    <w:rsid w:val="00BD3DFF"/>
    <w:rsid w:val="00BD4CFE"/>
    <w:rsid w:val="00BD7066"/>
    <w:rsid w:val="00BE1959"/>
    <w:rsid w:val="00BE37AF"/>
    <w:rsid w:val="00BF447C"/>
    <w:rsid w:val="00BF6368"/>
    <w:rsid w:val="00C007B0"/>
    <w:rsid w:val="00C129BF"/>
    <w:rsid w:val="00C26590"/>
    <w:rsid w:val="00C37827"/>
    <w:rsid w:val="00C433BF"/>
    <w:rsid w:val="00C456AD"/>
    <w:rsid w:val="00C457E6"/>
    <w:rsid w:val="00C47115"/>
    <w:rsid w:val="00C51709"/>
    <w:rsid w:val="00C530AC"/>
    <w:rsid w:val="00C5574D"/>
    <w:rsid w:val="00C5714A"/>
    <w:rsid w:val="00C65381"/>
    <w:rsid w:val="00C701E1"/>
    <w:rsid w:val="00C70250"/>
    <w:rsid w:val="00C80F6E"/>
    <w:rsid w:val="00C86520"/>
    <w:rsid w:val="00C90AC5"/>
    <w:rsid w:val="00C91E2B"/>
    <w:rsid w:val="00C96421"/>
    <w:rsid w:val="00CA4AEE"/>
    <w:rsid w:val="00CB5750"/>
    <w:rsid w:val="00CD0484"/>
    <w:rsid w:val="00CD1DCA"/>
    <w:rsid w:val="00CD1FE7"/>
    <w:rsid w:val="00CD50BA"/>
    <w:rsid w:val="00CD7EFD"/>
    <w:rsid w:val="00CE1DFE"/>
    <w:rsid w:val="00CE2366"/>
    <w:rsid w:val="00CF7766"/>
    <w:rsid w:val="00D03430"/>
    <w:rsid w:val="00D0379D"/>
    <w:rsid w:val="00D15DCD"/>
    <w:rsid w:val="00D164C7"/>
    <w:rsid w:val="00D203F9"/>
    <w:rsid w:val="00D20408"/>
    <w:rsid w:val="00D24786"/>
    <w:rsid w:val="00D2505B"/>
    <w:rsid w:val="00D36EAB"/>
    <w:rsid w:val="00D417F1"/>
    <w:rsid w:val="00D436DA"/>
    <w:rsid w:val="00D44370"/>
    <w:rsid w:val="00D44E03"/>
    <w:rsid w:val="00D549FB"/>
    <w:rsid w:val="00D55584"/>
    <w:rsid w:val="00D5658C"/>
    <w:rsid w:val="00D60EB6"/>
    <w:rsid w:val="00D70875"/>
    <w:rsid w:val="00D72A5F"/>
    <w:rsid w:val="00D75D1D"/>
    <w:rsid w:val="00D91219"/>
    <w:rsid w:val="00D9664D"/>
    <w:rsid w:val="00DA2479"/>
    <w:rsid w:val="00DA69C4"/>
    <w:rsid w:val="00DC14A8"/>
    <w:rsid w:val="00DC2139"/>
    <w:rsid w:val="00DC2F72"/>
    <w:rsid w:val="00DC3BEF"/>
    <w:rsid w:val="00DC4116"/>
    <w:rsid w:val="00DD2664"/>
    <w:rsid w:val="00DD3397"/>
    <w:rsid w:val="00DD6CAF"/>
    <w:rsid w:val="00DE0304"/>
    <w:rsid w:val="00DE221D"/>
    <w:rsid w:val="00DE7376"/>
    <w:rsid w:val="00DF5BAB"/>
    <w:rsid w:val="00DF7EAF"/>
    <w:rsid w:val="00E01CF1"/>
    <w:rsid w:val="00E03034"/>
    <w:rsid w:val="00E10E35"/>
    <w:rsid w:val="00E11504"/>
    <w:rsid w:val="00E12F36"/>
    <w:rsid w:val="00E30CA8"/>
    <w:rsid w:val="00E426A4"/>
    <w:rsid w:val="00E43B5C"/>
    <w:rsid w:val="00E44D22"/>
    <w:rsid w:val="00E50DE2"/>
    <w:rsid w:val="00E532A7"/>
    <w:rsid w:val="00E55CC6"/>
    <w:rsid w:val="00E613A8"/>
    <w:rsid w:val="00E6390C"/>
    <w:rsid w:val="00E669E0"/>
    <w:rsid w:val="00E7277F"/>
    <w:rsid w:val="00E7733A"/>
    <w:rsid w:val="00E841B6"/>
    <w:rsid w:val="00E84294"/>
    <w:rsid w:val="00E87A11"/>
    <w:rsid w:val="00E92579"/>
    <w:rsid w:val="00E928CC"/>
    <w:rsid w:val="00E92BE2"/>
    <w:rsid w:val="00E94EF3"/>
    <w:rsid w:val="00E97E25"/>
    <w:rsid w:val="00EA2C82"/>
    <w:rsid w:val="00EA3F84"/>
    <w:rsid w:val="00EA6E2E"/>
    <w:rsid w:val="00EA7C10"/>
    <w:rsid w:val="00EB23E8"/>
    <w:rsid w:val="00EB4B6E"/>
    <w:rsid w:val="00EC12CC"/>
    <w:rsid w:val="00EC1413"/>
    <w:rsid w:val="00EC22F1"/>
    <w:rsid w:val="00EC48CB"/>
    <w:rsid w:val="00EC6045"/>
    <w:rsid w:val="00EC726D"/>
    <w:rsid w:val="00ED066F"/>
    <w:rsid w:val="00EF15F4"/>
    <w:rsid w:val="00EF4591"/>
    <w:rsid w:val="00EF48EB"/>
    <w:rsid w:val="00EF498C"/>
    <w:rsid w:val="00EF60DC"/>
    <w:rsid w:val="00F06CB2"/>
    <w:rsid w:val="00F12701"/>
    <w:rsid w:val="00F22EA3"/>
    <w:rsid w:val="00F373E7"/>
    <w:rsid w:val="00F468D7"/>
    <w:rsid w:val="00F5246C"/>
    <w:rsid w:val="00F65E7A"/>
    <w:rsid w:val="00F74008"/>
    <w:rsid w:val="00F763F8"/>
    <w:rsid w:val="00F76D36"/>
    <w:rsid w:val="00F91838"/>
    <w:rsid w:val="00F95804"/>
    <w:rsid w:val="00FA4954"/>
    <w:rsid w:val="00FA59E5"/>
    <w:rsid w:val="00FA5EE7"/>
    <w:rsid w:val="00FA6E0E"/>
    <w:rsid w:val="00FB2968"/>
    <w:rsid w:val="00FC1787"/>
    <w:rsid w:val="00FC2014"/>
    <w:rsid w:val="00FC35A0"/>
    <w:rsid w:val="00FD06F6"/>
    <w:rsid w:val="00FE3684"/>
    <w:rsid w:val="00FE4FA8"/>
    <w:rsid w:val="00FF46F4"/>
    <w:rsid w:val="00FF5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A8BE9"/>
  <w15:chartTrackingRefBased/>
  <w15:docId w15:val="{9FB43974-39D4-4857-AA42-2A3EA2EAF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63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63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63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63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63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63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63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3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63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63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63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63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63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63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63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63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3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6368"/>
    <w:rPr>
      <w:rFonts w:eastAsiaTheme="majorEastAsia" w:cstheme="majorBidi"/>
      <w:color w:val="272727" w:themeColor="text1" w:themeTint="D8"/>
    </w:rPr>
  </w:style>
  <w:style w:type="paragraph" w:styleId="Title">
    <w:name w:val="Title"/>
    <w:basedOn w:val="Normal"/>
    <w:next w:val="Normal"/>
    <w:link w:val="TitleChar"/>
    <w:uiPriority w:val="10"/>
    <w:qFormat/>
    <w:rsid w:val="00BF63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3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3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3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6368"/>
    <w:pPr>
      <w:spacing w:before="160"/>
      <w:jc w:val="center"/>
    </w:pPr>
    <w:rPr>
      <w:i/>
      <w:iCs/>
      <w:color w:val="404040" w:themeColor="text1" w:themeTint="BF"/>
    </w:rPr>
  </w:style>
  <w:style w:type="character" w:customStyle="1" w:styleId="QuoteChar">
    <w:name w:val="Quote Char"/>
    <w:basedOn w:val="DefaultParagraphFont"/>
    <w:link w:val="Quote"/>
    <w:uiPriority w:val="29"/>
    <w:rsid w:val="00BF6368"/>
    <w:rPr>
      <w:i/>
      <w:iCs/>
      <w:color w:val="404040" w:themeColor="text1" w:themeTint="BF"/>
    </w:rPr>
  </w:style>
  <w:style w:type="paragraph" w:styleId="ListParagraph">
    <w:name w:val="List Paragraph"/>
    <w:basedOn w:val="Normal"/>
    <w:uiPriority w:val="34"/>
    <w:qFormat/>
    <w:rsid w:val="00BF6368"/>
    <w:pPr>
      <w:ind w:left="720"/>
      <w:contextualSpacing/>
    </w:pPr>
  </w:style>
  <w:style w:type="character" w:styleId="IntenseEmphasis">
    <w:name w:val="Intense Emphasis"/>
    <w:basedOn w:val="DefaultParagraphFont"/>
    <w:uiPriority w:val="21"/>
    <w:qFormat/>
    <w:rsid w:val="00BF6368"/>
    <w:rPr>
      <w:i/>
      <w:iCs/>
      <w:color w:val="0F4761" w:themeColor="accent1" w:themeShade="BF"/>
    </w:rPr>
  </w:style>
  <w:style w:type="paragraph" w:styleId="IntenseQuote">
    <w:name w:val="Intense Quote"/>
    <w:basedOn w:val="Normal"/>
    <w:next w:val="Normal"/>
    <w:link w:val="IntenseQuoteChar"/>
    <w:uiPriority w:val="30"/>
    <w:qFormat/>
    <w:rsid w:val="00BF63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6368"/>
    <w:rPr>
      <w:i/>
      <w:iCs/>
      <w:color w:val="0F4761" w:themeColor="accent1" w:themeShade="BF"/>
    </w:rPr>
  </w:style>
  <w:style w:type="character" w:styleId="IntenseReference">
    <w:name w:val="Intense Reference"/>
    <w:basedOn w:val="DefaultParagraphFont"/>
    <w:uiPriority w:val="32"/>
    <w:qFormat/>
    <w:rsid w:val="00BF6368"/>
    <w:rPr>
      <w:b/>
      <w:bCs/>
      <w:smallCaps/>
      <w:color w:val="0F4761" w:themeColor="accent1" w:themeShade="BF"/>
      <w:spacing w:val="5"/>
    </w:rPr>
  </w:style>
  <w:style w:type="character" w:styleId="Hyperlink">
    <w:name w:val="Hyperlink"/>
    <w:basedOn w:val="DefaultParagraphFont"/>
    <w:uiPriority w:val="99"/>
    <w:unhideWhenUsed/>
    <w:rsid w:val="00147A9F"/>
    <w:rPr>
      <w:color w:val="467886" w:themeColor="hyperlink"/>
      <w:u w:val="single"/>
    </w:rPr>
  </w:style>
  <w:style w:type="paragraph" w:styleId="Header">
    <w:name w:val="header"/>
    <w:basedOn w:val="Normal"/>
    <w:link w:val="HeaderChar"/>
    <w:uiPriority w:val="99"/>
    <w:unhideWhenUsed/>
    <w:rsid w:val="003115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15EA"/>
  </w:style>
  <w:style w:type="paragraph" w:styleId="Footer">
    <w:name w:val="footer"/>
    <w:basedOn w:val="Normal"/>
    <w:link w:val="FooterChar"/>
    <w:uiPriority w:val="99"/>
    <w:unhideWhenUsed/>
    <w:rsid w:val="003115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1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power.larc.nasa.gov/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19676</TotalTime>
  <Pages>13</Pages>
  <Words>13438</Words>
  <Characters>76600</Characters>
  <Application>Microsoft Office Word</Application>
  <DocSecurity>0</DocSecurity>
  <Lines>638</Lines>
  <Paragraphs>179</Paragraphs>
  <ScaleCrop>false</ScaleCrop>
  <Company>Kent State University</Company>
  <LinksUpToDate>false</LinksUpToDate>
  <CharactersWithSpaces>89859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Kenneth</dc:creator>
  <cp:keywords/>
  <dc:description/>
  <cp:lastModifiedBy>Anderson, Kenneth</cp:lastModifiedBy>
  <cp:revision>521</cp:revision>
  <dcterms:created xsi:type="dcterms:W3CDTF">2026-06-12T18:21:00Z</dcterms:created>
  <dcterms:modified xsi:type="dcterms:W3CDTF">2026-08-07T16:51:00Z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id="DfkfAYq5"/&gt;&lt;style id="http://www.zotero.org/styles/ecology" hasBibliography="1" bibliographyStyleHasBeenSet="0"/&gt;&lt;prefs&gt;&lt;pref name="fieldType" value="Field"/&gt;&lt;/prefs&gt;&lt;/data&gt;</vt:lpwstr>
  </property>
</Properties>
</file>