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Arial" w:cs="Arial" w:eastAsia="Arial" w:hAnsi="Arial"/>
          <w:b/>
          <w:bCs/>
          <w:color w:val="1A1A2E"/>
          <w:sz w:val="56"/>
          <w:szCs w:val="56"/>
        </w:rPr>
        <w:t xml:space="preserve">Kate Gawron</w:t>
      </w:r>
    </w:p>
    <w:p>
      <w:pPr>
        <w:spacing w:before="0" w:after="80"/>
      </w:pPr>
      <w:r>
        <w:rPr>
          <w:rFonts w:ascii="Arial" w:cs="Arial" w:eastAsia="Arial" w:hAnsi="Arial"/>
          <w:color w:val="00A99D"/>
          <w:sz w:val="26"/>
          <w:szCs w:val="26"/>
        </w:rPr>
        <w:t xml:space="preserve">Solutions Engineer, Cloud Data Platforms  |  EMEA</w:t>
      </w:r>
    </w:p>
    <w:p>
      <w:pPr>
        <w:spacing w:before="0" w:after="160"/>
      </w:pPr>
      <w:r>
        <w:rPr>
          <w:rFonts w:ascii="Arial" w:cs="Arial" w:eastAsia="Arial" w:hAnsi="Arial"/>
          <w:color w:val="444444"/>
          <w:sz w:val="20"/>
          <w:szCs w:val="20"/>
        </w:rPr>
        <w:t xml:space="preserve">kate@katehollow.co.uk</w:t>
      </w:r>
      <w:r>
        <w:rPr>
          <w:rFonts w:ascii="Arial" w:cs="Arial" w:eastAsia="Arial" w:hAnsi="Arial"/>
          <w:color w:val="444444"/>
          <w:sz w:val="20"/>
          <w:szCs w:val="20"/>
        </w:rPr>
        <w:t xml:space="preserve">   ·   (+44) 07709 363174</w:t>
      </w:r>
      <w:r>
        <w:rPr>
          <w:rFonts w:ascii="Arial" w:cs="Arial" w:eastAsia="Arial" w:hAnsi="Arial"/>
          <w:color w:val="444444"/>
          <w:sz w:val="20"/>
          <w:szCs w:val="20"/>
        </w:rPr>
        <w:t xml:space="preserve">   ·   Sheffield, UK</w:t>
      </w:r>
      <w:r>
        <w:rPr>
          <w:rFonts w:ascii="Arial" w:cs="Arial" w:eastAsia="Arial" w:hAnsi="Arial"/>
          <w:color w:val="00A99D"/>
          <w:sz w:val="20"/>
          <w:szCs w:val="20"/>
        </w:rPr>
        <w:t xml:space="preserve">   ·   linkedin.com/in/katehollow</w:t>
      </w:r>
    </w:p>
    <w:p>
      <w:pPr>
        <w:pBdr>
          <w:bottom w:val="single" w:color="00A99D" w:sz="8" w:space="4"/>
        </w:pBdr>
        <w:spacing w:before="260" w:after="80"/>
      </w:pPr>
      <w:r>
        <w:rPr>
          <w:rFonts w:ascii="Arial" w:cs="Arial" w:eastAsia="Arial" w:hAnsi="Arial"/>
          <w:b/>
          <w:bCs/>
          <w:color w:val="1A1A2E"/>
          <w:sz w:val="26"/>
          <w:szCs w:val="26"/>
        </w:rPr>
        <w:t xml:space="preserve">PROFESSIONAL SUMMARY</w:t>
      </w:r>
    </w:p>
    <w:p>
      <w:pPr>
        <w:spacing w:before="80" w:after="120"/>
      </w:pPr>
      <w:r>
        <w:rPr>
          <w:rFonts w:ascii="Arial" w:cs="Arial" w:eastAsia="Arial" w:hAnsi="Arial"/>
          <w:color w:val="444444"/>
          <w:sz w:val="21"/>
          <w:szCs w:val="21"/>
        </w:rPr>
        <w:t xml:space="preserve">Senior Solutions Engineer and Cloud Data Platform specialist with 6+ years in technical pre-sales across AWS and DoiT, contributing over $34M in ARR. Deep expertise in Cloud Data Platform cost optimisation, FinOps, and database architecture across AWS, GCP, and Azure. Proven track record owning end-to-end technical wins — from discovery and POC/POV delivery through to C-level ROI presentations. Hands-on experience with BigQuery, Redshift, and cloud-native data platforms, complemented by GCP Professional Database Engineer and Data Engineer certifications. Adept at translating complex technical challenges into compelling business cases, and at presenting to both technical teams and executive stakeholders at scale.</w:t>
      </w:r>
    </w:p>
    <w:p>
      <w:pPr>
        <w:pBdr>
          <w:bottom w:val="single" w:color="00A99D" w:sz="8" w:space="4"/>
        </w:pBdr>
        <w:spacing w:before="260" w:after="80"/>
      </w:pPr>
      <w:r>
        <w:rPr>
          <w:rFonts w:ascii="Arial" w:cs="Arial" w:eastAsia="Arial" w:hAnsi="Arial"/>
          <w:b/>
          <w:bCs/>
          <w:color w:val="1A1A2E"/>
          <w:sz w:val="26"/>
          <w:szCs w:val="26"/>
        </w:rPr>
        <w:t xml:space="preserve">WORK EXPERIENCE</w:t>
      </w:r>
    </w:p>
    <w:p>
      <w:pPr>
        <w:spacing w:before="180" w:after="20"/>
      </w:pPr>
      <w:r>
        <w:rPr>
          <w:rFonts w:ascii="Arial" w:cs="Arial" w:eastAsia="Arial" w:hAnsi="Arial"/>
          <w:b/>
          <w:bCs/>
          <w:color w:val="1A1A2E"/>
          <w:sz w:val="24"/>
          <w:szCs w:val="24"/>
        </w:rPr>
        <w:t xml:space="preserve">Senior Cloud Database Architect</w:t>
      </w:r>
    </w:p>
    <w:p>
      <w:pPr>
        <w:spacing w:before="0" w:after="60"/>
      </w:pPr>
      <w:r>
        <w:rPr>
          <w:rFonts w:ascii="Arial" w:cs="Arial" w:eastAsia="Arial" w:hAnsi="Arial"/>
          <w:b/>
          <w:bCs/>
          <w:color w:val="00A99D"/>
          <w:sz w:val="22"/>
          <w:szCs w:val="22"/>
        </w:rPr>
        <w:t xml:space="preserve">DoiT International</w:t>
      </w:r>
      <w:r>
        <w:rPr>
          <w:rFonts w:ascii="Arial" w:cs="Arial" w:eastAsia="Arial" w:hAnsi="Arial"/>
          <w:i/>
          <w:iCs/>
          <w:color w:val="888888"/>
          <w:sz w:val="21"/>
          <w:szCs w:val="21"/>
        </w:rPr>
        <w:t xml:space="preserve">   |   Sept 2023 – Present</w:t>
      </w:r>
    </w:p>
    <w:p>
      <w:pPr>
        <w:pStyle w:val="ListParagraph"/>
        <w:numPr>
          <w:ilvl w:val="0"/>
          <w:numId w:val="2"/>
        </w:numPr>
        <w:spacing w:before="40" w:after="40"/>
      </w:pPr>
      <w:r>
        <w:rPr>
          <w:rFonts w:ascii="Arial" w:cs="Arial" w:eastAsia="Arial" w:hAnsi="Arial"/>
          <w:color w:val="444444"/>
          <w:sz w:val="21"/>
          <w:szCs w:val="21"/>
        </w:rPr>
        <w:t xml:space="preserve">Regular collaborator with DoiT Solutions Engineers across EMEA, operating as the </w:t>
      </w:r>
      <w:r>
        <w:rPr>
          <w:rFonts w:ascii="Arial" w:cs="Arial" w:eastAsia="Arial" w:hAnsi="Arial"/>
          <w:b/>
          <w:bCs/>
          <w:color w:val="1A1A2E"/>
          <w:sz w:val="21"/>
          <w:szCs w:val="21"/>
        </w:rPr>
        <w:t xml:space="preserve">cloud database solutions architect</w:t>
      </w:r>
      <w:r>
        <w:rPr>
          <w:rFonts w:ascii="Arial" w:cs="Arial" w:eastAsia="Arial" w:hAnsi="Arial"/>
          <w:color w:val="444444"/>
          <w:sz w:val="21"/>
          <w:szCs w:val="21"/>
        </w:rPr>
        <w:t xml:space="preserve"> in pre-sales engagements — owning technical discovery, architecture design, and customer-facing recommendations across AWS, Azure, and GCP.</w:t>
      </w:r>
    </w:p>
    <w:p>
      <w:pPr>
        <w:pStyle w:val="ListParagraph"/>
        <w:numPr>
          <w:ilvl w:val="0"/>
          <w:numId w:val="2"/>
        </w:numPr>
        <w:spacing w:before="40" w:after="40"/>
      </w:pPr>
      <w:r>
        <w:rPr>
          <w:rFonts w:ascii="Arial" w:cs="Arial" w:eastAsia="Arial" w:hAnsi="Arial"/>
          <w:b/>
          <w:bCs/>
          <w:color w:val="1A1A2E"/>
          <w:sz w:val="21"/>
          <w:szCs w:val="21"/>
        </w:rPr>
        <w:t xml:space="preserve">Delivered $20M+ ARR</w:t>
      </w:r>
      <w:r>
        <w:rPr>
          <w:rFonts w:ascii="Arial" w:cs="Arial" w:eastAsia="Arial" w:hAnsi="Arial"/>
          <w:color w:val="444444"/>
          <w:sz w:val="21"/>
          <w:szCs w:val="21"/>
        </w:rPr>
        <w:t xml:space="preserve"> by running end-to-end technical wins: scoping discovery sessions, designing tailored POC/POV exercises, and delivering ROI-driven business cases to C-level and technical audiences.</w:t>
      </w:r>
    </w:p>
    <w:p>
      <w:pPr>
        <w:pStyle w:val="ListParagraph"/>
        <w:numPr>
          <w:ilvl w:val="0"/>
          <w:numId w:val="2"/>
        </w:numPr>
        <w:spacing w:before="40" w:after="40"/>
      </w:pPr>
      <w:r>
        <w:rPr>
          <w:rFonts w:ascii="Arial" w:cs="Arial" w:eastAsia="Arial" w:hAnsi="Arial"/>
          <w:b/>
          <w:bCs/>
          <w:color w:val="1A1A2E"/>
          <w:sz w:val="21"/>
          <w:szCs w:val="21"/>
        </w:rPr>
        <w:t xml:space="preserve">Rescued two at-risk enterprise accounts</w:t>
      </w:r>
      <w:r>
        <w:rPr>
          <w:rFonts w:ascii="Arial" w:cs="Arial" w:eastAsia="Arial" w:hAnsi="Arial"/>
          <w:color w:val="444444"/>
          <w:sz w:val="21"/>
          <w:szCs w:val="21"/>
        </w:rPr>
        <w:t xml:space="preserve"> through deep-dive root cause analysis and cost optimisation roadmaps, rebuilding trust and upselling to larger contracts — demonstrating the value-led SE approach central to SELECT.</w:t>
      </w:r>
    </w:p>
    <w:p>
      <w:pPr>
        <w:pStyle w:val="ListParagraph"/>
        <w:numPr>
          <w:ilvl w:val="0"/>
          <w:numId w:val="2"/>
        </w:numPr>
        <w:spacing w:before="40" w:after="40"/>
      </w:pPr>
      <w:r>
        <w:rPr>
          <w:rFonts w:ascii="Arial" w:cs="Arial" w:eastAsia="Arial" w:hAnsi="Arial"/>
          <w:color w:val="444444"/>
          <w:sz w:val="21"/>
          <w:szCs w:val="21"/>
        </w:rPr>
        <w:t xml:space="preserve">Served as trusted technical advisor to C-suite stakeholders, translating cloud data platform cost challenges and inefficiencies into structured architecture roadmaps and actionable optimisation strategies.</w:t>
      </w:r>
    </w:p>
    <w:p>
      <w:pPr>
        <w:pStyle w:val="ListParagraph"/>
        <w:numPr>
          <w:ilvl w:val="0"/>
          <w:numId w:val="2"/>
        </w:numPr>
        <w:spacing w:before="40" w:after="40"/>
      </w:pPr>
      <w:r>
        <w:rPr>
          <w:rFonts w:ascii="Arial" w:cs="Arial" w:eastAsia="Arial" w:hAnsi="Arial"/>
          <w:b/>
          <w:bCs/>
          <w:color w:val="1A1A2E"/>
          <w:sz w:val="21"/>
          <w:szCs w:val="21"/>
        </w:rPr>
        <w:t xml:space="preserve">Leads EMEA delivery of the Data to Insights sales play</w:t>
      </w:r>
      <w:r>
        <w:rPr>
          <w:rFonts w:ascii="Arial" w:cs="Arial" w:eastAsia="Arial" w:hAnsi="Arial"/>
          <w:color w:val="444444"/>
          <w:sz w:val="21"/>
          <w:szCs w:val="21"/>
        </w:rPr>
        <w:t xml:space="preserve"> — owning customer-facing execution and driving adoption of cloud data platform modernisation across the region.</w:t>
      </w:r>
    </w:p>
    <w:p>
      <w:pPr>
        <w:pStyle w:val="ListParagraph"/>
        <w:numPr>
          <w:ilvl w:val="0"/>
          <w:numId w:val="2"/>
        </w:numPr>
        <w:spacing w:before="40" w:after="40"/>
      </w:pPr>
      <w:r>
        <w:rPr>
          <w:rFonts w:ascii="Arial" w:cs="Arial" w:eastAsia="Arial" w:hAnsi="Arial"/>
          <w:color w:val="444444"/>
          <w:sz w:val="21"/>
          <w:szCs w:val="21"/>
        </w:rPr>
        <w:t xml:space="preserve">Customer-facing presenter on the </w:t>
      </w:r>
      <w:r>
        <w:rPr>
          <w:rFonts w:ascii="Arial" w:cs="Arial" w:eastAsia="Arial" w:hAnsi="Arial"/>
          <w:b/>
          <w:bCs/>
          <w:color w:val="1A1A2E"/>
          <w:sz w:val="21"/>
          <w:szCs w:val="21"/>
        </w:rPr>
        <w:t xml:space="preserve">GenAI Accelerators programme</w:t>
      </w:r>
      <w:r>
        <w:rPr>
          <w:rFonts w:ascii="Arial" w:cs="Arial" w:eastAsia="Arial" w:hAnsi="Arial"/>
          <w:color w:val="444444"/>
          <w:sz w:val="21"/>
          <w:szCs w:val="21"/>
        </w:rPr>
        <w:t xml:space="preserve">, delivering technical sessions to prospects and customers on practical AI adoption within cloud data environments.</w:t>
      </w:r>
    </w:p>
    <w:p>
      <w:pPr>
        <w:pStyle w:val="ListParagraph"/>
        <w:numPr>
          <w:ilvl w:val="0"/>
          <w:numId w:val="2"/>
        </w:numPr>
        <w:spacing w:before="40" w:after="40"/>
      </w:pPr>
      <w:r>
        <w:rPr>
          <w:rFonts w:ascii="Arial" w:cs="Arial" w:eastAsia="Arial" w:hAnsi="Arial"/>
          <w:color w:val="444444"/>
          <w:sz w:val="21"/>
          <w:szCs w:val="21"/>
        </w:rPr>
        <w:t xml:space="preserve">Partnered with R&amp;D and product teams to translate customer pain points and feature gaps into structured roadmap input — acting as voice of the technical customer across strategic EMEA accounts.</w:t>
      </w:r>
    </w:p>
    <w:p>
      <w:pPr>
        <w:spacing w:before="180" w:after="20"/>
      </w:pPr>
      <w:r>
        <w:rPr>
          <w:rFonts w:ascii="Arial" w:cs="Arial" w:eastAsia="Arial" w:hAnsi="Arial"/>
          <w:b/>
          <w:bCs/>
          <w:color w:val="1A1A2E"/>
          <w:sz w:val="24"/>
          <w:szCs w:val="24"/>
        </w:rPr>
        <w:t xml:space="preserve">Senior Database Solutions Architect (Pre-Sales SE)</w:t>
      </w:r>
    </w:p>
    <w:p>
      <w:pPr>
        <w:spacing w:before="0" w:after="60"/>
      </w:pPr>
      <w:r>
        <w:rPr>
          <w:rFonts w:ascii="Arial" w:cs="Arial" w:eastAsia="Arial" w:hAnsi="Arial"/>
          <w:b/>
          <w:bCs/>
          <w:color w:val="00A99D"/>
          <w:sz w:val="22"/>
          <w:szCs w:val="22"/>
        </w:rPr>
        <w:t xml:space="preserve">AWS</w:t>
      </w:r>
      <w:r>
        <w:rPr>
          <w:rFonts w:ascii="Arial" w:cs="Arial" w:eastAsia="Arial" w:hAnsi="Arial"/>
          <w:i/>
          <w:iCs/>
          <w:color w:val="888888"/>
          <w:sz w:val="21"/>
          <w:szCs w:val="21"/>
        </w:rPr>
        <w:t xml:space="preserve">   |   Oct 2022 – Sept 2023</w:t>
      </w:r>
    </w:p>
    <w:p>
      <w:pPr>
        <w:pStyle w:val="ListParagraph"/>
        <w:numPr>
          <w:ilvl w:val="0"/>
          <w:numId w:val="2"/>
        </w:numPr>
        <w:spacing w:before="40" w:after="40"/>
      </w:pPr>
      <w:r>
        <w:rPr>
          <w:rFonts w:ascii="Arial" w:cs="Arial" w:eastAsia="Arial" w:hAnsi="Arial"/>
          <w:b/>
          <w:bCs/>
          <w:color w:val="1A1A2E"/>
          <w:sz w:val="21"/>
          <w:szCs w:val="21"/>
        </w:rPr>
        <w:t xml:space="preserve">Drove $14M ARR</w:t>
      </w:r>
      <w:r>
        <w:rPr>
          <w:rFonts w:ascii="Arial" w:cs="Arial" w:eastAsia="Arial" w:hAnsi="Arial"/>
          <w:color w:val="444444"/>
          <w:sz w:val="21"/>
          <w:szCs w:val="21"/>
        </w:rPr>
        <w:t xml:space="preserve"> in database solutions across Ireland/Northern Ireland within 6 months by identifying Cloud Data Platform market gaps and delivering tailored AWS solutions — achieving </w:t>
      </w:r>
      <w:r>
        <w:rPr>
          <w:rFonts w:ascii="Arial" w:cs="Arial" w:eastAsia="Arial" w:hAnsi="Arial"/>
          <w:b/>
          <w:bCs/>
          <w:color w:val="1A1A2E"/>
          <w:sz w:val="21"/>
          <w:szCs w:val="21"/>
        </w:rPr>
        <w:t xml:space="preserve">300% YoY growth</w:t>
      </w:r>
      <w:r>
        <w:rPr>
          <w:rFonts w:ascii="Arial" w:cs="Arial" w:eastAsia="Arial" w:hAnsi="Arial"/>
          <w:color w:val="444444"/>
          <w:sz w:val="21"/>
          <w:szCs w:val="21"/>
        </w:rPr>
        <w:t xml:space="preserve">.</w:t>
      </w:r>
    </w:p>
    <w:p>
      <w:pPr>
        <w:pStyle w:val="ListParagraph"/>
        <w:numPr>
          <w:ilvl w:val="0"/>
          <w:numId w:val="2"/>
        </w:numPr>
        <w:spacing w:before="40" w:after="40"/>
      </w:pPr>
      <w:r>
        <w:rPr>
          <w:rFonts w:ascii="Arial" w:cs="Arial" w:eastAsia="Arial" w:hAnsi="Arial"/>
          <w:color w:val="444444"/>
          <w:sz w:val="21"/>
          <w:szCs w:val="21"/>
        </w:rPr>
        <w:t xml:space="preserve">Delivered keynote and technical sessions at </w:t>
      </w:r>
      <w:r>
        <w:rPr>
          <w:rFonts w:ascii="Arial" w:cs="Arial" w:eastAsia="Arial" w:hAnsi="Arial"/>
          <w:b/>
          <w:bCs/>
          <w:color w:val="1A1A2E"/>
          <w:sz w:val="21"/>
          <w:szCs w:val="21"/>
        </w:rPr>
        <w:t xml:space="preserve">AWS London Summit</w:t>
      </w:r>
      <w:r>
        <w:rPr>
          <w:rFonts w:ascii="Arial" w:cs="Arial" w:eastAsia="Arial" w:hAnsi="Arial"/>
          <w:color w:val="444444"/>
          <w:sz w:val="21"/>
          <w:szCs w:val="21"/>
        </w:rPr>
        <w:t xml:space="preserve"> and </w:t>
      </w:r>
      <w:r>
        <w:rPr>
          <w:rFonts w:ascii="Arial" w:cs="Arial" w:eastAsia="Arial" w:hAnsi="Arial"/>
          <w:b/>
          <w:bCs/>
          <w:color w:val="1A1A2E"/>
          <w:sz w:val="21"/>
          <w:szCs w:val="21"/>
        </w:rPr>
        <w:t xml:space="preserve">Cloud Day Dublin</w:t>
      </w:r>
      <w:r>
        <w:rPr>
          <w:rFonts w:ascii="Arial" w:cs="Arial" w:eastAsia="Arial" w:hAnsi="Arial"/>
          <w:color w:val="444444"/>
          <w:sz w:val="21"/>
          <w:szCs w:val="21"/>
        </w:rPr>
        <w:t xml:space="preserve">, presenting to 500+ customers on database modernisation, cost efficiency, and cloud data platform adoption strategies.</w:t>
      </w:r>
    </w:p>
    <w:p>
      <w:pPr>
        <w:pStyle w:val="ListParagraph"/>
        <w:numPr>
          <w:ilvl w:val="0"/>
          <w:numId w:val="2"/>
        </w:numPr>
        <w:spacing w:before="40" w:after="40"/>
      </w:pPr>
      <w:r>
        <w:rPr>
          <w:rFonts w:ascii="Arial" w:cs="Arial" w:eastAsia="Arial" w:hAnsi="Arial"/>
          <w:color w:val="444444"/>
          <w:sz w:val="21"/>
          <w:szCs w:val="21"/>
        </w:rPr>
        <w:t xml:space="preserve">Led strategic architecture reviews and hands-on deployment guidance for enterprise customers on AWS data services including </w:t>
      </w:r>
      <w:r>
        <w:rPr>
          <w:rFonts w:ascii="Arial" w:cs="Arial" w:eastAsia="Arial" w:hAnsi="Arial"/>
          <w:b/>
          <w:bCs/>
          <w:color w:val="1A1A2E"/>
          <w:sz w:val="21"/>
          <w:szCs w:val="21"/>
        </w:rPr>
        <w:t xml:space="preserve">Redshift, Aurora, RDS, and DMS</w:t>
      </w:r>
      <w:r>
        <w:rPr>
          <w:rFonts w:ascii="Arial" w:cs="Arial" w:eastAsia="Arial" w:hAnsi="Arial"/>
          <w:color w:val="444444"/>
          <w:sz w:val="21"/>
          <w:szCs w:val="21"/>
        </w:rPr>
        <w:t xml:space="preserve">, ensuring optimal adoption and cost-efficiency.</w:t>
      </w:r>
    </w:p>
    <w:p>
      <w:pPr>
        <w:pStyle w:val="ListParagraph"/>
        <w:numPr>
          <w:ilvl w:val="0"/>
          <w:numId w:val="2"/>
        </w:numPr>
        <w:spacing w:before="40" w:after="40"/>
      </w:pPr>
      <w:r>
        <w:rPr>
          <w:rFonts w:ascii="Arial" w:cs="Arial" w:eastAsia="Arial" w:hAnsi="Arial"/>
          <w:color w:val="444444"/>
          <w:sz w:val="21"/>
          <w:szCs w:val="21"/>
        </w:rPr>
        <w:t xml:space="preserve">Developed and delivered compelling platform demonstrations, business cases, and ROI analyses tailored to specific customer use cases and Cloud Data Platform cost challenges.</w:t>
      </w:r>
    </w:p>
    <w:p>
      <w:pPr>
        <w:spacing w:before="180" w:after="20"/>
      </w:pPr>
      <w:r>
        <w:rPr>
          <w:rFonts w:ascii="Arial" w:cs="Arial" w:eastAsia="Arial" w:hAnsi="Arial"/>
          <w:b/>
          <w:bCs/>
          <w:color w:val="1A1A2E"/>
          <w:sz w:val="24"/>
          <w:szCs w:val="24"/>
        </w:rPr>
        <w:t xml:space="preserve">Senior Database Migrations Consultant</w:t>
      </w:r>
    </w:p>
    <w:p>
      <w:pPr>
        <w:spacing w:before="0" w:after="60"/>
      </w:pPr>
      <w:r>
        <w:rPr>
          <w:rFonts w:ascii="Arial" w:cs="Arial" w:eastAsia="Arial" w:hAnsi="Arial"/>
          <w:b/>
          <w:bCs/>
          <w:color w:val="00A99D"/>
          <w:sz w:val="22"/>
          <w:szCs w:val="22"/>
        </w:rPr>
        <w:t xml:space="preserve">AWS</w:t>
      </w:r>
      <w:r>
        <w:rPr>
          <w:rFonts w:ascii="Arial" w:cs="Arial" w:eastAsia="Arial" w:hAnsi="Arial"/>
          <w:i/>
          <w:iCs/>
          <w:color w:val="888888"/>
          <w:sz w:val="21"/>
          <w:szCs w:val="21"/>
        </w:rPr>
        <w:t xml:space="preserve">   |   Nov 2019 – Oct 2022</w:t>
      </w:r>
    </w:p>
    <w:p>
      <w:pPr>
        <w:pStyle w:val="ListParagraph"/>
        <w:numPr>
          <w:ilvl w:val="0"/>
          <w:numId w:val="2"/>
        </w:numPr>
        <w:spacing w:before="40" w:after="40"/>
      </w:pPr>
      <w:r>
        <w:rPr>
          <w:rFonts w:ascii="Arial" w:cs="Arial" w:eastAsia="Arial" w:hAnsi="Arial"/>
          <w:color w:val="444444"/>
          <w:sz w:val="21"/>
          <w:szCs w:val="21"/>
        </w:rPr>
        <w:t xml:space="preserve">Orchestrated the migration of </w:t>
      </w:r>
      <w:r>
        <w:rPr>
          <w:rFonts w:ascii="Arial" w:cs="Arial" w:eastAsia="Arial" w:hAnsi="Arial"/>
          <w:b/>
          <w:bCs/>
          <w:color w:val="1A1A2E"/>
          <w:sz w:val="21"/>
          <w:szCs w:val="21"/>
        </w:rPr>
        <w:t xml:space="preserve">1,400+ on-premises databases</w:t>
      </w:r>
      <w:r>
        <w:rPr>
          <w:rFonts w:ascii="Arial" w:cs="Arial" w:eastAsia="Arial" w:hAnsi="Arial"/>
          <w:color w:val="444444"/>
          <w:sz w:val="21"/>
          <w:szCs w:val="21"/>
        </w:rPr>
        <w:t xml:space="preserve"> to AWS cloud in under 12 months using automated pipelines and AWS DMS — reducing infrastructure costs by </w:t>
      </w:r>
      <w:r>
        <w:rPr>
          <w:rFonts w:ascii="Arial" w:cs="Arial" w:eastAsia="Arial" w:hAnsi="Arial"/>
          <w:b/>
          <w:bCs/>
          <w:color w:val="1A1A2E"/>
          <w:sz w:val="21"/>
          <w:szCs w:val="21"/>
        </w:rPr>
        <w:t xml:space="preserve">40%</w:t>
      </w:r>
      <w:r>
        <w:rPr>
          <w:rFonts w:ascii="Arial" w:cs="Arial" w:eastAsia="Arial" w:hAnsi="Arial"/>
          <w:color w:val="444444"/>
          <w:sz w:val="21"/>
          <w:szCs w:val="21"/>
        </w:rPr>
        <w:t xml:space="preserve">.</w:t>
      </w:r>
    </w:p>
    <w:p>
      <w:pPr>
        <w:pStyle w:val="ListParagraph"/>
        <w:numPr>
          <w:ilvl w:val="0"/>
          <w:numId w:val="2"/>
        </w:numPr>
        <w:spacing w:before="40" w:after="40"/>
      </w:pPr>
      <w:r>
        <w:rPr>
          <w:rFonts w:ascii="Arial" w:cs="Arial" w:eastAsia="Arial" w:hAnsi="Arial"/>
          <w:color w:val="444444"/>
          <w:sz w:val="21"/>
          <w:szCs w:val="21"/>
        </w:rPr>
        <w:t xml:space="preserve">Accelerated Line-of-Business migrations </w:t>
      </w:r>
      <w:r>
        <w:rPr>
          <w:rFonts w:ascii="Arial" w:cs="Arial" w:eastAsia="Arial" w:hAnsi="Arial"/>
          <w:b/>
          <w:bCs/>
          <w:color w:val="1A1A2E"/>
          <w:sz w:val="21"/>
          <w:szCs w:val="21"/>
        </w:rPr>
        <w:t xml:space="preserve">10x</w:t>
      </w:r>
      <w:r>
        <w:rPr>
          <w:rFonts w:ascii="Arial" w:cs="Arial" w:eastAsia="Arial" w:hAnsi="Arial"/>
          <w:color w:val="444444"/>
          <w:sz w:val="21"/>
          <w:szCs w:val="21"/>
        </w:rPr>
        <w:t xml:space="preserve"> by tuning DMS performance parameters and developing custom replication scripts, addressing the kind of Cloud Data Platform inefficiency SELECT is built to solve.</w:t>
      </w:r>
    </w:p>
    <w:p>
      <w:pPr>
        <w:pStyle w:val="ListParagraph"/>
        <w:numPr>
          <w:ilvl w:val="0"/>
          <w:numId w:val="2"/>
        </w:numPr>
        <w:spacing w:before="40" w:after="40"/>
      </w:pPr>
      <w:r>
        <w:rPr>
          <w:rFonts w:ascii="Arial" w:cs="Arial" w:eastAsia="Arial" w:hAnsi="Arial"/>
          <w:color w:val="444444"/>
          <w:sz w:val="21"/>
          <w:szCs w:val="21"/>
        </w:rPr>
        <w:t xml:space="preserve">Co-developed an Oracle migration assessment tool that evaluated feasibility and migration paths for </w:t>
      </w:r>
      <w:r>
        <w:rPr>
          <w:rFonts w:ascii="Arial" w:cs="Arial" w:eastAsia="Arial" w:hAnsi="Arial"/>
          <w:b/>
          <w:bCs/>
          <w:color w:val="1A1A2E"/>
          <w:sz w:val="21"/>
          <w:szCs w:val="21"/>
        </w:rPr>
        <w:t xml:space="preserve">1,000+ databases weekly</w:t>
      </w:r>
      <w:r>
        <w:rPr>
          <w:rFonts w:ascii="Arial" w:cs="Arial" w:eastAsia="Arial" w:hAnsi="Arial"/>
          <w:color w:val="444444"/>
          <w:sz w:val="21"/>
          <w:szCs w:val="21"/>
        </w:rPr>
        <w:t xml:space="preserve">, reducing pre-migration planning turnaround by 30%.</w:t>
      </w:r>
    </w:p>
    <w:p>
      <w:pPr>
        <w:pStyle w:val="ListParagraph"/>
        <w:numPr>
          <w:ilvl w:val="0"/>
          <w:numId w:val="2"/>
        </w:numPr>
        <w:spacing w:before="40" w:after="40"/>
      </w:pPr>
      <w:r>
        <w:rPr>
          <w:rFonts w:ascii="Arial" w:cs="Arial" w:eastAsia="Arial" w:hAnsi="Arial"/>
          <w:color w:val="444444"/>
          <w:sz w:val="21"/>
          <w:szCs w:val="21"/>
        </w:rPr>
        <w:t xml:space="preserve">Led enterprise migrations from Oracle and SQL Server to open-source platforms (PostgreSQL, MySQL), delivering scalability improvements and significant cost reductions for large enterprise clients.</w:t>
      </w:r>
    </w:p>
    <w:p>
      <w:pPr>
        <w:pBdr>
          <w:bottom w:val="single" w:color="00A99D" w:sz="8" w:space="4"/>
        </w:pBdr>
        <w:spacing w:before="260" w:after="80"/>
      </w:pPr>
      <w:r>
        <w:rPr>
          <w:rFonts w:ascii="Arial" w:cs="Arial" w:eastAsia="Arial" w:hAnsi="Arial"/>
          <w:b/>
          <w:bCs/>
          <w:color w:val="1A1A2E"/>
          <w:sz w:val="26"/>
          <w:szCs w:val="26"/>
        </w:rPr>
        <w:t xml:space="preserve">SKILLS</w:t>
      </w:r>
    </w:p>
    <w:p>
      <w:pPr>
        <w:spacing w:before="80" w:after="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c>
          <w:tcPr>
            <w:tcBorders>
              <w:top w:val="single" w:color="00A99D" w:sz="1"/>
              <w:left w:val="single" w:color="00A99D" w:sz="1"/>
              <w:bottom w:val="single" w:color="00A99D" w:sz="1"/>
              <w:right w:val="single" w:color="00A99D" w:sz="1"/>
            </w:tcBorders>
            <w:shd w:fill="F0FAFA" w:val="clear"/>
            <w:tcMar>
              <w:top w:type="dxa" w:w="60"/>
              <w:left w:type="dxa" w:w="120"/>
              <w:bottom w:type="dxa" w:w="60"/>
              <w:right w:type="dxa" w:w="120"/>
            </w:tcMar>
            <w:vAlign w:val="center"/>
          </w:tcPr>
          <w:p>
            <w:pPr>
              <w:jc w:val="center"/>
            </w:pPr>
            <w:r>
              <w:rPr>
                <w:rFonts w:ascii="Arial" w:cs="Arial" w:eastAsia="Arial" w:hAnsi="Arial"/>
                <w:color w:val="1A1A2E"/>
                <w:sz w:val="19"/>
                <w:szCs w:val="19"/>
              </w:rPr>
              <w:t xml:space="preserve">Snowflake</w:t>
            </w:r>
          </w:p>
        </w:tc>
        <w:tc>
          <w:tcPr>
            <w:tcBorders>
              <w:top w:val="single" w:color="00A99D" w:sz="1"/>
              <w:left w:val="single" w:color="00A99D" w:sz="1"/>
              <w:bottom w:val="single" w:color="00A99D" w:sz="1"/>
              <w:right w:val="single" w:color="00A99D" w:sz="1"/>
            </w:tcBorders>
            <w:shd w:fill="F0FAFA" w:val="clear"/>
            <w:tcMar>
              <w:top w:type="dxa" w:w="60"/>
              <w:left w:type="dxa" w:w="120"/>
              <w:bottom w:type="dxa" w:w="60"/>
              <w:right w:type="dxa" w:w="120"/>
            </w:tcMar>
            <w:vAlign w:val="center"/>
          </w:tcPr>
          <w:p>
            <w:pPr>
              <w:jc w:val="center"/>
            </w:pPr>
            <w:r>
              <w:rPr>
                <w:rFonts w:ascii="Arial" w:cs="Arial" w:eastAsia="Arial" w:hAnsi="Arial"/>
                <w:color w:val="1A1A2E"/>
                <w:sz w:val="19"/>
                <w:szCs w:val="19"/>
              </w:rPr>
              <w:t xml:space="preserve">Databricks</w:t>
            </w:r>
          </w:p>
        </w:tc>
        <w:tc>
          <w:tcPr>
            <w:tcBorders>
              <w:top w:val="single" w:color="00A99D" w:sz="1"/>
              <w:left w:val="single" w:color="00A99D" w:sz="1"/>
              <w:bottom w:val="single" w:color="00A99D" w:sz="1"/>
              <w:right w:val="single" w:color="00A99D" w:sz="1"/>
            </w:tcBorders>
            <w:shd w:fill="F0FAFA" w:val="clear"/>
            <w:tcMar>
              <w:top w:type="dxa" w:w="60"/>
              <w:left w:type="dxa" w:w="120"/>
              <w:bottom w:type="dxa" w:w="60"/>
              <w:right w:type="dxa" w:w="120"/>
            </w:tcMar>
            <w:vAlign w:val="center"/>
          </w:tcPr>
          <w:p>
            <w:pPr>
              <w:jc w:val="center"/>
            </w:pPr>
            <w:r>
              <w:rPr>
                <w:rFonts w:ascii="Arial" w:cs="Arial" w:eastAsia="Arial" w:hAnsi="Arial"/>
                <w:color w:val="1A1A2E"/>
                <w:sz w:val="19"/>
                <w:szCs w:val="19"/>
              </w:rPr>
              <w:t xml:space="preserve">BigQuery</w:t>
            </w:r>
          </w:p>
        </w:tc>
        <w:tc>
          <w:tcPr>
            <w:tcBorders>
              <w:top w:val="single" w:color="00A99D" w:sz="1"/>
              <w:left w:val="single" w:color="00A99D" w:sz="1"/>
              <w:bottom w:val="single" w:color="00A99D" w:sz="1"/>
              <w:right w:val="single" w:color="00A99D" w:sz="1"/>
            </w:tcBorders>
            <w:shd w:fill="F0FAFA" w:val="clear"/>
            <w:tcMar>
              <w:top w:type="dxa" w:w="60"/>
              <w:left w:type="dxa" w:w="120"/>
              <w:bottom w:type="dxa" w:w="60"/>
              <w:right w:type="dxa" w:w="120"/>
            </w:tcMar>
            <w:vAlign w:val="center"/>
          </w:tcPr>
          <w:p>
            <w:pPr>
              <w:jc w:val="center"/>
            </w:pPr>
            <w:r>
              <w:rPr>
                <w:rFonts w:ascii="Arial" w:cs="Arial" w:eastAsia="Arial" w:hAnsi="Arial"/>
                <w:color w:val="1A1A2E"/>
                <w:sz w:val="19"/>
                <w:szCs w:val="19"/>
              </w:rPr>
              <w:t xml:space="preserve">Redshift</w:t>
            </w:r>
          </w:p>
        </w:tc>
      </w:tr>
      <w:tr>
        <w:tc>
          <w:tcPr>
            <w:tcBorders>
              <w:top w:val="single" w:color="00A99D" w:sz="1"/>
              <w:left w:val="single" w:color="00A99D" w:sz="1"/>
              <w:bottom w:val="single" w:color="00A99D" w:sz="1"/>
              <w:right w:val="single" w:color="00A99D" w:sz="1"/>
            </w:tcBorders>
            <w:shd w:fill="F0FAFA" w:val="clear"/>
            <w:tcMar>
              <w:top w:type="dxa" w:w="60"/>
              <w:left w:type="dxa" w:w="120"/>
              <w:bottom w:type="dxa" w:w="60"/>
              <w:right w:type="dxa" w:w="120"/>
            </w:tcMar>
            <w:vAlign w:val="center"/>
          </w:tcPr>
          <w:p>
            <w:pPr>
              <w:jc w:val="center"/>
            </w:pPr>
            <w:r>
              <w:rPr>
                <w:rFonts w:ascii="Arial" w:cs="Arial" w:eastAsia="Arial" w:hAnsi="Arial"/>
                <w:color w:val="1A1A2E"/>
                <w:sz w:val="19"/>
                <w:szCs w:val="19"/>
              </w:rPr>
              <w:t xml:space="preserve">AWS</w:t>
            </w:r>
          </w:p>
        </w:tc>
        <w:tc>
          <w:tcPr>
            <w:tcBorders>
              <w:top w:val="single" w:color="00A99D" w:sz="1"/>
              <w:left w:val="single" w:color="00A99D" w:sz="1"/>
              <w:bottom w:val="single" w:color="00A99D" w:sz="1"/>
              <w:right w:val="single" w:color="00A99D" w:sz="1"/>
            </w:tcBorders>
            <w:shd w:fill="F0FAFA" w:val="clear"/>
            <w:tcMar>
              <w:top w:type="dxa" w:w="60"/>
              <w:left w:type="dxa" w:w="120"/>
              <w:bottom w:type="dxa" w:w="60"/>
              <w:right w:type="dxa" w:w="120"/>
            </w:tcMar>
            <w:vAlign w:val="center"/>
          </w:tcPr>
          <w:p>
            <w:pPr>
              <w:jc w:val="center"/>
            </w:pPr>
            <w:r>
              <w:rPr>
                <w:rFonts w:ascii="Arial" w:cs="Arial" w:eastAsia="Arial" w:hAnsi="Arial"/>
                <w:color w:val="1A1A2E"/>
                <w:sz w:val="19"/>
                <w:szCs w:val="19"/>
              </w:rPr>
              <w:t xml:space="preserve">GCP</w:t>
            </w:r>
          </w:p>
        </w:tc>
        <w:tc>
          <w:tcPr>
            <w:tcBorders>
              <w:top w:val="single" w:color="00A99D" w:sz="1"/>
              <w:left w:val="single" w:color="00A99D" w:sz="1"/>
              <w:bottom w:val="single" w:color="00A99D" w:sz="1"/>
              <w:right w:val="single" w:color="00A99D" w:sz="1"/>
            </w:tcBorders>
            <w:shd w:fill="F0FAFA" w:val="clear"/>
            <w:tcMar>
              <w:top w:type="dxa" w:w="60"/>
              <w:left w:type="dxa" w:w="120"/>
              <w:bottom w:type="dxa" w:w="60"/>
              <w:right w:type="dxa" w:w="120"/>
            </w:tcMar>
            <w:vAlign w:val="center"/>
          </w:tcPr>
          <w:p>
            <w:pPr>
              <w:jc w:val="center"/>
            </w:pPr>
            <w:r>
              <w:rPr>
                <w:rFonts w:ascii="Arial" w:cs="Arial" w:eastAsia="Arial" w:hAnsi="Arial"/>
                <w:color w:val="1A1A2E"/>
                <w:sz w:val="19"/>
                <w:szCs w:val="19"/>
              </w:rPr>
              <w:t xml:space="preserve">Azure</w:t>
            </w:r>
          </w:p>
        </w:tc>
        <w:tc>
          <w:tcPr>
            <w:tcBorders>
              <w:top w:val="single" w:color="00A99D" w:sz="1"/>
              <w:left w:val="single" w:color="00A99D" w:sz="1"/>
              <w:bottom w:val="single" w:color="00A99D" w:sz="1"/>
              <w:right w:val="single" w:color="00A99D" w:sz="1"/>
            </w:tcBorders>
            <w:shd w:fill="F0FAFA" w:val="clear"/>
            <w:tcMar>
              <w:top w:type="dxa" w:w="60"/>
              <w:left w:type="dxa" w:w="120"/>
              <w:bottom w:type="dxa" w:w="60"/>
              <w:right w:type="dxa" w:w="120"/>
            </w:tcMar>
            <w:vAlign w:val="center"/>
          </w:tcPr>
          <w:p>
            <w:pPr>
              <w:jc w:val="center"/>
            </w:pPr>
            <w:r>
              <w:rPr>
                <w:rFonts w:ascii="Arial" w:cs="Arial" w:eastAsia="Arial" w:hAnsi="Arial"/>
                <w:color w:val="1A1A2E"/>
                <w:sz w:val="19"/>
                <w:szCs w:val="19"/>
              </w:rPr>
              <w:t xml:space="preserve">Cloud FinOps</w:t>
            </w:r>
          </w:p>
        </w:tc>
      </w:tr>
      <w:tr>
        <w:tc>
          <w:tcPr>
            <w:tcBorders>
              <w:top w:val="single" w:color="00A99D" w:sz="1"/>
              <w:left w:val="single" w:color="00A99D" w:sz="1"/>
              <w:bottom w:val="single" w:color="00A99D" w:sz="1"/>
              <w:right w:val="single" w:color="00A99D" w:sz="1"/>
            </w:tcBorders>
            <w:shd w:fill="F0FAFA" w:val="clear"/>
            <w:tcMar>
              <w:top w:type="dxa" w:w="60"/>
              <w:left w:type="dxa" w:w="120"/>
              <w:bottom w:type="dxa" w:w="60"/>
              <w:right w:type="dxa" w:w="120"/>
            </w:tcMar>
            <w:vAlign w:val="center"/>
          </w:tcPr>
          <w:p>
            <w:pPr>
              <w:jc w:val="center"/>
            </w:pPr>
            <w:r>
              <w:rPr>
                <w:rFonts w:ascii="Arial" w:cs="Arial" w:eastAsia="Arial" w:hAnsi="Arial"/>
                <w:color w:val="1A1A2E"/>
                <w:sz w:val="19"/>
                <w:szCs w:val="19"/>
              </w:rPr>
              <w:t xml:space="preserve">Oracle</w:t>
            </w:r>
          </w:p>
        </w:tc>
        <w:tc>
          <w:tcPr>
            <w:tcBorders>
              <w:top w:val="single" w:color="00A99D" w:sz="1"/>
              <w:left w:val="single" w:color="00A99D" w:sz="1"/>
              <w:bottom w:val="single" w:color="00A99D" w:sz="1"/>
              <w:right w:val="single" w:color="00A99D" w:sz="1"/>
            </w:tcBorders>
            <w:shd w:fill="F0FAFA" w:val="clear"/>
            <w:tcMar>
              <w:top w:type="dxa" w:w="60"/>
              <w:left w:type="dxa" w:w="120"/>
              <w:bottom w:type="dxa" w:w="60"/>
              <w:right w:type="dxa" w:w="120"/>
            </w:tcMar>
            <w:vAlign w:val="center"/>
          </w:tcPr>
          <w:p>
            <w:pPr>
              <w:jc w:val="center"/>
            </w:pPr>
            <w:r>
              <w:rPr>
                <w:rFonts w:ascii="Arial" w:cs="Arial" w:eastAsia="Arial" w:hAnsi="Arial"/>
                <w:color w:val="1A1A2E"/>
                <w:sz w:val="19"/>
                <w:szCs w:val="19"/>
              </w:rPr>
              <w:t xml:space="preserve">PostgreSQL</w:t>
            </w:r>
          </w:p>
        </w:tc>
        <w:tc>
          <w:tcPr>
            <w:tcBorders>
              <w:top w:val="single" w:color="00A99D" w:sz="1"/>
              <w:left w:val="single" w:color="00A99D" w:sz="1"/>
              <w:bottom w:val="single" w:color="00A99D" w:sz="1"/>
              <w:right w:val="single" w:color="00A99D" w:sz="1"/>
            </w:tcBorders>
            <w:shd w:fill="F0FAFA" w:val="clear"/>
            <w:tcMar>
              <w:top w:type="dxa" w:w="60"/>
              <w:left w:type="dxa" w:w="120"/>
              <w:bottom w:type="dxa" w:w="60"/>
              <w:right w:type="dxa" w:w="120"/>
            </w:tcMar>
            <w:vAlign w:val="center"/>
          </w:tcPr>
          <w:p>
            <w:pPr>
              <w:jc w:val="center"/>
            </w:pPr>
            <w:r>
              <w:rPr>
                <w:rFonts w:ascii="Arial" w:cs="Arial" w:eastAsia="Arial" w:hAnsi="Arial"/>
                <w:color w:val="1A1A2E"/>
                <w:sz w:val="19"/>
                <w:szCs w:val="19"/>
              </w:rPr>
              <w:t xml:space="preserve">MySQL</w:t>
            </w:r>
          </w:p>
        </w:tc>
        <w:tc>
          <w:tcPr>
            <w:tcBorders>
              <w:top w:val="single" w:color="00A99D" w:sz="1"/>
              <w:left w:val="single" w:color="00A99D" w:sz="1"/>
              <w:bottom w:val="single" w:color="00A99D" w:sz="1"/>
              <w:right w:val="single" w:color="00A99D" w:sz="1"/>
            </w:tcBorders>
            <w:shd w:fill="F0FAFA" w:val="clear"/>
            <w:tcMar>
              <w:top w:type="dxa" w:w="60"/>
              <w:left w:type="dxa" w:w="120"/>
              <w:bottom w:type="dxa" w:w="60"/>
              <w:right w:type="dxa" w:w="120"/>
            </w:tcMar>
            <w:vAlign w:val="center"/>
          </w:tcPr>
          <w:p>
            <w:pPr>
              <w:jc w:val="center"/>
            </w:pPr>
            <w:r>
              <w:rPr>
                <w:rFonts w:ascii="Arial" w:cs="Arial" w:eastAsia="Arial" w:hAnsi="Arial"/>
                <w:color w:val="1A1A2E"/>
                <w:sz w:val="19"/>
                <w:szCs w:val="19"/>
              </w:rPr>
              <w:t xml:space="preserve">NoSQL</w:t>
            </w:r>
          </w:p>
        </w:tc>
      </w:tr>
      <w:tr>
        <w:tc>
          <w:tcPr>
            <w:tcBorders>
              <w:top w:val="single" w:color="00A99D" w:sz="1"/>
              <w:left w:val="single" w:color="00A99D" w:sz="1"/>
              <w:bottom w:val="single" w:color="00A99D" w:sz="1"/>
              <w:right w:val="single" w:color="00A99D" w:sz="1"/>
            </w:tcBorders>
            <w:shd w:fill="F0FAFA" w:val="clear"/>
            <w:tcMar>
              <w:top w:type="dxa" w:w="60"/>
              <w:left w:type="dxa" w:w="120"/>
              <w:bottom w:type="dxa" w:w="60"/>
              <w:right w:type="dxa" w:w="120"/>
            </w:tcMar>
            <w:vAlign w:val="center"/>
          </w:tcPr>
          <w:p>
            <w:pPr>
              <w:jc w:val="center"/>
            </w:pPr>
            <w:r>
              <w:rPr>
                <w:rFonts w:ascii="Arial" w:cs="Arial" w:eastAsia="Arial" w:hAnsi="Arial"/>
                <w:color w:val="1A1A2E"/>
                <w:sz w:val="19"/>
                <w:szCs w:val="19"/>
              </w:rPr>
              <w:t xml:space="preserve">Data Modelling</w:t>
            </w:r>
          </w:p>
        </w:tc>
        <w:tc>
          <w:tcPr>
            <w:tcBorders>
              <w:top w:val="single" w:color="00A99D" w:sz="1"/>
              <w:left w:val="single" w:color="00A99D" w:sz="1"/>
              <w:bottom w:val="single" w:color="00A99D" w:sz="1"/>
              <w:right w:val="single" w:color="00A99D" w:sz="1"/>
            </w:tcBorders>
            <w:shd w:fill="F0FAFA" w:val="clear"/>
            <w:tcMar>
              <w:top w:type="dxa" w:w="60"/>
              <w:left w:type="dxa" w:w="120"/>
              <w:bottom w:type="dxa" w:w="60"/>
              <w:right w:type="dxa" w:w="120"/>
            </w:tcMar>
            <w:vAlign w:val="center"/>
          </w:tcPr>
          <w:p>
            <w:pPr>
              <w:jc w:val="center"/>
            </w:pPr>
            <w:r>
              <w:rPr>
                <w:rFonts w:ascii="Arial" w:cs="Arial" w:eastAsia="Arial" w:hAnsi="Arial"/>
                <w:color w:val="1A1A2E"/>
                <w:sz w:val="19"/>
                <w:szCs w:val="19"/>
              </w:rPr>
              <w:t xml:space="preserve">SQL</w:t>
            </w:r>
          </w:p>
        </w:tc>
        <w:tc>
          <w:tcPr>
            <w:tcBorders>
              <w:top w:val="single" w:color="00A99D" w:sz="1"/>
              <w:left w:val="single" w:color="00A99D" w:sz="1"/>
              <w:bottom w:val="single" w:color="00A99D" w:sz="1"/>
              <w:right w:val="single" w:color="00A99D" w:sz="1"/>
            </w:tcBorders>
            <w:shd w:fill="F0FAFA" w:val="clear"/>
            <w:tcMar>
              <w:top w:type="dxa" w:w="60"/>
              <w:left w:type="dxa" w:w="120"/>
              <w:bottom w:type="dxa" w:w="60"/>
              <w:right w:type="dxa" w:w="120"/>
            </w:tcMar>
            <w:vAlign w:val="center"/>
          </w:tcPr>
          <w:p>
            <w:pPr>
              <w:jc w:val="center"/>
            </w:pPr>
            <w:r>
              <w:rPr>
                <w:rFonts w:ascii="Arial" w:cs="Arial" w:eastAsia="Arial" w:hAnsi="Arial"/>
                <w:color w:val="1A1A2E"/>
                <w:sz w:val="19"/>
                <w:szCs w:val="19"/>
              </w:rPr>
              <w:t xml:space="preserve">Python</w:t>
            </w:r>
          </w:p>
        </w:tc>
        <w:tc>
          <w:tcPr>
            <w:tcBorders>
              <w:top w:val="single" w:color="00A99D" w:sz="1"/>
              <w:left w:val="single" w:color="00A99D" w:sz="1"/>
              <w:bottom w:val="single" w:color="00A99D" w:sz="1"/>
              <w:right w:val="single" w:color="00A99D" w:sz="1"/>
            </w:tcBorders>
            <w:shd w:fill="F0FAFA" w:val="clear"/>
            <w:tcMar>
              <w:top w:type="dxa" w:w="60"/>
              <w:left w:type="dxa" w:w="120"/>
              <w:bottom w:type="dxa" w:w="60"/>
              <w:right w:type="dxa" w:w="120"/>
            </w:tcMar>
            <w:vAlign w:val="center"/>
          </w:tcPr>
          <w:p>
            <w:pPr>
              <w:jc w:val="center"/>
            </w:pPr>
            <w:r>
              <w:rPr>
                <w:rFonts w:ascii="Arial" w:cs="Arial" w:eastAsia="Arial" w:hAnsi="Arial"/>
                <w:color w:val="1A1A2E"/>
                <w:sz w:val="19"/>
                <w:szCs w:val="19"/>
              </w:rPr>
              <w:t xml:space="preserve">Security</w:t>
            </w:r>
          </w:p>
        </w:tc>
      </w:tr>
      <w:tr>
        <w:tc>
          <w:tcPr>
            <w:tcBorders>
              <w:top w:val="single" w:color="00A99D" w:sz="1"/>
              <w:left w:val="single" w:color="00A99D" w:sz="1"/>
              <w:bottom w:val="single" w:color="00A99D" w:sz="1"/>
              <w:right w:val="single" w:color="00A99D" w:sz="1"/>
            </w:tcBorders>
            <w:shd w:fill="F0FAFA" w:val="clear"/>
            <w:tcMar>
              <w:top w:type="dxa" w:w="60"/>
              <w:left w:type="dxa" w:w="120"/>
              <w:bottom w:type="dxa" w:w="60"/>
              <w:right w:type="dxa" w:w="120"/>
            </w:tcMar>
            <w:vAlign w:val="center"/>
          </w:tcPr>
          <w:p>
            <w:pPr>
              <w:jc w:val="center"/>
            </w:pPr>
            <w:r>
              <w:rPr>
                <w:rFonts w:ascii="Arial" w:cs="Arial" w:eastAsia="Arial" w:hAnsi="Arial"/>
                <w:color w:val="1A1A2E"/>
                <w:sz w:val="19"/>
                <w:szCs w:val="19"/>
              </w:rPr>
              <w:t xml:space="preserve">Pre-Sales / SE</w:t>
            </w:r>
          </w:p>
        </w:tc>
        <w:tc>
          <w:tcPr>
            <w:tcBorders>
              <w:top w:val="single" w:color="00A99D" w:sz="1"/>
              <w:left w:val="single" w:color="00A99D" w:sz="1"/>
              <w:bottom w:val="single" w:color="00A99D" w:sz="1"/>
              <w:right w:val="single" w:color="00A99D" w:sz="1"/>
            </w:tcBorders>
            <w:shd w:fill="F0FAFA" w:val="clear"/>
            <w:tcMar>
              <w:top w:type="dxa" w:w="60"/>
              <w:left w:type="dxa" w:w="120"/>
              <w:bottom w:type="dxa" w:w="60"/>
              <w:right w:type="dxa" w:w="120"/>
            </w:tcMar>
            <w:vAlign w:val="center"/>
          </w:tcPr>
          <w:p>
            <w:pPr>
              <w:jc w:val="center"/>
            </w:pPr>
            <w:r>
              <w:rPr>
                <w:rFonts w:ascii="Arial" w:cs="Arial" w:eastAsia="Arial" w:hAnsi="Arial"/>
                <w:color w:val="1A1A2E"/>
                <w:sz w:val="19"/>
                <w:szCs w:val="19"/>
              </w:rPr>
              <w:t xml:space="preserve">POC / POV</w:t>
            </w:r>
          </w:p>
        </w:tc>
        <w:tc>
          <w:tcPr>
            <w:tcBorders>
              <w:top w:val="single" w:color="00A99D" w:sz="1"/>
              <w:left w:val="single" w:color="00A99D" w:sz="1"/>
              <w:bottom w:val="single" w:color="00A99D" w:sz="1"/>
              <w:right w:val="single" w:color="00A99D" w:sz="1"/>
            </w:tcBorders>
            <w:shd w:fill="F0FAFA" w:val="clear"/>
            <w:tcMar>
              <w:top w:type="dxa" w:w="60"/>
              <w:left w:type="dxa" w:w="120"/>
              <w:bottom w:type="dxa" w:w="60"/>
              <w:right w:type="dxa" w:w="120"/>
            </w:tcMar>
            <w:vAlign w:val="center"/>
          </w:tcPr>
          <w:p>
            <w:pPr>
              <w:jc w:val="center"/>
            </w:pPr>
            <w:r>
              <w:rPr>
                <w:rFonts w:ascii="Arial" w:cs="Arial" w:eastAsia="Arial" w:hAnsi="Arial"/>
                <w:color w:val="1A1A2E"/>
                <w:sz w:val="19"/>
                <w:szCs w:val="19"/>
              </w:rPr>
              <w:t xml:space="preserve">Public Speaking</w:t>
            </w:r>
          </w:p>
        </w:tc>
        <w:tc>
          <w:tcPr>
            <w:tcBorders>
              <w:top w:val="single" w:color="00A99D" w:sz="1"/>
              <w:left w:val="single" w:color="00A99D" w:sz="1"/>
              <w:bottom w:val="single" w:color="00A99D" w:sz="1"/>
              <w:right w:val="single" w:color="00A99D" w:sz="1"/>
            </w:tcBorders>
            <w:shd w:fill="F0FAFA" w:val="clear"/>
            <w:tcMar>
              <w:top w:type="dxa" w:w="60"/>
              <w:left w:type="dxa" w:w="120"/>
              <w:bottom w:type="dxa" w:w="60"/>
              <w:right w:type="dxa" w:w="120"/>
            </w:tcMar>
            <w:vAlign w:val="center"/>
          </w:tcPr>
          <w:p>
            <w:pPr>
              <w:jc w:val="center"/>
            </w:pPr>
            <w:r>
              <w:rPr>
                <w:rFonts w:ascii="Arial" w:cs="Arial" w:eastAsia="Arial" w:hAnsi="Arial"/>
                <w:color w:val="1A1A2E"/>
                <w:sz w:val="19"/>
                <w:szCs w:val="19"/>
              </w:rPr>
              <w:t xml:space="preserve">Technical Writing</w:t>
            </w:r>
          </w:p>
        </w:tc>
      </w:tr>
    </w:tbl>
    <w:p>
      <w:pPr>
        <w:pBdr>
          <w:bottom w:val="single" w:color="00A99D" w:sz="8" w:space="4"/>
        </w:pBdr>
        <w:spacing w:before="260" w:after="80"/>
      </w:pPr>
      <w:r>
        <w:rPr>
          <w:rFonts w:ascii="Arial" w:cs="Arial" w:eastAsia="Arial" w:hAnsi="Arial"/>
          <w:b/>
          <w:bCs/>
          <w:color w:val="1A1A2E"/>
          <w:sz w:val="26"/>
          <w:szCs w:val="26"/>
        </w:rPr>
        <w:t xml:space="preserve">PUBLICATIONS &amp; CONTENT</w:t>
      </w:r>
    </w:p>
    <w:p>
      <w:pPr>
        <w:pStyle w:val="ListParagraph"/>
        <w:numPr>
          <w:ilvl w:val="0"/>
          <w:numId w:val="2"/>
        </w:numPr>
        <w:spacing w:before="40" w:after="40"/>
      </w:pPr>
      <w:r>
        <w:rPr>
          <w:rFonts w:ascii="Arial" w:cs="Arial" w:eastAsia="Arial" w:hAnsi="Arial"/>
          <w:b/>
          <w:bCs/>
          <w:color w:val="1A1A2E"/>
          <w:sz w:val="21"/>
          <w:szCs w:val="21"/>
        </w:rPr>
        <w:t xml:space="preserve">AWS Certified Solutions Architect – Associate Exam Guide</w:t>
      </w:r>
      <w:r>
        <w:rPr>
          <w:rFonts w:ascii="Arial" w:cs="Arial" w:eastAsia="Arial" w:hAnsi="Arial"/>
          <w:color w:val="444444"/>
          <w:sz w:val="21"/>
          <w:szCs w:val="21"/>
        </w:rPr>
        <w:t xml:space="preserve"> — Published Author, Packt (Dec 2024)</w:t>
      </w:r>
    </w:p>
    <w:p>
      <w:pPr>
        <w:pStyle w:val="ListParagraph"/>
        <w:numPr>
          <w:ilvl w:val="0"/>
          <w:numId w:val="2"/>
        </w:numPr>
        <w:spacing w:before="40" w:after="40"/>
      </w:pPr>
      <w:r>
        <w:rPr>
          <w:rFonts w:ascii="Arial" w:cs="Arial" w:eastAsia="Arial" w:hAnsi="Arial"/>
          <w:b/>
          <w:bCs/>
          <w:color w:val="1A1A2E"/>
          <w:sz w:val="21"/>
          <w:szCs w:val="21"/>
        </w:rPr>
        <w:t xml:space="preserve">AWS Certified Database – Specialty Exam Guide</w:t>
      </w:r>
      <w:r>
        <w:rPr>
          <w:rFonts w:ascii="Arial" w:cs="Arial" w:eastAsia="Arial" w:hAnsi="Arial"/>
          <w:color w:val="444444"/>
          <w:sz w:val="21"/>
          <w:szCs w:val="21"/>
        </w:rPr>
        <w:t xml:space="preserve"> — Published Author, Packt (May 2022)</w:t>
      </w:r>
    </w:p>
    <w:p>
      <w:pPr>
        <w:pStyle w:val="ListParagraph"/>
        <w:numPr>
          <w:ilvl w:val="0"/>
          <w:numId w:val="2"/>
        </w:numPr>
        <w:spacing w:before="40" w:after="40"/>
      </w:pPr>
      <w:r>
        <w:rPr>
          <w:rFonts w:ascii="Arial" w:cs="Arial" w:eastAsia="Arial" w:hAnsi="Arial"/>
          <w:b/>
          <w:bCs/>
          <w:color w:val="1A1A2E"/>
          <w:sz w:val="21"/>
          <w:szCs w:val="21"/>
        </w:rPr>
        <w:t xml:space="preserve">Oracle Database Security Online Course</w:t>
      </w:r>
      <w:r>
        <w:rPr>
          <w:rFonts w:ascii="Arial" w:cs="Arial" w:eastAsia="Arial" w:hAnsi="Arial"/>
          <w:color w:val="444444"/>
          <w:sz w:val="21"/>
          <w:szCs w:val="21"/>
        </w:rPr>
        <w:t xml:space="preserve"> — Course Creator (Jun 2023)</w:t>
      </w:r>
    </w:p>
    <w:p>
      <w:pPr>
        <w:pBdr>
          <w:bottom w:val="single" w:color="00A99D" w:sz="8" w:space="4"/>
        </w:pBdr>
        <w:spacing w:before="260" w:after="80"/>
      </w:pPr>
      <w:r>
        <w:rPr>
          <w:rFonts w:ascii="Arial" w:cs="Arial" w:eastAsia="Arial" w:hAnsi="Arial"/>
          <w:b/>
          <w:bCs/>
          <w:color w:val="1A1A2E"/>
          <w:sz w:val="26"/>
          <w:szCs w:val="26"/>
        </w:rPr>
        <w:t xml:space="preserve">EDUCATION &amp; CERTIFICATIONS</w:t>
      </w:r>
    </w:p>
    <w:p>
      <w:pPr>
        <w:spacing w:before="80" w:after="40"/>
      </w:pPr>
      <w:r>
        <w:rPr>
          <w:rFonts w:ascii="Arial" w:cs="Arial" w:eastAsia="Arial" w:hAnsi="Arial"/>
          <w:b/>
          <w:bCs/>
          <w:color w:val="1A1A2E"/>
          <w:sz w:val="22"/>
          <w:szCs w:val="22"/>
        </w:rPr>
        <w:t xml:space="preserve">BSc Computer Studies (1st Class)</w:t>
      </w:r>
    </w:p>
    <w:p>
      <w:pPr>
        <w:spacing w:before="0" w:after="100"/>
      </w:pPr>
      <w:r>
        <w:rPr>
          <w:rFonts w:ascii="Arial" w:cs="Arial" w:eastAsia="Arial" w:hAnsi="Arial"/>
          <w:color w:val="444444"/>
          <w:sz w:val="21"/>
          <w:szCs w:val="21"/>
        </w:rPr>
        <w:t xml:space="preserve">Sheffield Hallam University, 2003–2007</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c>
          <w:tcPr>
            <w:tcBorders>
              <w:top w:val="none"/>
              <w:left w:val="none"/>
              <w:bottom w:val="none"/>
              <w:right w:val="none"/>
            </w:tcBorders>
            <w:tcMar>
              <w:top w:type="dxa" w:w="60"/>
              <w:left w:type="dxa" w:w="0"/>
              <w:bottom w:type="dxa" w:w="60"/>
              <w:right w:type="dxa" w:w="0"/>
            </w:tcMar>
          </w:tcPr>
          <w:p>
            <w:r>
              <w:rPr>
                <w:rFonts w:ascii="Arial" w:cs="Arial" w:eastAsia="Arial" w:hAnsi="Arial"/>
                <w:b/>
                <w:bCs/>
                <w:color w:val="00A99D"/>
                <w:sz w:val="21"/>
                <w:szCs w:val="21"/>
              </w:rPr>
              <w:t xml:space="preserve">✓  </w:t>
            </w:r>
            <w:r>
              <w:rPr>
                <w:rFonts w:ascii="Arial" w:cs="Arial" w:eastAsia="Arial" w:hAnsi="Arial"/>
                <w:color w:val="444444"/>
                <w:sz w:val="21"/>
                <w:szCs w:val="21"/>
              </w:rPr>
              <w:t xml:space="preserve">AWS Certified Solutions Architect – Professional</w:t>
            </w:r>
          </w:p>
        </w:tc>
        <w:tc>
          <w:tcPr>
            <w:tcBorders>
              <w:top w:val="none"/>
              <w:left w:val="none"/>
              <w:bottom w:val="none"/>
              <w:right w:val="none"/>
            </w:tcBorders>
            <w:tcMar>
              <w:top w:type="dxa" w:w="60"/>
              <w:left w:type="dxa" w:w="0"/>
              <w:bottom w:type="dxa" w:w="60"/>
              <w:right w:type="dxa" w:w="0"/>
            </w:tcMar>
          </w:tcPr>
          <w:p>
            <w:r>
              <w:rPr>
                <w:rFonts w:ascii="Arial" w:cs="Arial" w:eastAsia="Arial" w:hAnsi="Arial"/>
                <w:b/>
                <w:bCs/>
                <w:color w:val="00A99D"/>
                <w:sz w:val="21"/>
                <w:szCs w:val="21"/>
              </w:rPr>
              <w:t xml:space="preserve">✓  </w:t>
            </w:r>
            <w:r>
              <w:rPr>
                <w:rFonts w:ascii="Arial" w:cs="Arial" w:eastAsia="Arial" w:hAnsi="Arial"/>
                <w:color w:val="444444"/>
                <w:sz w:val="21"/>
                <w:szCs w:val="21"/>
              </w:rPr>
              <w:t xml:space="preserve">GCP Professional Database Engineer</w:t>
            </w:r>
          </w:p>
        </w:tc>
      </w:tr>
      <w:tr>
        <w:tc>
          <w:tcPr>
            <w:tcBorders>
              <w:top w:val="none"/>
              <w:left w:val="none"/>
              <w:bottom w:val="none"/>
              <w:right w:val="none"/>
            </w:tcBorders>
            <w:tcMar>
              <w:top w:type="dxa" w:w="60"/>
              <w:left w:type="dxa" w:w="0"/>
              <w:bottom w:type="dxa" w:w="60"/>
              <w:right w:type="dxa" w:w="0"/>
            </w:tcMar>
          </w:tcPr>
          <w:p>
            <w:r>
              <w:rPr>
                <w:rFonts w:ascii="Arial" w:cs="Arial" w:eastAsia="Arial" w:hAnsi="Arial"/>
                <w:b/>
                <w:bCs/>
                <w:color w:val="00A99D"/>
                <w:sz w:val="21"/>
                <w:szCs w:val="21"/>
              </w:rPr>
              <w:t xml:space="preserve">✓  </w:t>
            </w:r>
            <w:r>
              <w:rPr>
                <w:rFonts w:ascii="Arial" w:cs="Arial" w:eastAsia="Arial" w:hAnsi="Arial"/>
                <w:color w:val="444444"/>
                <w:sz w:val="21"/>
                <w:szCs w:val="21"/>
              </w:rPr>
              <w:t xml:space="preserve">AWS Certified Developer – Associate</w:t>
            </w:r>
          </w:p>
        </w:tc>
        <w:tc>
          <w:tcPr>
            <w:tcBorders>
              <w:top w:val="none"/>
              <w:left w:val="none"/>
              <w:bottom w:val="none"/>
              <w:right w:val="none"/>
            </w:tcBorders>
            <w:tcMar>
              <w:top w:type="dxa" w:w="60"/>
              <w:left w:type="dxa" w:w="0"/>
              <w:bottom w:type="dxa" w:w="60"/>
              <w:right w:type="dxa" w:w="0"/>
            </w:tcMar>
          </w:tcPr>
          <w:p>
            <w:r>
              <w:rPr>
                <w:rFonts w:ascii="Arial" w:cs="Arial" w:eastAsia="Arial" w:hAnsi="Arial"/>
                <w:b/>
                <w:bCs/>
                <w:color w:val="00A99D"/>
                <w:sz w:val="21"/>
                <w:szCs w:val="21"/>
              </w:rPr>
              <w:t xml:space="preserve">✓  </w:t>
            </w:r>
            <w:r>
              <w:rPr>
                <w:rFonts w:ascii="Arial" w:cs="Arial" w:eastAsia="Arial" w:hAnsi="Arial"/>
                <w:color w:val="444444"/>
                <w:sz w:val="21"/>
                <w:szCs w:val="21"/>
              </w:rPr>
              <w:t xml:space="preserve">GCP Data Engineer – Associate</w:t>
            </w:r>
          </w:p>
        </w:tc>
      </w:tr>
      <w:tr>
        <w:tc>
          <w:tcPr>
            <w:tcBorders>
              <w:top w:val="none"/>
              <w:left w:val="none"/>
              <w:bottom w:val="none"/>
              <w:right w:val="none"/>
            </w:tcBorders>
            <w:tcMar>
              <w:top w:type="dxa" w:w="60"/>
              <w:left w:type="dxa" w:w="0"/>
              <w:bottom w:type="dxa" w:w="60"/>
              <w:right w:type="dxa" w:w="0"/>
            </w:tcMar>
          </w:tcPr>
          <w:p>
            <w:r>
              <w:rPr>
                <w:rFonts w:ascii="Arial" w:cs="Arial" w:eastAsia="Arial" w:hAnsi="Arial"/>
                <w:b/>
                <w:bCs/>
                <w:color w:val="00A99D"/>
                <w:sz w:val="21"/>
                <w:szCs w:val="21"/>
              </w:rPr>
              <w:t xml:space="preserve">✓  </w:t>
            </w:r>
            <w:r>
              <w:rPr>
                <w:rFonts w:ascii="Arial" w:cs="Arial" w:eastAsia="Arial" w:hAnsi="Arial"/>
                <w:color w:val="444444"/>
                <w:sz w:val="21"/>
                <w:szCs w:val="21"/>
              </w:rPr>
              <w:t xml:space="preserve">AWS Certified SysOps – Associate</w:t>
            </w:r>
          </w:p>
        </w:tc>
        <w:tc>
          <w:tcPr>
            <w:tcBorders>
              <w:top w:val="none"/>
              <w:left w:val="none"/>
              <w:bottom w:val="none"/>
              <w:right w:val="none"/>
            </w:tcBorders>
            <w:tcMar>
              <w:top w:type="dxa" w:w="60"/>
              <w:left w:type="dxa" w:w="0"/>
              <w:bottom w:type="dxa" w:w="60"/>
              <w:right w:type="dxa" w:w="0"/>
            </w:tcMar>
          </w:tcPr>
          <w:p>
            <w:r>
              <w:rPr>
                <w:rFonts w:ascii="Arial" w:cs="Arial" w:eastAsia="Arial" w:hAnsi="Arial"/>
                <w:b/>
                <w:bCs/>
                <w:color w:val="00A99D"/>
                <w:sz w:val="21"/>
                <w:szCs w:val="21"/>
              </w:rPr>
              <w:t xml:space="preserve">✓  </w:t>
            </w:r>
            <w:r>
              <w:rPr>
                <w:rFonts w:ascii="Arial" w:cs="Arial" w:eastAsia="Arial" w:hAnsi="Arial"/>
                <w:color w:val="444444"/>
                <w:sz w:val="21"/>
                <w:szCs w:val="21"/>
              </w:rPr>
              <w:t xml:space="preserve">Oracle Certified Associate</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2026-03-26T13:30:09.484Z</dcterms:created>
  <dcterms:modified xsi:type="dcterms:W3CDTF">2026-03-26T13:30:09.485Z</dcterms:modified>
</cp:coreProperties>
</file>

<file path=docProps/custom.xml><?xml version="1.0" encoding="utf-8"?>
<Properties xmlns="http://schemas.openxmlformats.org/officeDocument/2006/custom-properties" xmlns:vt="http://schemas.openxmlformats.org/officeDocument/2006/docPropsVTypes"/>
</file>