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contextualSpacing/>
        <w:rPr/>
      </w:pPr>
      <w:r>
        <w:rPr/>
        <w:t>Aujourd'hui, c'est dimanche. Vous êtes donc bien sur Radio Picardie, je suis le Dendrobate Doctor et nous sommes ensemble pour faire l'état de la recherche sur l'épidémie de Covid-19 et le reste.</w:t>
      </w:r>
    </w:p>
    <w:p>
      <w:pPr>
        <w:pStyle w:val="NormalWeb"/>
        <w:spacing w:beforeAutospacing="0" w:before="0" w:afterAutospacing="0" w:after="0"/>
        <w:contextualSpacing/>
        <w:rPr/>
      </w:pPr>
      <w:r>
        <w:rPr>
          <w:rFonts w:eastAsia="Calibri" w:eastAsiaTheme="minorHAnsi"/>
          <w:lang w:eastAsia="en-US"/>
        </w:rPr>
        <w:t>Si elle disparaît, retrouvez la chronique sur le blog (https://www.the-dendrobate-doctor.fr/)</w:t>
      </w:r>
    </w:p>
    <w:p>
      <w:pPr>
        <w:pStyle w:val="NormalWeb"/>
        <w:spacing w:beforeAutospacing="0" w:before="0" w:afterAutospacing="0" w:after="0"/>
        <w:contextualSpacing/>
        <w:rPr/>
      </w:pPr>
      <w:r>
        <w:rPr>
          <w:lang w:eastAsia="en-US"/>
        </w:rPr>
        <w:t>Si vous aimez la chronique, vous pouvez nous soutenir sur KisskissBankbank (https://www.kisskissbankbank.com/fr/projects/the-dendrobate-doctor).</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t>Bienvenue à tous sur l’Écho des Labos.</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r>
        <w:rPr/>
        <w:t>***</w:t>
      </w:r>
    </w:p>
    <w:p>
      <w:pPr>
        <w:pStyle w:val="NormalWeb"/>
        <w:spacing w:beforeAutospacing="0" w:before="0" w:afterAutospacing="0" w:after="0"/>
        <w:contextualSpacing/>
        <w:rPr/>
      </w:pPr>
      <w:r>
        <w:rPr/>
      </w:r>
    </w:p>
    <w:p>
      <w:pPr>
        <w:pStyle w:val="Heading1"/>
        <w:rPr/>
      </w:pPr>
      <w:r>
        <w:rPr/>
        <w:br/>
        <w:t>FAKE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Pour une fois, j’avais envie de dévier un peu de la définition habituelle des fakes et de vous parler d’un « fake » très cool, parce que la manipulation, le mensonge, la tromperie, ce n’est pas réservé à notre espèce (et en vrai n’importe qui ayant déjà vu un chat vous faire la complainte du mort de faim alors que votre conjoint a épinglé sur le frigo « j’ai nourri le greffier avant de partir, te fais pas avoir » sait de quoi je parle). Aujourd’hui, je veux vous parler de Cyclosa, un groupe contenant en réalité plusieurs espèces, mais qu’on va appeler Cycy pour faire court.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Cycy est une petite araignée (au maximum 1cm pour les femelles et 5mm pour les mâles) de la famille des araneidae (c’est donc une tisseuse de toile, qui chasse en attendant au centre de celle-ci), qui a comme problème principal une guêpe prédatrice (selon la sous-espèce de Cycy, l’espèce de la guêpe varie, mais elle a globalement le même problème partout dans le monde). Certaines des représentantes de Cycy sont pourvues par la nature d’un abdomen blanc avec des tâches noires, et se placent au centre de leur toile pattes allongées pour…ressembler à une fiente d’oiseau. C’est pas glamour mais c’est inintéressant pour les guêpes et c’est tout ce qui compte. Mais pour les Cycy brunes, c’est une autre histoire. Et celles-ci ont donc commencé à se lancer dans une tromperie extrêmement sophistiquée.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En 2009, des chercheurs de l’Université Thunghai ont ainsi décrit un spécimen à Taïwan qui avait accumulé sur sa toile des débris et les avait agencés de telle manière à ce qu’ils lui ressemblaient en forme, en taille, en aspect et en couleur, et ils en ont conclu qu’elle construisait des leurres destinés à être attaqués à sa place par les prédateurs, lui donnant la possibilité de fuir. Mais Cycy est rare et l’observation n’avait pas pu être répétée. Jusqu’en 2012, où Phil Torres, spécialiste des insectes mais surtout photographe du Centre de recherches de Tambopata, prend au Pérou un cliché d’une variante de Cycy péruvienne réalisant elle aussi une sculpture en débris… mais en version 5 fois plus grande qu’elle. Cette fois, plus question de leurre, il s’agit clairement de faire peur. En 2014, on s’aperçoit que, une fois sa sculpture réalisée, Cycy peut même utiliser les fils de sa toile pour la faire bouger, afin qu’elle soit encore plus réaliste. On passe de la sculpture à la marionnette. Il aura fallu attendre plus de 10 ans supplémentaires pour que la chance sourit aux chercheurs, et qu’enfin ils parviennent à filmer Cycy en train de construire son autoportrait grandeur nature. Et comme tout bon fake, celui-ci est puissant pour répandre la peur : avec cette sculpture de 5 fois sa taille, Cycy fait fuir des prédateurs 500 fois plus gros qu’elle.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DECOUVERTE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 Regarde ce que le chat a ramené » est généralement signe que vous allez passer la prochaine demi-heure de votre existence à courir après un rongeur ou un oiseau affolé, luttant pour sa survie et incapable de comprendre que vous tentez de lui venir en aide, sous l’œil réprobateur de votre félin domestique. Mais pas quand vous êtes John Lednicky (ce qui, on va l’admettre, est très spécifique). Si vous êtes John Lednicky, vous êtes un éminent virologue de Floride, et vous savez que les rongeurs et les oiseaux sont porteurs de tas de trucs fascinants, et donc que vous avez sous la main un assistant de recherche poilu et ronchon, mais capable de vous ramener des spécimens qui, avec un peu de chance, seront porteurs d’un truc intéressant.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Et de la chance, John en a, car son chat Pepper est un chasseur remarquable et qui a de surcroît, en bon chat noir qu’il est, et selon la terminologie technique appropriée, le cul bordé de nouilles. L’an dernier, Pepper rapporte ainsi une souris porteuse du tout premier virus de la famille jeilong, jusque-là jamais documentée aux USA. Sans doute lassé du scepticisme de son maître, Pepper rapportera une autre souris qui confirmera l’analyse. Et cette année, c’est dans une musaraigne à queue courte, probablement fièrement déposée dans les pantoufles de son maître ou en évidence sur la table du petit déjeuner, que Pepper a permis à John de découvrir un tout nouveau genre d’orthoreovirus (</w:t>
      </w:r>
      <w:hyperlink r:id="rId2">
        <w:r>
          <w:rPr>
            <w:rStyle w:val="Hyperlink"/>
          </w:rPr>
          <w:t>publié ici</w:t>
        </w:r>
      </w:hyperlink>
      <w:r>
        <w:rPr/>
        <w:t xml:space="preserve"> https://journals.asm.org/doi/10.1128/mra.00219-25), une famille problématique car elle est capable de passer des oiseaux aux rongeurs à l’humain. L’équipe de Floride pense qu’il est important de surveiller les groupes rares, car notre méconnaissance peut en faire des virus émergents dangereux. Pepper, lui continue son exploration.</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  </w:t>
      </w:r>
    </w:p>
    <w:p>
      <w:pPr>
        <w:pStyle w:val="Heading1"/>
        <w:rPr/>
      </w:pPr>
      <w:r>
        <w:rPr/>
        <w:t>PISTE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ListParagraph"/>
        <w:numPr>
          <w:ilvl w:val="0"/>
          <w:numId w:val="2"/>
        </w:numPr>
        <w:rPr/>
      </w:pPr>
      <w:r>
        <w:rPr/>
        <w:t>Maladies auto-immunes : si aujourd’hui on sait contrôler de nombreuses maladies auto-immunes, on ne sait pas les guérir. Une fois que le système immunitaire commence à s’attaquer à l’organisme, on sait le freiner, mais on ne sait pas le « reprogrammer ». Toutefois, en adaptant les traitements conçus à l’origine pour pousser le système immunitaire à s’attaquer à des cellules cancéreuses de l’organisme, les Allemands ont fait une percée (en science, en science ! pas de panique) : ils ont convaincu le système immunitaire de s’attaquer lui-même, ou plutôt d’attaquer un type très spécifique de cellules immunitaires, en cause dans plusieurs pathologies auto-immunes. Une série de cas d’études surveillés pendant 3 ans (</w:t>
      </w:r>
      <w:hyperlink r:id="rId3">
        <w:r>
          <w:rPr>
            <w:rStyle w:val="Hyperlink"/>
          </w:rPr>
          <w:t>ici</w:t>
        </w:r>
      </w:hyperlink>
      <w:r>
        <w:rPr/>
        <w:t xml:space="preserve"> https://www.nejm.org/doi/full/10.1056/NEJMoa2308917) puis une étude observationnelle (</w:t>
      </w:r>
      <w:hyperlink r:id="rId4">
        <w:r>
          <w:rPr>
            <w:rStyle w:val="Hyperlink"/>
          </w:rPr>
          <w:t>ici</w:t>
        </w:r>
      </w:hyperlink>
      <w:r>
        <w:rPr/>
        <w:t xml:space="preserve"> https://www.thelancet.com/journals/lanrhe/article/PIIS2665-9913(25)00091-8/fulltext) ont montré que les patients étaient entré en rémission de leur maladie pour des cas de lupus, de sclérodermie, de dermatomyosite (des pathologies impliquant toutes les trois une inflammation généralisée avec des manifestations importantes sur la peau et des atteintes de la vascularisation) et de myasthénie (une pathologie neuromusculaire). Les études au long court doivent se poursuivre, pour confirmer la stabilisation dans le temps, et d’autres pathologies seront ensuite testées. L’espoir est grand, car les maladies auto-immunes ne sont pas rares : l’hyper- ou l’hypothyroïdie, le diabète de type 1, la polyarthrite rhumatoïde ou la terrifiante sclérose en plaques en font partie.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r>
    </w:p>
    <w:p>
      <w:pPr>
        <w:pStyle w:val="Heading1"/>
        <w:rPr/>
      </w:pPr>
      <w:r>
        <w:rPr/>
        <w:t>IMPASSE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ListParagraph"/>
        <w:numPr>
          <w:ilvl w:val="0"/>
          <w:numId w:val="2"/>
        </w:numPr>
        <w:rPr/>
      </w:pPr>
      <w:r>
        <w:rPr/>
        <w:t>Publication scientifique : on est dans la mouise. Pardon, excusez mon langage, je me reprends, utilisons les termes techniques appropriés : le monde des publications scientifiques s’asphyxie et est au bord de l’implosion (bref, on est dans la mouise). Ceux qui ont vu ma conférence au REC sur le problème des publications scientifiques actuelles savent à quel point les chercheurs se battent contre les revues, pour les autres je fais un bref rappel : un chercheur n’est pas payé pour écrire un article, pas payé pour relire un article écrit par un autre chercheur, mais il devra soit payer l’éditeur pour publier en accès libre (et que les autres chercheurs puisse lire l’article à leur guise) soit accepter que ses collègues devront payer 40 balles pour télécharger le PDF de l’article (argent qui ne lui est jamais reversé et va directement dans la poche de l’éditeur). Si jamais il trouve tout ça absurde, malhonnête et inutile, il devra le faire quand même, car comme les instituts de recherche et les gouvernances sont pilotées par des gars qui ne comprennent rien à la science et qui pensent que tout peut se mesurer avec des indicateurs chiffrés, l’article, le nombre de fois qu’il est cité et le facteur d’impact du journal dans lequel il est publié sont tout ce qui compte pour l’avancée de la carrière d’un chercheur ou l’obtention de financement pour son laboratoire. Et on est dans la mouise parce que ce système commence à s’effondrer (forcément, à devoir publier tout le temps pour avoir une chance de monter en grade, les articles écrits perdent en force et en qualité), son utilité n’est quasiment plus qu’administrative (qu’est-ce qui est plus utile à la recherche : que je saucissonne mon travail en 14 petits articles, qui ne seront jamais lus dans le bon ordre ou qui viendront se corriger mutuellement, ou que je prenne plusieurs années pour écrire un article complet, exhaustif et de qualité ? oui, moi aussi je sais, mais ça fait pas efficient sur ma liste de publis…) et on a pas de système de rechange qui garantissent la publication d’un savoir revu et corrigé par les pairs (parce que les institutions les court-circuitent, pas parce qu’on est pas capables d’en inventer). Je maintiens qu’on est dans la mouise, et que j’aurais juste pu me contenter de ça.</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MAUVAISE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ListParagraph"/>
        <w:numPr>
          <w:ilvl w:val="0"/>
          <w:numId w:val="2"/>
        </w:numPr>
        <w:rPr/>
      </w:pPr>
      <w:r>
        <w:rPr/>
        <w:t>Rougeole : je maintiens mon pari qui est que la prochaine catastrophe sanitaire de grande ampleur mettant réellement notre espèce en danger sera issue de la rougeole. On en est pas là, mais en attendant, la maladie qui avait été quasiment éradiquée continue de se répandre. Aux USA, bien sûr, où elle approche les 2.000 cas, un score jamais atteint au XXIe siècle, mais également au UK, où la maladie vient de faire sa première victime, un enfant mort à l’hôpital de Liverpool. Pourtant, au pays de Wakefield et du scandale qu’il a généré autour de lui, on pensait que les gens avaient appris…</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BONNE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ListParagraph"/>
        <w:numPr>
          <w:ilvl w:val="0"/>
          <w:numId w:val="2"/>
        </w:numPr>
        <w:rPr/>
      </w:pPr>
      <w:r>
        <w:rPr/>
        <w:t>Sentience : si vous ne savez pas quoi faire, la petite exposition Sentience du Projet Méduses sera visible aux Universités d'été du Mallouestan de Souleuvre en Bocage du 1</w:t>
      </w:r>
      <w:r>
        <w:rPr>
          <w:vertAlign w:val="superscript"/>
        </w:rPr>
        <w:t>er</w:t>
      </w:r>
      <w:r>
        <w:rPr/>
        <w:t xml:space="preserve"> au 3 août, aux journées d’été Les Ecologistes de Strasbourg du 21 au 23 août, à l’Université d’été REV de Tours du 22 au 24 août et à la Vegan Place de Lyon le 27 septembre. Si c’est trop loin, pas la bonne période ou que sais-je, sachez que vous pouvez </w:t>
      </w:r>
      <w:hyperlink r:id="rId5">
        <w:r>
          <w:rPr>
            <w:rStyle w:val="Hyperlink"/>
          </w:rPr>
          <w:t>contacter les créateurs</w:t>
        </w:r>
      </w:hyperlink>
      <w:r>
        <w:rPr/>
        <w:t xml:space="preserve"> (https://expo.sentience.pm/) pour pouvoir installer l’exposition dans votre médiathèque locale, votre espace culturel communal ou votre petit festival associatif.</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 QU’EST-CE QUE PUTAIN DE QUOI ? »</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Les Amish sont un peuple fascinant, pour plein de disciplines scientifiques : ethnologie, psychologie, sociologie, génétique… Mais ils sont aussi une machine à fantasmes sur plein de sujets, en particulier en médecine. On raconte qu’ils sont le peuple « en meilleure santé du monde » (c’est globalement faux, en tout cas leur espérance de vie est un peu supérieure à la population américaine générale, donc là-bas ça peut faire illusion et c’est sans doute leur mode de vie plus sain qui crée cette différence, mais reste inférieure à celle, au hasard, des Français), notamment parce qu’ils ne sont pas vaccinés (c’est aussi faux, ça dépend des communautés, comme pour tous les autres, il y a des communautés antivax et des communautés qui font tous les vaccins) et donc qu’ils seraient moins autistes (sans déconner j’en ai marre… tiens je vais poser une bombe ici, et je la traiterai la prochaine fois que j’ai pas le temps de faire un Echo des Labos complet, comme ça, ça entretiendra le suspens : l’autisme, c’est pas les vaccins, c’est Neandertal, c’est tout pour moi, bonne journée). En revanche, il y a un truc qui est vrai, et qui a donc, puisque c’était vrai, fait l’objet d’études : ils ont ENORMEMENT moins d’allergies et d’asthme (entre dix et deux fois moins, respectivement).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Et </w:t>
      </w:r>
      <w:hyperlink r:id="rId6">
        <w:r>
          <w:rPr>
            <w:rStyle w:val="Hyperlink"/>
          </w:rPr>
          <w:t>une étude</w:t>
        </w:r>
      </w:hyperlink>
      <w:r>
        <w:rPr/>
        <w:t xml:space="preserve"> (là https://pubmed.ncbi.nlm.nih.gov/37271318/) a montré que ça, c’était grâce à… la poussière particulière de leurs étables (oui, il y a des chercheurs qui ont réussi à convaincre des communautés volontairement coupées du monde technologique moderne de les laisser frotter leurs granges, leurs maisons et leurs vaches avec des cotons-tiges). Plus précisément, les poussières des étables contiennent des microbes bénins et des protéines particulières, capables de transporter profondément dans les bronches le matériel desdits microbes, régulant ainsi les réactions immunitaires futures et prévenant l’inflammation. L’asthmatique que je suis trouve ça formidable que ces enfants ne soient jamais amenés à endurer ce que mes poumons me font endurer juste parce qu’ils sont paranoïaques des pollens, mais j’appelle quand même à ne pas idéaliser les communautés non plus : on rappelle qu’elles ont un fort taux de consanguinité et que, à l’inverse, leur santé mentale et leurs capacités cognitives sont, elles, inférieures à la population générale. On peut manifestement pas tout avoir…</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POINT METHODE DE LA SEMAINE – C’est quoi, ce truc-là ?</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L’immense majorité du progrès scientifique n’est pas dû au besoin de survie (plein de cultures ont vécu très bien reculées dans leur forêt jusqu’à ce qu’on vienne leur filer la rougeole), ni à une quête spirituelle (en général, vous avez plus de questions à la fin que quand vous avez commencé) ni même à la sérendipité (même si en vrai c’est toujours rigolo). Non, l’immense majorité du progrès scientifique est dû au fait que, chaque fois qu’un truc s’est produit ou presque, il y a eu un Homo sapiens pour se demander « c’est quoi, ce truc-là ? » et refuser de lâcher l’affaire tant qu’il avait pas de réponse (on est une espèce relou, ça et notre mode de prédation basée sur l’endurance et le harcèlement de la proie, on est une espèce dont la spécialité c’est d’être très relou).</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Et ce principe vient à nouveau de s’illustrer avec le cas du navire de recherche Blue Heron. Ce jour-là, le technicien à l'Observatoire des Grands Lacs Doug Ricketts inspecte le bateau. La routine, il resserre quelques boulons, gratouille des tâches de rouille, vérifie les extincteurs, et lorsqu’il arrive au gouvernail, il jette un œil sur tout le tour pour vérifier que tout va bien. Et lorsqu’il tombe sur un truc qui ressemble à une huile de moteur noire, un peu collante, lui passe par la tête le fameux et indéboulonnable « c’est quoi, ce truc-là ? ». Alors Doug décide d’en mettre dans un tube et il apporte ça aux gars qu’il connaît à l’Université du Minnesota. C’est le technicien du labo de génétique Cody Sheik qui récupère le tube, et est à son tour victime du syndrome « c’est quoi, ce truc-là ? ». Une première analyse au microscope montre que la substance contient des unicellulaires, et il décide d’en décoder le génome pour pouvoir identifier les espèces. Et c’est alors que toute l’équipe bascule au stade supérieur, appelé « bordel, mais c’est quoi ce truc ? » lorsque les analyses révèlent qu’il s’agit de plusieurs espèces… toutes parfaitement inconnues. La première est une espèce d’archée, une forme de vie unicellulaire sans noyau, qui vit dans les environnements sans oxygène, chauds et stables, genre des cheminées sous-marines et genre absolument pas le gouvernail à l’air libre d’un bateau de recherche à la frontière du Canada. La seconde pourrait être (ils bossent encore dessus) un phyla (c’est la catégorie de taxon entre le règne, comme « règne animal », et la classe, par exemple « tétrapodes » (ceux à quatre membres)) bactérien dont on ne sait absolument rien et dont on a aucune idée de comment il a atterri là.</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Principe de précaution oblige, l’équipe se met immédiatement à cultiver et tester un peu tout le bazar, pour savoir s’ils ont affaire à des espèces dangereuses. Et ils entrent alors dans la phase terminale « sérieusement les gars… c’est quoi… ce truc ? » lorsqu’ils se rendent compte que le machin est a priori inoffensif et qu’il fait rien qu’à buller tranquillement en fabricant… du biométhane. Un truc qu’on utilise comme carburant. Le communiqué de presse de chercheurs mi-sous le choc mi-euphorique est</w:t>
      </w:r>
      <w:hyperlink r:id="rId7">
        <w:r>
          <w:rPr>
            <w:rStyle w:val="Hyperlink"/>
          </w:rPr>
          <w:t xml:space="preserve"> à lire</w:t>
        </w:r>
      </w:hyperlink>
      <w:r>
        <w:rPr/>
        <w:t xml:space="preserve"> (https://news.d.umn.edu/articles/ship-goo) et la publication du séquençage complet au moins du premier génome est attendu avant la fin de l’été. Comme quoi, loin de la pression des indicateurs chiffrés et des publications à marche forcée, c’est encore quand on laisse aux chercheurs le temps de jouer avec la gadoue que la science marche le mieux.</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Normal"/>
        <w:spacing w:before="0" w:after="0"/>
        <w:contextualSpacing/>
        <w:rPr/>
      </w:pPr>
      <w:r>
        <w:rPr/>
        <w:t>En espérant avoir pu apporter un peu de lumière dans le chaos ambiant, je rends l'antenne, et on y retourne la semaine prochaine, promis j’essaye. En attendant, prenez soin de vous et des chercheurs qui bossent dur, et, aimez la science, la vraie, et ceux qui la font. Bisous.</w:t>
      </w:r>
    </w:p>
    <w:p>
      <w:pPr>
        <w:pStyle w:val="Normal"/>
        <w:spacing w:before="0" w:after="0"/>
        <w:contextualSpacing/>
        <w:rPr/>
      </w:pPr>
      <w:r>
        <w:rPr/>
      </w:r>
    </w:p>
    <w:p>
      <w:pPr>
        <w:pStyle w:val="Normal"/>
        <w:spacing w:before="0" w:after="0"/>
        <w:contextualSpacing/>
        <w:rPr/>
      </w:pPr>
      <w:r>
        <w:rPr/>
        <w:drawing>
          <wp:inline distT="0" distB="0" distL="0" distR="0">
            <wp:extent cx="5760720" cy="6638290"/>
            <wp:effectExtent l="0" t="0" r="0" b="0"/>
            <wp:docPr id="1" name="Image 1" descr="I-brought-you-pre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brought-you-presents"/>
                    <pic:cNvPicPr>
                      <a:picLocks noChangeAspect="1" noChangeArrowheads="1"/>
                    </pic:cNvPicPr>
                  </pic:nvPicPr>
                  <pic:blipFill>
                    <a:blip r:embed="rId8"/>
                    <a:stretch>
                      <a:fillRect/>
                    </a:stretch>
                  </pic:blipFill>
                  <pic:spPr bwMode="auto">
                    <a:xfrm>
                      <a:off x="0" y="0"/>
                      <a:ext cx="5760720" cy="6638290"/>
                    </a:xfrm>
                    <a:prstGeom prst="rect">
                      <a:avLst/>
                    </a:prstGeom>
                    <a:noFill/>
                  </pic:spPr>
                </pic:pic>
              </a:graphicData>
            </a:graphic>
          </wp:inline>
        </w:drawing>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cfd"/>
    <w:pPr>
      <w:widowControl/>
      <w:bidi w:val="0"/>
      <w:spacing w:before="0" w:after="0"/>
      <w:jc w:val="start"/>
    </w:pPr>
    <w:rPr>
      <w:rFonts w:ascii="Times New Roman" w:hAnsi="Times New Roman" w:eastAsia="Calibri" w:cs="Times New Roman" w:eastAsiaTheme="minorHAnsi"/>
      <w:color w:val="auto"/>
      <w:kern w:val="0"/>
      <w:sz w:val="24"/>
      <w:szCs w:val="24"/>
      <w:lang w:val="fr-FR" w:eastAsia="en-US" w:bidi="ar-SA"/>
    </w:rPr>
  </w:style>
  <w:style w:type="paragraph" w:styleId="Heading1">
    <w:name w:val="heading 1"/>
    <w:basedOn w:val="NormalWeb"/>
    <w:next w:val="Normal"/>
    <w:link w:val="Titre1Car"/>
    <w:autoRedefine/>
    <w:uiPriority w:val="9"/>
    <w:qFormat/>
    <w:rsid w:val="00b95907"/>
    <w:pPr>
      <w:spacing w:beforeAutospacing="0" w:before="0" w:afterAutospacing="0" w:after="0"/>
      <w:contextualSpacing/>
      <w:outlineLvl w:val="0"/>
    </w:pPr>
    <w:rPr/>
  </w:style>
  <w:style w:type="paragraph" w:styleId="Heading2">
    <w:name w:val="heading 2"/>
    <w:basedOn w:val="Normal"/>
    <w:next w:val="Normal"/>
    <w:link w:val="Titre2Car"/>
    <w:autoRedefine/>
    <w:uiPriority w:val="9"/>
    <w:unhideWhenUsed/>
    <w:qFormat/>
    <w:rsid w:val="00200a26"/>
    <w:pPr>
      <w:keepNext w:val="true"/>
      <w:keepLines/>
      <w:numPr>
        <w:ilvl w:val="1"/>
        <w:numId w:val="1"/>
      </w:numPr>
      <w:spacing w:before="40" w:after="0"/>
      <w:ind w:hanging="432" w:start="792"/>
      <w:outlineLvl w:val="1"/>
    </w:pPr>
    <w:rPr>
      <w:rFonts w:eastAsia="" w:cs="" w:cstheme="majorBidi" w:eastAsiaTheme="majorEastAsia"/>
      <w:sz w:val="26"/>
      <w:szCs w:val="26"/>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b95907"/>
    <w:rPr>
      <w:rFonts w:eastAsia="Times New Roman"/>
      <w:lang w:eastAsia="fr-FR"/>
    </w:rPr>
  </w:style>
  <w:style w:type="character" w:styleId="Titre2Car" w:customStyle="1">
    <w:name w:val="Titre 2 Car"/>
    <w:basedOn w:val="DefaultParagraphFont"/>
    <w:link w:val="Heading2"/>
    <w:uiPriority w:val="9"/>
    <w:qFormat/>
    <w:rsid w:val="00200a26"/>
    <w:rPr>
      <w:rFonts w:eastAsia="" w:cs="" w:cstheme="majorBidi" w:eastAsiaTheme="majorEastAsia"/>
      <w:sz w:val="26"/>
      <w:szCs w:val="26"/>
    </w:rPr>
  </w:style>
  <w:style w:type="character" w:styleId="NotedebasdepageCar" w:customStyle="1">
    <w:name w:val="Note de bas de page Car"/>
    <w:basedOn w:val="DefaultParagraphFont"/>
    <w:link w:val="FootnoteText"/>
    <w:uiPriority w:val="99"/>
    <w:qFormat/>
    <w:rsid w:val="000e43c7"/>
    <w:rPr>
      <w:sz w:val="20"/>
      <w:szCs w:val="20"/>
    </w:rPr>
  </w:style>
  <w:style w:type="character" w:styleId="d2edcug0" w:customStyle="1">
    <w:name w:val="d2edcug0"/>
    <w:basedOn w:val="DefaultParagraphFont"/>
    <w:qFormat/>
    <w:rsid w:val="00d30bbd"/>
    <w:rPr/>
  </w:style>
  <w:style w:type="character" w:styleId="Hyperlink">
    <w:name w:val="Hyperlink"/>
    <w:basedOn w:val="DefaultParagraphFont"/>
    <w:uiPriority w:val="99"/>
    <w:unhideWhenUsed/>
    <w:rsid w:val="00d30bbd"/>
    <w:rPr>
      <w:color w:val="0000FF"/>
      <w:u w:val="single"/>
    </w:rPr>
  </w:style>
  <w:style w:type="character" w:styleId="tojvnm2t" w:customStyle="1">
    <w:name w:val="tojvnm2t"/>
    <w:basedOn w:val="DefaultParagraphFont"/>
    <w:qFormat/>
    <w:rsid w:val="00255cde"/>
    <w:rPr/>
  </w:style>
  <w:style w:type="character" w:styleId="UnresolvedMention">
    <w:name w:val="Unresolved Mention"/>
    <w:basedOn w:val="DefaultParagraphFont"/>
    <w:uiPriority w:val="99"/>
    <w:semiHidden/>
    <w:unhideWhenUsed/>
    <w:qFormat/>
    <w:rsid w:val="00255cde"/>
    <w:rPr>
      <w:color w:val="605E5C"/>
      <w:shd w:fill="E1DFDD" w:val="clear"/>
    </w:rPr>
  </w:style>
  <w:style w:type="character" w:styleId="En-tteCar" w:customStyle="1">
    <w:name w:val="En-tête Car"/>
    <w:basedOn w:val="DefaultParagraphFont"/>
    <w:link w:val="Header"/>
    <w:uiPriority w:val="99"/>
    <w:qFormat/>
    <w:rsid w:val="00071844"/>
    <w:rPr/>
  </w:style>
  <w:style w:type="character" w:styleId="PieddepageCar" w:customStyle="1">
    <w:name w:val="Pied de page Car"/>
    <w:basedOn w:val="DefaultParagraphFont"/>
    <w:link w:val="Footer"/>
    <w:uiPriority w:val="99"/>
    <w:qFormat/>
    <w:rsid w:val="00071844"/>
    <w:rPr/>
  </w:style>
  <w:style w:type="character" w:styleId="x193iq5w" w:customStyle="1">
    <w:name w:val="x193iq5w"/>
    <w:basedOn w:val="DefaultParagraphFont"/>
    <w:qFormat/>
    <w:rsid w:val="0081045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uiPriority w:val="99"/>
    <w:unhideWhenUsed/>
    <w:rsid w:val="000e43c7"/>
    <w:pPr>
      <w:spacing w:before="0" w:after="0"/>
      <w:contextualSpacing/>
      <w:jc w:val="both"/>
    </w:pPr>
    <w:rPr>
      <w:sz w:val="20"/>
      <w:szCs w:val="20"/>
    </w:rPr>
  </w:style>
  <w:style w:type="paragraph" w:styleId="NormalWeb">
    <w:name w:val="Normal (Web)"/>
    <w:basedOn w:val="Normal"/>
    <w:uiPriority w:val="99"/>
    <w:semiHidden/>
    <w:unhideWhenUsed/>
    <w:qFormat/>
    <w:rsid w:val="000f4e2f"/>
    <w:pPr>
      <w:spacing w:beforeAutospacing="1" w:afterAutospacing="1"/>
    </w:pPr>
    <w:rPr>
      <w:rFonts w:eastAsia="Times New Roman"/>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071844"/>
    <w:pPr>
      <w:tabs>
        <w:tab w:val="clear" w:pos="708"/>
        <w:tab w:val="center" w:pos="4536" w:leader="none"/>
        <w:tab w:val="right" w:pos="9072" w:leader="none"/>
      </w:tabs>
    </w:pPr>
    <w:rPr/>
  </w:style>
  <w:style w:type="paragraph" w:styleId="Footer">
    <w:name w:val="footer"/>
    <w:basedOn w:val="Normal"/>
    <w:link w:val="PieddepageCar"/>
    <w:uiPriority w:val="99"/>
    <w:unhideWhenUsed/>
    <w:rsid w:val="00071844"/>
    <w:pPr>
      <w:tabs>
        <w:tab w:val="clear" w:pos="708"/>
        <w:tab w:val="center" w:pos="4536" w:leader="none"/>
        <w:tab w:val="right" w:pos="9072" w:leader="none"/>
      </w:tabs>
    </w:pPr>
    <w:rPr/>
  </w:style>
  <w:style w:type="paragraph" w:styleId="ListParagraph">
    <w:name w:val="List Paragraph"/>
    <w:basedOn w:val="Normal"/>
    <w:uiPriority w:val="34"/>
    <w:qFormat/>
    <w:rsid w:val="00da57ff"/>
    <w:pPr>
      <w:spacing w:before="0" w:after="0"/>
      <w:ind w:start="72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ournals.asm.org/doi/10.1128/mra.00219-25" TargetMode="External"/><Relationship Id="rId3" Type="http://schemas.openxmlformats.org/officeDocument/2006/relationships/hyperlink" Target="https://www.nejm.org/doi/full/10.1056/NEJMoa2308917" TargetMode="External"/><Relationship Id="rId4" Type="http://schemas.openxmlformats.org/officeDocument/2006/relationships/hyperlink" Target="https://www.thelancet.com/journals/lanrhe/article/PIIS2665-9913(25)00091-8/fulltext" TargetMode="External"/><Relationship Id="rId5" Type="http://schemas.openxmlformats.org/officeDocument/2006/relationships/hyperlink" Target="https://expo.sentience.pm/" TargetMode="External"/><Relationship Id="rId6" Type="http://schemas.openxmlformats.org/officeDocument/2006/relationships/hyperlink" Target="https://pubmed.ncbi.nlm.nih.gov/37271318/" TargetMode="External"/><Relationship Id="rId7" Type="http://schemas.openxmlformats.org/officeDocument/2006/relationships/hyperlink" Target="https://news.d.umn.edu/articles/ship-goo" TargetMode="External"/><Relationship Id="rId8" Type="http://schemas.openxmlformats.org/officeDocument/2006/relationships/image" Target="media/image1.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237</TotalTime>
  <Application>LibreOffice/25.8.2.2$Linux_X86_64 LibreOffice_project/580$Build-2</Application>
  <AppVersion>15.0000</AppVersion>
  <Pages>7</Pages>
  <Words>2705</Words>
  <Characters>13730</Characters>
  <CharactersWithSpaces>17047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2025-07-25T07:51:00Z</dcterms:created>
  <dc:creator>Asus</dc:creator>
  <dc:description/>
  <dc:language>en-US</dc:language>
  <cp:lastModifiedBy>Jean-cédric Thérond</cp:lastModifiedBy>
  <dcterms:modified xsi:type="dcterms:W3CDTF">2025-11-03T02:35:51Z</dcterms:modified>
  <cp:revision>3</cp:revision>
  <dc:subject/>
  <dc:title>Echo des Labos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