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contextualSpacing/>
        <w:rPr/>
      </w:pPr>
      <w:r>
        <w:rPr/>
        <w:t>Aujourd'hui, c'est dimanche. Vous êtes donc bien sur Radio Périgord, je suis le Dendrobate Doctor et nous sommes ensemble pour faire l'état de la recherche sur l'épidémie de Covid-19 et le reste.</w:t>
      </w:r>
    </w:p>
    <w:p>
      <w:pPr>
        <w:pStyle w:val="NormalWeb"/>
        <w:spacing w:beforeAutospacing="0" w:before="0" w:afterAutospacing="0" w:after="0"/>
        <w:contextualSpacing/>
        <w:rPr/>
      </w:pPr>
      <w:r>
        <w:rPr>
          <w:rFonts w:eastAsia="Calibri" w:eastAsiaTheme="minorHAnsi"/>
          <w:lang w:eastAsia="en-US"/>
        </w:rPr>
        <w:t>Si elle disparaît, retrouvez la chronique sur le blog (https://www.the-dendrobate-doctor.fr/)</w:t>
      </w:r>
    </w:p>
    <w:p>
      <w:pPr>
        <w:pStyle w:val="NormalWeb"/>
        <w:spacing w:beforeAutospacing="0" w:before="0" w:afterAutospacing="0" w:after="0"/>
        <w:contextualSpacing/>
        <w:rPr/>
      </w:pPr>
      <w:r>
        <w:rPr>
          <w:lang w:eastAsia="en-US"/>
        </w:rPr>
        <w:t>Si vous aimez la chronique, vous pouvez nous soutenir sur Ulule (https://fr.ulule.com/the-dendrobate-doctor/).</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r>
    </w:p>
    <w:p>
      <w:pPr>
        <w:pStyle w:val="NormalWeb"/>
        <w:spacing w:beforeAutospacing="0" w:before="0" w:afterAutospacing="0" w:after="0"/>
        <w:contextualSpacing/>
        <w:rPr/>
      </w:pPr>
      <w:r>
        <w:rPr/>
        <w:t>Bienvenue à tous sur l’Écho des Labos.</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r>
        <w:rPr/>
        <w:t>***</w:t>
      </w:r>
    </w:p>
    <w:p>
      <w:pPr>
        <w:pStyle w:val="NormalWeb"/>
        <w:spacing w:beforeAutospacing="0" w:before="0" w:afterAutospacing="0" w:after="0"/>
        <w:contextualSpacing/>
        <w:rPr/>
      </w:pPr>
      <w:r>
        <w:rPr/>
      </w:r>
    </w:p>
    <w:p>
      <w:pPr>
        <w:pStyle w:val="Heading1"/>
        <w:rPr/>
      </w:pPr>
      <w:r>
        <w:rPr/>
        <w:br/>
        <w:t>FAKE DE LA SEMAINE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Cette semaine, on va devoir, à nouveau, encore, et c’est une tragédie en soi, parler des conséquences que les Fakes sur les réseaux ont dans le vrai monde réel de la réalité véritable. Bobby « Goa’uld » Kennedy est en pleine forme (pour le plus grand malheur du reste de l’humanité), et les mesures prises par lui, son ministère et ses adorateurs sont en train de nous préparer un terrain de tous les diables (Papa Nurgle est ultra fan, il paraît même qu’il a demandé un autographe).</w:t>
      </w:r>
    </w:p>
    <w:p>
      <w:pPr>
        <w:pStyle w:val="Normal"/>
        <w:spacing w:before="0" w:after="0"/>
        <w:contextualSpacing/>
        <w:rPr/>
      </w:pPr>
      <w:r>
        <w:rPr/>
        <w:t>Début août, Bobby a décimé les crédits de soutien à la recherche sur l’ARN messager. Cette technologie est, à l’heure actuelle, le seul espoir que nous ayons de développer un nouveau vaccin contre la tuberculose, qui est en pleine recrudescence dans tous les pays du monde, et contre laquelle nous ne disposons que d’antibiotiques auxquels les différentes souches résistent de plus en plus et d’un vaccin auquel près de 40% de la population est non-répondante. Les vaccins à ARN sont également la meilleure piste que nous ayons actuellement pour arriver à produire un vaccin sûr contre la dengue (le dernier en date posait trop de problèmes et a été arrêté), qui se répand dans le monde à vitesse grand V à cause du réchauffement climatique permettant au moustique tigre de conquérir de nouveaux territoires, ainsi que contre Ebola, qui engendre toujours 30% à 50% de morts parmi les contaminés.</w:t>
      </w:r>
    </w:p>
    <w:p>
      <w:pPr>
        <w:pStyle w:val="Normal"/>
        <w:spacing w:before="0" w:after="0"/>
        <w:contextualSpacing/>
        <w:rPr/>
      </w:pPr>
      <w:r>
        <w:rPr/>
        <w:t>Kennedy est le Lyssenko des temps modernes, il est probable que des disciplines entières, comme ça avait été le cas avec la génétique en URSS, disparaissent purement et simplement des USA.</w:t>
      </w:r>
    </w:p>
    <w:p>
      <w:pPr>
        <w:pStyle w:val="Normal"/>
        <w:spacing w:before="0" w:after="0"/>
        <w:contextualSpacing/>
        <w:rPr/>
      </w:pPr>
      <w:r>
        <w:rPr/>
        <w:t>Pendant ce temps-là, la grippe aviaire continue de tranquillement incuber au sein des élevages géants du pays. Elle est désormais capable de passer d’un bovin à l’autre, signe qu’elle a franchi la barrière oiseaux-mammifères, et fait régulièrement des cas humains, qui sont encore, pour l’instant, des culs-de-sac évolutifs. Mais ça n’aura qu’un temps, et elle a tout son temps. Pendant que Bobby est en train de crier tout rouge au sénat que l’aluminium donne l’autisme et que personne n’attrape la rougeole si on donne assez de vitamine A, H5N1 tâtonne, elle cherche la faille dans notre système de défense cellulaire, et, à n’en pas douter, elle la trouvera. Certaines de ses cousines l’ont trouvée avant elle, elle la trouvera. Et lorsque ça arrivera, les USA seront privés de la technologie capable de produire rapidement un vaccin contre elle, mais aussi, et surtout, de la volonté de le faire. Des enfants meurent de la rougeole au Texas, et leurs parents expliquent qu’ils ne regrettent pas de ne pas les avoir fait vacciner, que c’était la volonté de Dieu, de la même manière il ne suffira pas que H5N1 commence à tuer pour que Bobby, ses sbires et tout le clan MAGA derrière lui changent d’avis. Je crains sincèrement qu’il n’y ait plus rien à faire pour les États-Unis.</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DÉCOUVERTE DE LA SEMAINE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La dure lutte pour la survie, c’est un phénomène qui se passe partout, tout le temps, même au cœur de votre organisme. Dans les grandes avancées qu’on peut souligner sur les dernières semaines, on trouve ainsi une collection de données en provenance du Wellcome Sanger Institute, qui mène depuis quelques années des expérimentations avancées sur la génétique du cancer.</w:t>
      </w:r>
    </w:p>
    <w:p>
      <w:pPr>
        <w:pStyle w:val="Normal"/>
        <w:spacing w:before="0" w:after="0"/>
        <w:contextualSpacing/>
        <w:rPr/>
      </w:pPr>
      <w:r>
        <w:rPr/>
        <w:t>Si les mutations qui permettent aux cellules de devenir cancéreuses sont désormais bien connues, les chercheurs n’expliquaient pas pourquoi toutes les cellules porteuses de ces mutations ne devenaient pour autant pas nécessairement cancéreuses. En utilisant l’outil de ciseaux génétiques CRISPR-9, l’équipe de Phil Jones peut modifier très précisément le génome des cellules, l’étudier et recommencer à un rythme effréné : 15.000 gènes en 3 mois, un travail qui, sans l’outil, prendrait plusieurs années. Grâce à cela, ils ont pu s’apercevoir que ce qui détermine si une cellule devient ou non un cancer dépend, certes, des mutations dont elle est porteuse mais également de… l’agressivité de ses voisines. En effet, dès qu’elle mute trop, une cellule cancéreuse cesse de jouer collectif au sein de l’organisme (et c’est bien tout le problème). Mais ce comportement a un effet boomerang : les cellules saines s’autorisent alors à entrer en compétition avec elle, et plus les cellules saines sont porteuses de mutations efficaces, moins la cellule cancéreuse a de chances de parvenir à récupérer assez de nutriments pour se développer et proliférer.</w:t>
      </w:r>
    </w:p>
    <w:p>
      <w:pPr>
        <w:pStyle w:val="Normal"/>
        <w:spacing w:before="0" w:after="0"/>
        <w:contextualSpacing/>
        <w:rPr/>
      </w:pPr>
      <w:r>
        <w:rPr/>
        <w:t>Cette découverte est porteuse d’espoir dans le traitement du cancer, puisqu’il s’agirait alors d’une toute nouvelle approche : plutôt que d’administrer des traitements nocifs pour les cellules mutantes, on pourrait alors modifier les cellules saines pour leur permettre de rivaliser plus efficacement avec celles qui tentent de les envahir. Ainsi, les chercheurs ont trouvé que le gène muté PIK3CA favorise la croissance cellulaire et permet aux cellules mutées de prendre la place de leurs voisines… mais en administrant à celles-ci un antidiabétique, la metformine, il est possible de provoquer le même comportement métabolique, permettant alors aux tissus sains de tenir le front face à la tumeur. Les britanniques à l’origine de l’expérimentation espèrent pouvoir développer rapidement des thérapies ciblées par type de cancer.</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  </w:t>
      </w:r>
    </w:p>
    <w:p>
      <w:pPr>
        <w:pStyle w:val="Heading1"/>
        <w:rPr/>
      </w:pPr>
      <w:r>
        <w:rPr/>
        <w:t>PISTE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 xml:space="preserve">En septembre 2024, aux USA, deux hommes, travaillant sur le même chantier, tombent subitement malades après le passage de l’ouragan Hélène. L’agent responsable est rapidement identifié, il s’agit de Burkholderia pseudomallei, une bactérie tellurique causant des formes infectieuses particulièrement graves : sans traitement, la létalité est de 90%, et avec traitement adapté, elle reste de 40%. Mais une énigme persistait : comment les deux hommes ont-ils été contaminés ? En effet, la bactérie ne se transmet pas entre humains et préfère les climats des zones tropicales du Nord de l’Australie ou de l’Asie du Sud-Est. La bactérie se transmet généralement via les eaux et les boues, par inhalation ou contact avec des plaies. Si le mode de transmission est cohérent avec la profession des deux victimes, il faut tout de même que la bactérie soit présente dans le sol, ce qui n’était, en l’état des connaissances, pas le cas aux USA. En séquençant l’ADN de la bactérie, les chercheurs réalisent que celui-ci matche avec deux autres cas sur le sol américain survenus dans… les années 1980. Le premier cas était un vétéran de la guerre du Vietnam, revenu avec la bactérie, ce qui faisait sens puisqu’elle y est endémique. Le second, également ancien combattant, travaillait alors sur une base militaire située à moins d’un kilomètre du chantier où travaillaient nos deux patients de 2024. Pour les auteurs de </w:t>
      </w:r>
      <w:hyperlink r:id="rId2">
        <w:r>
          <w:rPr>
            <w:rStyle w:val="Hyperlink"/>
          </w:rPr>
          <w:t>l’étude</w:t>
        </w:r>
      </w:hyperlink>
      <w:r>
        <w:rPr/>
        <w:t xml:space="preserve"> (là https://wwwnc.cdc.gov/eid/article/31/9/25-0804_article), la piste la plus probable est désormais que, durant la guerre du Vietnam ou juste après, les USA ont rapatrié sans précaution suffisante leurs soldats et leur matériel, contaminant durablement le sol, où la bactérie a pu proliférer silencieusement et se révéler lors des évènements violents de l’ouragan. Une inquiétude monte alors : la Géorgie n’est pas le seul état où les soldats et le matériel ont été rapatriés, se pourrait-il que d’autres bases soient également contaminées, n’attendant qu’un évènement climatique majeur pour déclencher une nouvelle épidémie ? Vous savez, le genre d’évènement qui est appelé à devenir chaque année plus nombreux et violent…</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r>
    </w:p>
    <w:p>
      <w:pPr>
        <w:pStyle w:val="Heading1"/>
        <w:rPr/>
      </w:pPr>
      <w:r>
        <w:rPr/>
        <w:t>IMPASSE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 xml:space="preserve">Chez les chercheurs, on est assez fanas de science pour étudier même la manière dont on fait de la science et, parfois, comment on fait de la mauvaise science. Parfois, c’est par accident, et on forme des méthodologistes pour que ça ne se reproduise plus. Parfois, c’est par manque de considération, et on forme des éthiciens pour que ça ne se reproduise plus. Mais parfois, c’est systémique, et on est bien embêtés, parce qu’on ne sait pas vraiment comment changer le système qui est plus grand, plus fort que nous et qui, surtout, récompense ceux qui le suivent, laissant académiquement mourir ceux qui cherchent à le bousculer (pas tous, heureusement, on va en reparler dans le point méthode de la semaine). Ainsi, une </w:t>
      </w:r>
      <w:hyperlink r:id="rId3">
        <w:r>
          <w:rPr>
            <w:rStyle w:val="Hyperlink"/>
          </w:rPr>
          <w:t>étude récente</w:t>
        </w:r>
      </w:hyperlink>
      <w:r>
        <w:rPr/>
        <w:t xml:space="preserve"> (là https://www.pnas.org/doi/10.1073/pnas.2420092122) révèle que, un peu comme le cancer qui refuse de jouer collectif grandit plus vite que les cellules saines, peu importe qu’il tue au passage son organisme-hôte et signe par là-même son propre arrêt de mort, la fraude scientifique progresse plus vite que la production scientifique. En étudiant ainsi les publications de PLOS One (pas parce qu’elle est particulièrement problématique, mais parce qu’elle publie de façon transparente les métadonnées de ses articles), les chercheurs ont ainsi montré que de nombreux filets de sécurité étaient percés : ainsi, 45 éditeurs, soit 0.25%, ont accepté 1.3% des articles publiés mais 30.2% des articles rétractés après publications. Ces éditeurs semblent connus pour leurs pratiques, puisque l’étude identifie également 21 auteurs qui adressent quasi-systématiquement leurs articles à des éditeurs identifiés comme ayant un fort taux d’acceptation d’études rétractées par la suite.</w:t>
      </w:r>
    </w:p>
    <w:p>
      <w:pPr>
        <w:pStyle w:val="Normal"/>
        <w:spacing w:before="0" w:after="0"/>
        <w:contextualSpacing/>
        <w:rPr/>
      </w:pPr>
      <w:r>
        <w:rPr/>
        <w:t>La science est malade de ce que, au lieu de chercher à comprendre ce qu’elle fait, les institutions qui l’encadrent veulent l’évaluer avec des chiffres. De ce fait, elles ont abouti à ce qui se produit à chaque fois que ce genre de système est mis en place : la sélection naturelle, à laquelle les chercheurs comme tout être vivant sont soumis, a fait émerger des individus très bons à obtenir les chiffres demandés par les évaluateurs, peu importe qu’ils fassent de la mauvaise science et étouffent, dans leur ascension, leurs collègues plus consciencieux. Et quand vous voyez que Mucchielli est toujours directeur de recherche au CNRS ou que Raoult a pu faire toute sa carrière sans jamais être inquiété, vous comprenez que le système n’est pas près de changer, et que sans doute les institutions qui le produisent n’ont de toute façon pas vraiment envie de le changer. Vous imaginez, ça voudrait dire qu’ils devraient essayer de comprendre vraiment ce qu’on fait…</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MAUVAISE NOUVELLE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Je sais pas chez vous, mais du côté de chez Maman Dendrobate (et de moi du coup, quand je suis pas en train de retaper ma baraque en terre picarde), on en est au 63</w:t>
      </w:r>
      <w:r>
        <w:rPr>
          <w:vertAlign w:val="superscript"/>
        </w:rPr>
        <w:t>e</w:t>
      </w:r>
      <w:r>
        <w:rPr/>
        <w:t xml:space="preserve"> cas autochtone de chikungunya (ça veut dire que le cas n’est pas importé, il a été contaminé en local, via les moustiques-tigres qui ont piqué un autre humain infecté avant de s’en prendre au nouveau patient), à la troisième opération de démoustication, et je viens encore d’écraser une de ces sales bêtes sur ma jambe… Ca faisait combien de lignes déjà que je vous avais pas parlé des conséquences du réchauffement climatique ?</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BONNE NOUVELLE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 xml:space="preserve">Il y a quelques années, des collègues avaient mené des expérimentations en mettant des rats dans des petites voiturettes en plexiglass et en leur apprenant à les conduire pour parcourir un labyrinthe et trouver des récompenses. Des anomalies avaient commencé à apparaitre lorsqu’on s’était aperçu que les rats mettaient, après une période d’amélioration, un temps anormalement long à réussir la tâche, jusqu’à ce qu’on se rende compte que, en fait, les rats retardaient volontairement le moment de trouver la récompense (et donc la fin de l’expérience) juste pour pouvoir rester plus longtemps dans les petites voitures. L’idée a donc germé dans la tête de beaucoup de propriétaires de concevoir à domicile des voiturettes semblables, et la magie d’Internet fait que des plans se sont retrouvés en libre accès, et que maintenant on a des images de rats en train de conduire des voiturettes en plastique. </w:t>
      </w:r>
      <w:hyperlink r:id="rId4">
        <w:r>
          <w:rPr>
            <w:rStyle w:val="Hyperlink"/>
          </w:rPr>
          <w:t>Enjoy </w:t>
        </w:r>
      </w:hyperlink>
      <w:r>
        <w:rPr/>
        <w:t>! https://www.facebook.com/reel/1059186723043601</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 QU’EST-CE QUE PUTAIN DE QUOI ? »</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Il existe une grosse controverse sur l’existence ou non de la maladie de Lyme chronique. Les recherches les plus récentes s’accordent à dire que l’infection dérèglerait le système immunitaire et, même une fois la bactérie éliminée, l’organisme n’arriverait pas à se rétablir. Il n’y a en revanche aucun doute sur le fait que les patients atteints, qu’il s’agisse effectivement de ça ou d’autre chose, sont en grande souffrance et, dans certains cas, arrivent en phase terminale de leur maladie. C’était ainsi le cas de Ellie Lobel, atteinte d’un mal invalidant depuis plus de 15 ans, et hospitalisée en soins palliatifs en Californie, après des années à souffrir de douleurs articulaires atroces et que la médecine ait avoué ne plus rien pouvoir pour elle. Et voilà que, en plus, lors d’une promenade dans le parc de l’hôpital, Ellie se fait attaquer par un essaim d’abeilles particulièrement agressives, des hybrides d’espèces Apis mellifera scutellata, ligustica et iberiensis, qu’on appelle sans équivoque « abeilles tueuses ». Transportée de toute urgence au service des soins intensifs, dans un état de douleur et de gonflement extrême, Ellie voit subitement son état s’améliorer. Mieux, quatre jours après l’attaque, la fièvre chronique, les douleurs invalidantes et le brouillard mental qui étaient son quotidien depuis des années disparaissent peu à peu.</w:t>
      </w:r>
    </w:p>
    <w:p>
      <w:pPr>
        <w:pStyle w:val="Normal"/>
        <w:spacing w:before="0" w:after="0"/>
        <w:contextualSpacing/>
        <w:rPr/>
      </w:pPr>
      <w:r>
        <w:rPr/>
      </w:r>
    </w:p>
    <w:p>
      <w:pPr>
        <w:pStyle w:val="Normal"/>
        <w:spacing w:before="0" w:after="0"/>
        <w:contextualSpacing/>
        <w:rPr/>
      </w:pPr>
      <w:r>
        <w:rPr/>
        <w:t>Il est à l’heure actuelle impossible d’expliquer ce qui est arrivé à Ellie Lobel, d’autant plus qu’il n’était déjà pas sûr de quoi elle souffrait à l’origine, et les chercheurs sont donc perplexes. Après son témoignage (et l’incitation à se faire piquer qu’elle a diffusé dans la foulée), plusieurs patients eux aussi atteints de « Lyme chronique » (quelle que soit la pathologie qui soit derrière cette étiquette) rapportent une amélioration de leurs symptômes. Mais pas tous. Le mécanisme d’action reste à découvrir, mais je trouve que ça place Ellie au rang des personnes qui doivent leur survie à la violence gratuite de la nature, au côté de Joan Murray (parachutiste victime d’un défaut d’ouverture, ayant heurté le sol d’une forêt de Caroline du Sud à 130km/h, victime d’un état de choc et d’un arrêt cardiaque, et ramenée à la vie par…la piqûre furieuse de centaines de fourmis de feu, dont elle vient d’écraser la colonie), et ça a quelque chose de fascinant.</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POINT METHODE DE LA SEMAINE – Affronter la machine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Tous ceux qui décident d’affronter la machine ne finissent pas nécessairement broyés par elle. Parfois (et quand on a bac+8, ça arrive) ils sont plus intelligents, plus rusés qu’elle, et surtout (et ça aussi, avoir bac+8, ça aide) plus acharnés. Je vous avais déjà parlé de la merveilleuse Elisabeth Bik, capable de repérer des images trafiquées au sein des papiers en les regardant d’un œil en faisant le poirier (du moins je me le figure, j’ai jamais été témoin direct de la performance), qui a quitté le milieu de la recherche académique pour se consacrer à la chasse à la fraude, mais elle n’est pas la seule.</w:t>
      </w:r>
    </w:p>
    <w:p>
      <w:pPr>
        <w:pStyle w:val="Normal"/>
        <w:spacing w:before="0" w:after="0"/>
        <w:contextualSpacing/>
        <w:rPr/>
      </w:pPr>
      <w:r>
        <w:rPr/>
        <w:t xml:space="preserve">A sa suite, une nouvelle catégorie de chercheurs commence à émerger (et quand je dis « commence », je parle du temps de la science, ça veut dire que ça a moins de dix ans, mais c’est pas genre avant-hier), les « sleuths » ou les « limiers ». Ceux-là ont commencé à se dire que personne d’autre ne viendrait sauver la science que ceux qui la font, et qu’ils allaient devoir faire le ménage eux-mêmes. Depuis 2017, certains se réunissent sous le nom du « Collège Invisible », la plupart se revendique de la FoSci pour « forensic science », la médecine légale de la science. Et si vous n’avez jamais entendu parler d’eux, sachez que ceux à qui ils s’attaquent, eux, commencent à bien les connaitre : les limiers ont à leur tableau de chasse des milliers d’articles rétractés et la fermeture de maisons d’édition entières. Parmi les représentants français du mouvement, on compte Alexander Samuel (avec qui j’ai étroitement travaillé lors de notre débunkage du documentaire antivax d’Arte) mais surtout Lonni Bensaçon, que je vous invite à découvrir via </w:t>
      </w:r>
      <w:hyperlink r:id="rId5">
        <w:r>
          <w:rPr>
            <w:rStyle w:val="Hyperlink"/>
          </w:rPr>
          <w:t>le portrait</w:t>
        </w:r>
      </w:hyperlink>
      <w:r>
        <w:rPr/>
        <w:t xml:space="preserve"> que l’Express vient de lui consacrer (https://www.lexpress.fr/sciences-sante/lonni-besancon-le-detective-de-la-science-qui-traque-les-derives-le-systeme-pousse-a-tricher-IYUARZ4MCRDQVMWCQ5W6MXKI4U/). Grâce à eux, un jour, peut-être, on pourra recommencer à faire de la science à grande échelle sans devoir lutter contre la machine, les multinationales des maisons d’édition et les faiseurs de fausse science qui profitent de la machine.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Normal"/>
        <w:spacing w:before="0" w:after="0"/>
        <w:contextualSpacing/>
        <w:rPr/>
      </w:pPr>
      <w:r>
        <w:rPr/>
        <w:t>En espérant avoir pu apporter un peu de lumière dans le chaos ambiant, je rends l'antenne, et on y retourne la semaine prochaine, car l'épidémie ne se termine pas avec la rentrée, ça serait même plutôt l’inverse en toute logique. En attendant, prenez soin de vous et des chercheurs qui bossent dur, et, aimez la science, la vraie, et ceux qui la font. Bisous.</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drawing>
          <wp:inline distT="0" distB="0" distL="0" distR="0">
            <wp:extent cx="4884420" cy="5379720"/>
            <wp:effectExtent l="0" t="0" r="0" b="0"/>
            <wp:docPr id="1" name="Image 1" descr="Peut être un dessin de texte qui dit ’DID YOU DO SCIENCE YES! ? No Go DO SOME SOME SCIENCE!! WAS H YES! SCIENCE GOOD? No YAY! OH:( You DESERVE CHOCOLATE EAT CHOCOLATE ERRANTSCIENC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Peut être un dessin de texte qui dit ’DID YOU DO SCIENCE YES! ? No Go DO SOME SOME SCIENCE!! WAS H YES! SCIENCE GOOD? No YAY! OH:( You DESERVE CHOCOLATE EAT CHOCOLATE ERRANTSCIENCE.COM’"/>
                    <pic:cNvPicPr>
                      <a:picLocks noChangeAspect="1" noChangeArrowheads="1"/>
                    </pic:cNvPicPr>
                  </pic:nvPicPr>
                  <pic:blipFill>
                    <a:blip r:embed="rId6"/>
                    <a:stretch>
                      <a:fillRect/>
                    </a:stretch>
                  </pic:blipFill>
                  <pic:spPr bwMode="auto">
                    <a:xfrm>
                      <a:off x="0" y="0"/>
                      <a:ext cx="4884420" cy="5379720"/>
                    </a:xfrm>
                    <a:prstGeom prst="rect">
                      <a:avLst/>
                    </a:prstGeom>
                    <a:noFill/>
                  </pic:spPr>
                </pic:pic>
              </a:graphicData>
            </a:graphic>
          </wp:inline>
        </w:drawing>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cfd"/>
    <w:pPr>
      <w:widowControl/>
      <w:bidi w:val="0"/>
      <w:spacing w:before="0" w:after="0"/>
      <w:jc w:val="start"/>
    </w:pPr>
    <w:rPr>
      <w:rFonts w:ascii="Times New Roman" w:hAnsi="Times New Roman" w:eastAsia="Calibri" w:cs="Times New Roman" w:eastAsiaTheme="minorHAnsi"/>
      <w:color w:val="auto"/>
      <w:kern w:val="0"/>
      <w:sz w:val="24"/>
      <w:szCs w:val="24"/>
      <w:lang w:val="fr-FR" w:eastAsia="en-US" w:bidi="ar-SA"/>
    </w:rPr>
  </w:style>
  <w:style w:type="paragraph" w:styleId="Heading1">
    <w:name w:val="heading 1"/>
    <w:basedOn w:val="NormalWeb"/>
    <w:next w:val="Normal"/>
    <w:link w:val="Titre1Car"/>
    <w:autoRedefine/>
    <w:uiPriority w:val="9"/>
    <w:qFormat/>
    <w:rsid w:val="00b95907"/>
    <w:pPr>
      <w:spacing w:beforeAutospacing="0" w:before="0" w:afterAutospacing="0" w:after="0"/>
      <w:contextualSpacing/>
      <w:outlineLvl w:val="0"/>
    </w:pPr>
    <w:rPr/>
  </w:style>
  <w:style w:type="paragraph" w:styleId="Heading2">
    <w:name w:val="heading 2"/>
    <w:basedOn w:val="Normal"/>
    <w:next w:val="Normal"/>
    <w:link w:val="Titre2Car"/>
    <w:autoRedefine/>
    <w:uiPriority w:val="9"/>
    <w:unhideWhenUsed/>
    <w:qFormat/>
    <w:rsid w:val="00200a26"/>
    <w:pPr>
      <w:keepNext w:val="true"/>
      <w:keepLines/>
      <w:numPr>
        <w:ilvl w:val="1"/>
        <w:numId w:val="1"/>
      </w:numPr>
      <w:spacing w:before="40" w:after="0"/>
      <w:ind w:hanging="432" w:start="792"/>
      <w:outlineLvl w:val="1"/>
    </w:pPr>
    <w:rPr>
      <w:rFonts w:eastAsia="" w:cs="" w:cstheme="majorBidi" w:eastAsiaTheme="majorEastAsia"/>
      <w:sz w:val="26"/>
      <w:szCs w:val="26"/>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b95907"/>
    <w:rPr>
      <w:rFonts w:eastAsia="Times New Roman"/>
      <w:lang w:eastAsia="fr-FR"/>
    </w:rPr>
  </w:style>
  <w:style w:type="character" w:styleId="Titre2Car" w:customStyle="1">
    <w:name w:val="Titre 2 Car"/>
    <w:basedOn w:val="DefaultParagraphFont"/>
    <w:link w:val="Heading2"/>
    <w:uiPriority w:val="9"/>
    <w:qFormat/>
    <w:rsid w:val="00200a26"/>
    <w:rPr>
      <w:rFonts w:eastAsia="" w:cs="" w:cstheme="majorBidi" w:eastAsiaTheme="majorEastAsia"/>
      <w:sz w:val="26"/>
      <w:szCs w:val="26"/>
    </w:rPr>
  </w:style>
  <w:style w:type="character" w:styleId="NotedebasdepageCar" w:customStyle="1">
    <w:name w:val="Note de bas de page Car"/>
    <w:basedOn w:val="DefaultParagraphFont"/>
    <w:link w:val="FootnoteText"/>
    <w:uiPriority w:val="99"/>
    <w:qFormat/>
    <w:rsid w:val="000e43c7"/>
    <w:rPr>
      <w:sz w:val="20"/>
      <w:szCs w:val="20"/>
    </w:rPr>
  </w:style>
  <w:style w:type="character" w:styleId="d2edcug0" w:customStyle="1">
    <w:name w:val="d2edcug0"/>
    <w:basedOn w:val="DefaultParagraphFont"/>
    <w:qFormat/>
    <w:rsid w:val="00d30bbd"/>
    <w:rPr/>
  </w:style>
  <w:style w:type="character" w:styleId="Hyperlink">
    <w:name w:val="Hyperlink"/>
    <w:basedOn w:val="DefaultParagraphFont"/>
    <w:uiPriority w:val="99"/>
    <w:unhideWhenUsed/>
    <w:rsid w:val="00d30bbd"/>
    <w:rPr>
      <w:color w:val="0000FF"/>
      <w:u w:val="single"/>
    </w:rPr>
  </w:style>
  <w:style w:type="character" w:styleId="tojvnm2t" w:customStyle="1">
    <w:name w:val="tojvnm2t"/>
    <w:basedOn w:val="DefaultParagraphFont"/>
    <w:qFormat/>
    <w:rsid w:val="00255cde"/>
    <w:rPr/>
  </w:style>
  <w:style w:type="character" w:styleId="UnresolvedMention">
    <w:name w:val="Unresolved Mention"/>
    <w:basedOn w:val="DefaultParagraphFont"/>
    <w:uiPriority w:val="99"/>
    <w:semiHidden/>
    <w:unhideWhenUsed/>
    <w:qFormat/>
    <w:rsid w:val="00255cde"/>
    <w:rPr>
      <w:color w:val="605E5C"/>
      <w:shd w:fill="E1DFDD" w:val="clear"/>
    </w:rPr>
  </w:style>
  <w:style w:type="character" w:styleId="En-tteCar" w:customStyle="1">
    <w:name w:val="En-tête Car"/>
    <w:basedOn w:val="DefaultParagraphFont"/>
    <w:link w:val="Header"/>
    <w:uiPriority w:val="99"/>
    <w:qFormat/>
    <w:rsid w:val="00071844"/>
    <w:rPr/>
  </w:style>
  <w:style w:type="character" w:styleId="PieddepageCar" w:customStyle="1">
    <w:name w:val="Pied de page Car"/>
    <w:basedOn w:val="DefaultParagraphFont"/>
    <w:link w:val="Footer"/>
    <w:uiPriority w:val="99"/>
    <w:qFormat/>
    <w:rsid w:val="00071844"/>
    <w:rPr/>
  </w:style>
  <w:style w:type="character" w:styleId="x193iq5w" w:customStyle="1">
    <w:name w:val="x193iq5w"/>
    <w:basedOn w:val="DefaultParagraphFont"/>
    <w:qFormat/>
    <w:rsid w:val="0081045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uiPriority w:val="99"/>
    <w:unhideWhenUsed/>
    <w:rsid w:val="000e43c7"/>
    <w:pPr>
      <w:spacing w:before="0" w:after="0"/>
      <w:contextualSpacing/>
      <w:jc w:val="both"/>
    </w:pPr>
    <w:rPr>
      <w:sz w:val="20"/>
      <w:szCs w:val="20"/>
    </w:rPr>
  </w:style>
  <w:style w:type="paragraph" w:styleId="NormalWeb">
    <w:name w:val="Normal (Web)"/>
    <w:basedOn w:val="Normal"/>
    <w:uiPriority w:val="99"/>
    <w:semiHidden/>
    <w:unhideWhenUsed/>
    <w:qFormat/>
    <w:rsid w:val="000f4e2f"/>
    <w:pPr>
      <w:spacing w:beforeAutospacing="1" w:afterAutospacing="1"/>
    </w:pPr>
    <w:rPr>
      <w:rFonts w:eastAsia="Times New Roman"/>
      <w:lang w:eastAsia="fr-FR"/>
    </w:rPr>
  </w:style>
  <w:style w:type="paragraph" w:styleId="HeaderandFooter">
    <w:name w:val="Header and Footer"/>
    <w:basedOn w:val="Normal"/>
    <w:qFormat/>
    <w:pPr/>
    <w:rPr/>
  </w:style>
  <w:style w:type="paragraph" w:styleId="Header">
    <w:name w:val="header"/>
    <w:basedOn w:val="Normal"/>
    <w:link w:val="En-tteCar"/>
    <w:uiPriority w:val="99"/>
    <w:unhideWhenUsed/>
    <w:rsid w:val="00071844"/>
    <w:pPr>
      <w:tabs>
        <w:tab w:val="clear" w:pos="708"/>
        <w:tab w:val="center" w:pos="4536" w:leader="none"/>
        <w:tab w:val="right" w:pos="9072" w:leader="none"/>
      </w:tabs>
    </w:pPr>
    <w:rPr/>
  </w:style>
  <w:style w:type="paragraph" w:styleId="Footer">
    <w:name w:val="footer"/>
    <w:basedOn w:val="Normal"/>
    <w:link w:val="PieddepageCar"/>
    <w:uiPriority w:val="99"/>
    <w:unhideWhenUsed/>
    <w:rsid w:val="00071844"/>
    <w:pPr>
      <w:tabs>
        <w:tab w:val="clear" w:pos="708"/>
        <w:tab w:val="center" w:pos="4536" w:leader="none"/>
        <w:tab w:val="right" w:pos="9072" w:leader="none"/>
      </w:tabs>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c.cdc.gov/eid/article/31/9/25-0804_article" TargetMode="External"/><Relationship Id="rId3" Type="http://schemas.openxmlformats.org/officeDocument/2006/relationships/hyperlink" Target="https://www.pnas.org/doi/10.1073/pnas.2420092122" TargetMode="External"/><Relationship Id="rId4" Type="http://schemas.openxmlformats.org/officeDocument/2006/relationships/hyperlink" Target="https://www.facebook.com/reel/1059186723043601" TargetMode="External"/><Relationship Id="rId5" Type="http://schemas.openxmlformats.org/officeDocument/2006/relationships/hyperlink" Target="https://www.lexpress.fr/sciences-sante/lonni-besancon-le-detective-de-la-science-qui-traque-les-derives-le-systeme-pousse-a-tricher-IYUARZ4MCRDQVMWCQ5W6MXKI4U/" TargetMode="External"/><Relationship Id="rId6" Type="http://schemas.openxmlformats.org/officeDocument/2006/relationships/image" Target="media/image1.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Template>
  <TotalTime>152</TotalTime>
  <Application>LibreOffice/25.8.2.2$Linux_X86_64 LibreOffice_project/580$Build-2</Application>
  <AppVersion>15.0000</AppVersion>
  <Pages>6</Pages>
  <Words>2751</Words>
  <Characters>14337</Characters>
  <CharactersWithSpaces>17702</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2025-09-12T16:28:00Z</dcterms:created>
  <dc:creator>Asus</dc:creator>
  <dc:description/>
  <dc:language>en-US</dc:language>
  <cp:lastModifiedBy>Jean-cédric Thérond</cp:lastModifiedBy>
  <dcterms:modified xsi:type="dcterms:W3CDTF">2025-11-03T02:38:16Z</dcterms:modified>
  <cp:revision>4</cp:revision>
  <dc:subject/>
  <dc:title>Echo des Labos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