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contextualSpacing/>
        <w:rPr/>
      </w:pPr>
      <w:r>
        <w:rPr/>
        <w:t>Aujourd'hui, c'est dimanche. Vous êtes donc bien sur Radio Monbazillac, je suis le Dendrobate Doctor et nous sommes ensemble pour faire l'état de la recherche sur l'épidémie de Covid-19 et le reste.</w:t>
      </w:r>
    </w:p>
    <w:p>
      <w:pPr>
        <w:pStyle w:val="NormalWeb"/>
        <w:spacing w:beforeAutospacing="0" w:before="0" w:afterAutospacing="0" w:after="0"/>
        <w:contextualSpacing/>
        <w:rPr/>
      </w:pPr>
      <w:r>
        <w:rPr>
          <w:rFonts w:eastAsia="Calibri" w:eastAsiaTheme="minorHAnsi"/>
          <w:lang w:eastAsia="en-US"/>
        </w:rPr>
        <w:t>Si elle disparaît, retrouvez la chronique sur le blog (https://www.the-dendrobate-doctor.fr/)</w:t>
      </w:r>
    </w:p>
    <w:p>
      <w:pPr>
        <w:pStyle w:val="NormalWeb"/>
        <w:spacing w:beforeAutospacing="0" w:before="0" w:afterAutospacing="0" w:after="0"/>
        <w:contextualSpacing/>
        <w:rPr/>
      </w:pPr>
      <w:r>
        <w:rPr>
          <w:lang w:eastAsia="en-US"/>
        </w:rPr>
        <w:t>Si vous aimez la chronique, vous pouvez nous soutenir sur KisskissBankbank (https://www.kisskissbankbank.com/fr/projects/the-dendrobate-doctor).</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t>Bienvenue à tous sur l’Écho des Labos, édition spéciale Prix Ig-Nobel</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r>
    </w:p>
    <w:p>
      <w:pPr>
        <w:pStyle w:val="NormalWeb"/>
        <w:spacing w:beforeAutospacing="0" w:before="0" w:afterAutospacing="0" w:after="0"/>
        <w:contextualSpacing/>
        <w:rPr/>
      </w:pPr>
      <w:r>
        <w:rPr/>
        <w:t>Cette semaine, on va faire une chronique un peu particulière, puisque l’actualité scientifique est tout occupée (pas vraiment, mais on va faire semblant de croire que si) par la remise des Prix Ig-Nobel 2025.</w:t>
      </w:r>
    </w:p>
    <w:p>
      <w:pPr>
        <w:pStyle w:val="NormalWeb"/>
        <w:spacing w:beforeAutospacing="0" w:before="0" w:afterAutospacing="0" w:after="0"/>
        <w:contextualSpacing/>
        <w:rPr/>
      </w:pPr>
      <w:r>
        <w:rPr/>
        <w:t>Le Prix Ig-Nobel, c’est mon prix scientifique préféré (en vrai, mes chances d’avoir un Nobel sont nulles, mais si j’avais un Ig-Nobel, ma carrière serait comblée), car c’est un prix qui récompense de vraies recherches, faites avec sérieux et rigueur mais aussi absence totale de prise au sérieux. Le principe est de récompensé des recherches scientifiques réelles, mais lofoques, qui font d’abord rire et ensuite réfléchir. Chaque année, le prix est attribué à des chercheurs dans dix catégories différentes (qui, contrairement au Nobel, ne sont pas nécessairement les mêmes chaque année, pour ajouter un peu de chaos général), et je me suis dit qu’il serait intéressant de revenir dessus pour expliquer exactement de quoi parlent les travaux récompensés et pourquoi c’est des trucs qui valent la peine d’être étudiés.</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r>
    </w:p>
    <w:p>
      <w:pPr>
        <w:pStyle w:val="NormalWeb"/>
        <w:spacing w:beforeAutospacing="0" w:before="0" w:afterAutospacing="0" w:after="0"/>
        <w:contextualSpacing/>
        <w:rPr/>
      </w:pPr>
      <w:r>
        <w:rPr/>
        <w:tab/>
        <w:tab/>
        <w:tab/>
        <w:tab/>
        <w:tab/>
        <w:tab/>
        <w:t>***</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r>
    </w:p>
    <w:p>
      <w:pPr>
        <w:pStyle w:val="NormalWeb"/>
        <w:spacing w:beforeAutospacing="0" w:before="0" w:afterAutospacing="0" w:after="0"/>
        <w:contextualSpacing/>
        <w:rPr/>
      </w:pPr>
      <w:r>
        <w:rPr/>
        <w:t xml:space="preserve">LITTERATURE                                                                    </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Plus que « littérature » au sens des belles lettres, il est à comprendre comme littérature scientifique, au sens de documentation, bibliographie. Et il a été attribué de manière posthume au Dr. William Bean (et donc remis à son fils Benett Bean), pour avoir documenté pendant 35 ans la croissance et la vie biologique d’un de ses ongles de doigt de pied. Outre le fait que Dr. Bean avait manifestement de la suite dans les idées (la plus ancienne publication, “A Note on Fingernail Growth,” William B. Bean, Journal of Investigative Dermatology, vol. 20, no. 1, January 1953, pp. 27-31. &lt;doi.org/10.1038/jid.1953.5&gt; date tout de même de 1953), il est a noté qu’il s’agit du seul document dont nous disposons qui explique le processus de la croissance des ongles, son déclin avec l’âge et sa réaction aux divers évènements de la vie, de manière individuelle, c’est-à-dire en prenant pour référentiel un même individu tout au long de sa vie, et qui soit donc imperméable aux variations génétiques. En réalité, il faudrait plus de ce type d’études, sur de plus larges échantillons et sur différents types d’organes, pour mieux comprendre les processus de croissance, réparation et vieillissement, mais on avait qu’un seul Dr. Bean, alors on a dû faire avec.</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PSYCHOLOGIE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Le prix a été décerné à deux auteurs mais trois pays (Pologne, Australie et Canada), pour avoir étudié ce qu’il se passe lorsqu’on dit à un narcissique (ou à un gars normal) qu’il est très intelligent (“Telling People They Are Intelligent Correlates with the Feeling of Narcissistic Uniqueness: The Influence of IQ Feedback on Temporary State Narcissism,” Marcin Zajenkowski and Gilles E. Gignac, Intelligence, vol. 89, November–December 2021, 101595. &lt;doi.org/10.1016/j.intell.2021.101595&gt;). Si l’étude a l’air d’être une perte de temps complète (on parle de gens qui se croient au-dessus de tout le monde, évidemment qu’ils vont plus se sentir pisser), elle est en réalité intéressante à plus d’un titre. Tout d’abord, il est établi que les gens narcissiques s’estiment plus intelligents que la moyenne, mais la réciproque n’était pas nécessairement prouvée (est-ce que dire aux gens qu’ils sont plus intelligents que la moyenne renforce ou provoque des comportements narcissiques), ce qui est à présent chose faite. Deuxièmement, cette étude invite à penser plus prudemment les protocoles des tests de QI, et en particulier la restitution de leurs résultats, surtout quand les professionnels pensent avoir à faire à une personne présentant des traits narcissiques ou impulsifs, au risque d’aggraver ces problèmes ou d’entraver leur prise en charge. C’est donc une vraie étude qui participe à faire avancer les pratiques en psychologie afin qu’elles soient plus efficientes.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NUTRITION</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Le prix de cette année va à une équipe internationale (Togo, Italie, Nigéria et France) pour s’être demandé pourquoi les Tortues Ninjas aiment la pizza. Non, pas tout à fait, plutôt qu’est-ce que les lézards préfèrent comme pizza mais on était pas loin (“Opportunistic Foraging Strategy of Rainbow Lizards at a Seaside Resort in Togo,” Daniele Dendi, Gabriel H. Segniagbeto, Roger Meek, and Luca Luiselli, African Journal of Ecology, vol. 61, no. 1, 2023, pp. 226-227. &lt;doi.org/10.1111/aje.13100&gt;). Dans les faits, l’équipe s’est penchée sur le cas du lézard arc-en-ciel (Agama agama), un reptile opportuniste qui, dans une station touristique de la côte sud-togolaise, a été observé en train de se nourrir de manière préférentielle de restes alimentaires d’origine humaine. Si leur hypothèse de départ était qu’il s’agissait avant tout de nourriture très calorique et facile d’accès, les tests qu’ils ont menés, en proposant aux lézards différents types de pizzas, ont mis en évidence qu’il est en réalité possible qu’un mécanisme bien plus subtil soit à l’œuvre. En effet, tous les sujets testés ont une préférence très nette pour la 4 fromages, qui n’est ni la plus odorante, ni la plus colorée, ni la plus calorique, ni la plus riche en protéines. Ils estiment donc que l’espèce est attirée par un composant chimique particulier, qui doit jouer un rôle important dans son métabolisme et qui était jusque-là passé complètement sous les radars. Il y a donc encore beaucoup de choses à apprendre sur les différents signaux utilisés par les espèces pour faire des choix, et je trouve ça passionnant.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PEDIATRIE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On déconseille toujours de manger de l’ail avant un rendez-vous amoureux, ça n’aide généralement pas à passer à la vitesse supérieure. Mais une fois celle-ci enclenchée, le résultat qui attend son prochain repas dans le berceau est-il également de cet avis. Le binôme du prix de cette année (Américains tous les deux) s’est ainsi penché sur la perception qu’avaient les tous petits du lait maternel selon que leurs mères consommaient ou non de l’ail en très forte quantité (“Maternal Diet Alters the Sensory Qualities of Human Milk and the Nursling’s Behavior,” Julie A. Mennella and Gary K. Beauchamp, Pediatrics, vol. 88, no. 4, 1991, pp. 737-744. &lt;pubmed.ncbi.nlm.nih.gov/1896276/&gt;). Et le moins qu’on puisse dire, c’est que les bébés ne sont pas aussi regardants que leurs pères : lorsque le lait sentait l’ail le plus fort (deux heures après l’ingestion), les bébés restaient au sein plus longtemps et buvaient une plus grande quantité. Si l’équipe s’est, par la suite, attachée à comprendre les mécanismes du passage des goûts et des odeurs dans le lait maternel, et l’impact sur les goûts une fois adulte, cette étude est le pilier fondateur de leur travail, et elle est d’une grande importance dans l’ensemble des travaux d’aide aux mères ayant du mal à faire accepter le sein à leur bébé, un facteur particulièrement crucial pour certaines populations qui ne peuvent pas assurer autrement la bonne nutrition de l’enfant.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BIOLOGIE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Dans cette catégorie, c’est une équipe japonaise qui est récompensée cette année pour avoir pris le temps de (ou plus vraisemblablement envoyé des doctorants pour) peindre des vaches en zèbres (“Cows Painted with Zebra-Like Striping Can Avoid Biting Fly Attack,” Tomoki Kojima, Kazato Oishi, Yasushi Matsubara, Yuki Uchiyama, Yoshihiko Fukushima, Naoto Aoki, Say Sato, Tatsuaki Masuda, Junichi Ueda, Hiroyuki Hirooka, and Katsutoshi Kino, PLoS ONE, vol. 14, no. 10, 2019, e0223447. &lt;doi.org/10.1371/journal.pone.0223447&gt;). En effet, voilà des années que, si on sait que les rayures des zèbres aident à les camoufler des prédateurs (les grands félins par exemple n’ont pas la même vision des couleurs que nous), on suspecte aussi que ça leur évite d’être piqués par les insectes. En testant différents types de peintures de rayures sur des vaches noires japonaises, l’équipe a constaté que les rayures type zèbres réduisaient le nombre de piqûres de plus de 50%. Il s’agit d’une méthode intéressante pour protéger les élevages des insectes, d’autant plus que les maladies vectorielles tendent à se répandre de plus en plus, et que cette technique ne requiert l’usage d’aucun produit chimique problématique pour l’animal ou la consommation humaine.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CHIMIE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C’est une équipe américano-israélienne qui s’est illustrée cette année en se demandant si les gens ne seraient pas moins gros s’ils mangeaient du plastique. Plus précisément, la question portait sur le fait de savoir si, en additionnant des portions suffisantes en termes nutritifs et caloriques avec un composant inerte, on pouvait augmenter la satiété et donc éviter les prises alimentaires superflues (“Polytetrafluoroethylene Ingestion as a Way to Increase Food Volume and Hence Satiety Without Increasing Calorie Content,” Rotem Naftalovich, Daniel Naftalovich, and Frank L. Greenway, Journal of Diabetes Science and Technology, vol. 10, no. 4, July 2016, pp. 971–976. &lt;doi.org/10.1177%2F1932296815626726&gt;). Dans leur expérimentation, les rats qui avaient une alimentation mélangée composée à 75% de nourriture de qualité et 25% de composant inerte ne montraient aucun signe de toxicité ni de faim et perdaient plus de poids que les autres. Personnellement, je suis dubitative quant à la solution qui consiste à manger littéralement du rien plutôt qu’apprendre des habitudes saines, mais je sais aussi que dans les cas de très grande obésité, on peut avoir besoin de solution urgentes et drastiques, qui doivent simplement permettre d’arriver en vie à l’étape du réapprentissage alimentaire, donc je suppose qu’en désespoir de cause…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INGENIERIE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La science est aussi faite pour adresser les problèmes du quotidien. Comme les voisins bruyants, le linge qui sèche mal ou les chaussures qui puent. C’est ainsi qu’une équipe indienne a été récompensée pour avoir étudié l’impact des mauvaises odeurs de pied sur l’utilisation des étagères à chaussures (“Smelly Shoes — An Opportunity for Shoe Rack Re-Design,” Vikash Kumar and Sarthak Mittal, Ergonomics for Improved Productivity: Proceedings of HWWE 2017, vol. 2, pp. 287-293. Springer Singapore, 2022. &lt;doi.org/10.1007/978-981-16-2229-8_33&gt;). L’idée est de se rappeler qu’un bon design d’objet n’est pas un bon design s’il ne prend pas en compte l’intégralité des paramètres d’utilisation (par exemple, le fait que, dans un pays chaud et humide comme l’Inde, le design d’une bonne étagère à chaussures doit intégrer le fait que les gens transpirent facilement, que les chaussures ne se lavent pas comme les vêtements, et donc qu’il s’agit d’un meuble rapidement appelé à devenir source de mauvaises odeurs). C’est une contribution sensée et sensible à la science du design, et ce n’est pas parce que le problème semble risible qu’il n’est pas important.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PHYSIQUE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Le prix de cette année est adressé à une collaboration européenne (Allemagne, Espagne, Autriche et Italie), pour l’étude sur la ô combien majeure étape de la préparation de la sauce Cacio et Pepe, qui consiste à obtenir une transition de phase adéquate donnant de l’onctuosité mais sans les grumeaux (“Phase Behavior of Cacio and Pepe Sauce,” Giacomo Bartolucci, Daniel Maria Busiello, Matteo Ciarchi, Alberto Corticelli, Ivan Di Terlizzi, Fabrizio Olmeda, Davide Revignas, and Vincenzo Maria Schimmenti, Physics of Fluids, vol. 37, 2025, article 044122. &lt;doi.org/10.1063/5.0255841&gt;). Au-delà de l’avancée de la compréhension de certains mécanismes en physique des fluides que ce travail permet, on peut compter sur les Italiens pour savoir que la science doit être au service de ce qui est important dans la vie. Et si on voulait une preuve supplémentaire d’à quel point une sauce réussie est placée haut dans l’échelle de leur priorité, on notera que la quasi-intégralité (7 sur 8 tout de même) des membres de l’équipe ont fait le déplacement jusqu’à Boston pour la cérémonie.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AERONAUTIQUE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Il aura fallu la plus grosse et diversifiée équipe de l’année (Colombie, Israël, Argentine, Allemagne, UK, USA, Italie, Espagne et Portugal) pour démontrer qu’il ne faut pas boire en conduisant, même quand on est une chauve-souris (“Ethanol Ingestion Affects Flight Performance and Echolocation in Egyptian Fruit Bats,” Francisco Sánchez, Mariana Melcón, Carmi Korine, and Berry Pinshow, Behavioural Processes, vol. 84, no. 2, 2010, pp. 555-558. &lt;doi.org/10.1016/j.beproc.2010.02.006&gt;). Dans le détail, l’équipe s’est intéressée à l’effet sur le vol de la consommation, par des chauves-souris frugivores, de fruits fermentés contenant de l’éthanol. Les chercheurs ont ainsi démontré que la consommation d’éthanol affectait non seulement la coordination en vol mais également les capacités d’écholocation, grâce auxquelles les chauves-souris se repèrent. L’étude est intéressante sur deux aspects très différents : la meilleure compréhension des effets de l’éthanol sur différentes parties de l’encéphale et quelles parties de l’encéphale sont justement impliquées dans les capacités de vol, mais également sur un aspect de conservation, puisque beaucoup des espèces de chauves-souris sont menacées, leur habitat naturel détruit, et elles en viennent fréquemment à se rabattre sur des fruits délaissés dans les cultures, souvent en mauvais état et pouvant leur causer de graves problèmes.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PAIX</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Oui, il y a aussi un Ig-Nobel de la paix. Il est cette année attribué au groupe inter-pays (Allemagne, UK et Pays-Bas) qui a démontré que picoler permettait de mieux se comprendre entre nations et cultures. Plus précisément, l’équipe a étudié les effets de l’alcool sur la capacité objective (c’est-à-dire évaluée par un observateur extérieur sobre) à parler une langue étrangère, en particulier quand celle-ci est récemment apprise (“Dutch Courage? </w:t>
      </w:r>
      <w:r>
        <w:rPr>
          <w:lang w:val="en-GB"/>
        </w:rPr>
        <w:t xml:space="preserve">Effects of Acute Alcohol Consumption on Self-Ratings and Observer Ratings of Foreign Language Skills,” Fritz Renner, Inge Kersbergen, Matt Field, and Jessica Werthmann, Journal of Psychopharmacology, vol. 32, no. 1, 2018, pp. 116-122. </w:t>
      </w:r>
      <w:r>
        <w:rPr/>
        <w:t>&lt;doi.org/10.1177/0269881117735687&gt;). Et la réponse, c’est que oui : boire quelques bières (ou autre chose, mais là c’était des Allemands et des Néerlandais, donc ça a été culturellement adapté) rend effectivement meilleur en langue étrangère, et de ce fait vous avez toutes les chances de mieux vous entendre entre compagnons de bar. La première hypothèse est que l’alcool permettrait de lever les inhibitions, et ainsi d’accéder de manière plus fluide et instinctive aux zones langagières, mais il est également possible que d’autres mécanismes soient à l’œuvre. Picolez tous ensemble, avec modération, et le monde sera rempli de gens qui rigolent aux blagues nulles des autres. Et en ces temps difficiles, c’est bien ce dont nous avons besoin. Riez, riez, sinon nous sommes perdus.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b/>
        <w:tab/>
        <w:tab/>
        <w:tab/>
        <w:tab/>
        <w:tab/>
        <w:t>***</w:t>
      </w:r>
    </w:p>
    <w:p>
      <w:pPr>
        <w:pStyle w:val="Normal"/>
        <w:spacing w:before="0" w:after="0"/>
        <w:contextualSpacing/>
        <w:rPr/>
      </w:pPr>
      <w:r>
        <w:rPr/>
      </w:r>
    </w:p>
    <w:p>
      <w:pPr>
        <w:pStyle w:val="Normal"/>
        <w:spacing w:before="0" w:after="0"/>
        <w:contextualSpacing/>
        <w:rPr/>
      </w:pPr>
      <w:r>
        <w:rPr/>
        <w:t xml:space="preserve">  </w:t>
      </w:r>
    </w:p>
    <w:p>
      <w:pPr>
        <w:pStyle w:val="Normal"/>
        <w:spacing w:before="0" w:after="0"/>
        <w:contextualSpacing/>
        <w:rPr/>
      </w:pPr>
      <w:r>
        <w:rPr/>
        <w:t>En espérant avoir pu apporter un peu de lumière dans le chaos ambiant, je rends l'antenne, et on y retourne la semaine prochaine, car l'épidémie ne se termine pas avec la remise des Ig-Nobel, c’est quand même beaucoup leur en demander. En attendant, prenez soin de vous et des chercheurs qui bossent dur, et, aimez la science, la vraie, et ceux qui la font. Bisous.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drawing>
          <wp:inline distT="0" distB="0" distL="0" distR="0">
            <wp:extent cx="5760720" cy="3839210"/>
            <wp:effectExtent l="0" t="0" r="0" b="0"/>
            <wp:docPr id="1" name="Image 1" descr="ig-Nobel: la cérémonie qui récompense les recherches loufoques | Tribune de  Genè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g-Nobel: la cérémonie qui récompense les recherches loufoques | Tribune de  Genève"/>
                    <pic:cNvPicPr>
                      <a:picLocks noChangeAspect="1" noChangeArrowheads="1"/>
                    </pic:cNvPicPr>
                  </pic:nvPicPr>
                  <pic:blipFill>
                    <a:blip r:embed="rId2"/>
                    <a:stretch>
                      <a:fillRect/>
                    </a:stretch>
                  </pic:blipFill>
                  <pic:spPr bwMode="auto">
                    <a:xfrm>
                      <a:off x="0" y="0"/>
                      <a:ext cx="5760720" cy="3839210"/>
                    </a:xfrm>
                    <a:prstGeom prst="rect">
                      <a:avLst/>
                    </a:prstGeom>
                    <a:noFill/>
                  </pic:spPr>
                </pic:pic>
              </a:graphicData>
            </a:graphic>
          </wp:inline>
        </w:drawing>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cfd"/>
    <w:pPr>
      <w:widowControl/>
      <w:bidi w:val="0"/>
      <w:spacing w:before="0" w:after="0"/>
      <w:jc w:val="start"/>
    </w:pPr>
    <w:rPr>
      <w:rFonts w:ascii="Times New Roman" w:hAnsi="Times New Roman" w:eastAsia="Calibri" w:cs="Times New Roman" w:eastAsiaTheme="minorHAnsi"/>
      <w:color w:val="auto"/>
      <w:kern w:val="0"/>
      <w:sz w:val="24"/>
      <w:szCs w:val="24"/>
      <w:lang w:val="fr-FR" w:eastAsia="en-US" w:bidi="ar-SA"/>
    </w:rPr>
  </w:style>
  <w:style w:type="paragraph" w:styleId="Heading1">
    <w:name w:val="heading 1"/>
    <w:basedOn w:val="NormalWeb"/>
    <w:next w:val="Normal"/>
    <w:link w:val="Titre1Car"/>
    <w:autoRedefine/>
    <w:uiPriority w:val="9"/>
    <w:qFormat/>
    <w:rsid w:val="00b95907"/>
    <w:pPr>
      <w:spacing w:beforeAutospacing="0" w:before="0" w:afterAutospacing="0" w:after="0"/>
      <w:contextualSpacing/>
      <w:outlineLvl w:val="0"/>
    </w:pPr>
    <w:rPr/>
  </w:style>
  <w:style w:type="paragraph" w:styleId="Heading2">
    <w:name w:val="heading 2"/>
    <w:basedOn w:val="Normal"/>
    <w:next w:val="Normal"/>
    <w:link w:val="Titre2Car"/>
    <w:autoRedefine/>
    <w:uiPriority w:val="9"/>
    <w:unhideWhenUsed/>
    <w:qFormat/>
    <w:rsid w:val="00200a26"/>
    <w:pPr>
      <w:keepNext w:val="true"/>
      <w:keepLines/>
      <w:numPr>
        <w:ilvl w:val="1"/>
        <w:numId w:val="1"/>
      </w:numPr>
      <w:spacing w:before="40" w:after="0"/>
      <w:ind w:hanging="432" w:start="792"/>
      <w:outlineLvl w:val="1"/>
    </w:pPr>
    <w:rPr>
      <w:rFonts w:eastAsia="" w:cs="" w:cstheme="majorBidi" w:eastAsiaTheme="majorEastAsia"/>
      <w:sz w:val="26"/>
      <w:szCs w:val="26"/>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b95907"/>
    <w:rPr>
      <w:rFonts w:eastAsia="Times New Roman"/>
      <w:lang w:eastAsia="fr-FR"/>
    </w:rPr>
  </w:style>
  <w:style w:type="character" w:styleId="Titre2Car" w:customStyle="1">
    <w:name w:val="Titre 2 Car"/>
    <w:basedOn w:val="DefaultParagraphFont"/>
    <w:link w:val="Heading2"/>
    <w:uiPriority w:val="9"/>
    <w:qFormat/>
    <w:rsid w:val="00200a26"/>
    <w:rPr>
      <w:rFonts w:eastAsia="" w:cs="" w:cstheme="majorBidi" w:eastAsiaTheme="majorEastAsia"/>
      <w:sz w:val="26"/>
      <w:szCs w:val="26"/>
    </w:rPr>
  </w:style>
  <w:style w:type="character" w:styleId="NotedebasdepageCar" w:customStyle="1">
    <w:name w:val="Note de bas de page Car"/>
    <w:basedOn w:val="DefaultParagraphFont"/>
    <w:link w:val="FootnoteText"/>
    <w:uiPriority w:val="99"/>
    <w:qFormat/>
    <w:rsid w:val="000e43c7"/>
    <w:rPr>
      <w:sz w:val="20"/>
      <w:szCs w:val="20"/>
    </w:rPr>
  </w:style>
  <w:style w:type="character" w:styleId="d2edcug0" w:customStyle="1">
    <w:name w:val="d2edcug0"/>
    <w:basedOn w:val="DefaultParagraphFont"/>
    <w:qFormat/>
    <w:rsid w:val="00d30bbd"/>
    <w:rPr/>
  </w:style>
  <w:style w:type="character" w:styleId="Hyperlink">
    <w:name w:val="Hyperlink"/>
    <w:basedOn w:val="DefaultParagraphFont"/>
    <w:uiPriority w:val="99"/>
    <w:unhideWhenUsed/>
    <w:rsid w:val="00d30bbd"/>
    <w:rPr>
      <w:color w:val="0000FF"/>
      <w:u w:val="single"/>
    </w:rPr>
  </w:style>
  <w:style w:type="character" w:styleId="tojvnm2t" w:customStyle="1">
    <w:name w:val="tojvnm2t"/>
    <w:basedOn w:val="DefaultParagraphFont"/>
    <w:qFormat/>
    <w:rsid w:val="00255cde"/>
    <w:rPr/>
  </w:style>
  <w:style w:type="character" w:styleId="UnresolvedMention">
    <w:name w:val="Unresolved Mention"/>
    <w:basedOn w:val="DefaultParagraphFont"/>
    <w:uiPriority w:val="99"/>
    <w:semiHidden/>
    <w:unhideWhenUsed/>
    <w:qFormat/>
    <w:rsid w:val="00255cde"/>
    <w:rPr>
      <w:color w:val="605E5C"/>
      <w:shd w:fill="E1DFDD" w:val="clear"/>
    </w:rPr>
  </w:style>
  <w:style w:type="character" w:styleId="En-tteCar" w:customStyle="1">
    <w:name w:val="En-tête Car"/>
    <w:basedOn w:val="DefaultParagraphFont"/>
    <w:link w:val="Header"/>
    <w:uiPriority w:val="99"/>
    <w:qFormat/>
    <w:rsid w:val="00071844"/>
    <w:rPr/>
  </w:style>
  <w:style w:type="character" w:styleId="PieddepageCar" w:customStyle="1">
    <w:name w:val="Pied de page Car"/>
    <w:basedOn w:val="DefaultParagraphFont"/>
    <w:link w:val="Footer"/>
    <w:uiPriority w:val="99"/>
    <w:qFormat/>
    <w:rsid w:val="00071844"/>
    <w:rPr/>
  </w:style>
  <w:style w:type="character" w:styleId="x193iq5w" w:customStyle="1">
    <w:name w:val="x193iq5w"/>
    <w:basedOn w:val="DefaultParagraphFont"/>
    <w:qFormat/>
    <w:rsid w:val="0081045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uiPriority w:val="99"/>
    <w:unhideWhenUsed/>
    <w:rsid w:val="000e43c7"/>
    <w:pPr>
      <w:spacing w:before="0" w:after="0"/>
      <w:contextualSpacing/>
      <w:jc w:val="both"/>
    </w:pPr>
    <w:rPr>
      <w:sz w:val="20"/>
      <w:szCs w:val="20"/>
    </w:rPr>
  </w:style>
  <w:style w:type="paragraph" w:styleId="NormalWeb">
    <w:name w:val="Normal (Web)"/>
    <w:basedOn w:val="Normal"/>
    <w:uiPriority w:val="99"/>
    <w:unhideWhenUsed/>
    <w:qFormat/>
    <w:rsid w:val="000f4e2f"/>
    <w:pPr>
      <w:spacing w:beforeAutospacing="1" w:afterAutospacing="1"/>
    </w:pPr>
    <w:rPr>
      <w:rFonts w:eastAsia="Times New Roman"/>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071844"/>
    <w:pPr>
      <w:tabs>
        <w:tab w:val="clear" w:pos="708"/>
        <w:tab w:val="center" w:pos="4536" w:leader="none"/>
        <w:tab w:val="right" w:pos="9072" w:leader="none"/>
      </w:tabs>
    </w:pPr>
    <w:rPr/>
  </w:style>
  <w:style w:type="paragraph" w:styleId="Footer">
    <w:name w:val="footer"/>
    <w:basedOn w:val="Normal"/>
    <w:link w:val="PieddepageCar"/>
    <w:uiPriority w:val="99"/>
    <w:unhideWhenUsed/>
    <w:rsid w:val="00071844"/>
    <w:pPr>
      <w:tabs>
        <w:tab w:val="clear" w:pos="708"/>
        <w:tab w:val="center" w:pos="4536" w:leader="none"/>
        <w:tab w:val="right" w:pos="9072" w:leader="none"/>
      </w:tabs>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453</TotalTime>
  <Application>LibreOffice/25.8.2.2$Linux_X86_64 LibreOffice_project/580$Build-2</Application>
  <AppVersion>15.0000</AppVersion>
  <Pages>6</Pages>
  <Words>2397</Words>
  <Characters>13088</Characters>
  <CharactersWithSpaces>15584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2025-09-20T12:08:00Z</dcterms:created>
  <dc:creator>Asus</dc:creator>
  <dc:description/>
  <dc:language>en-US</dc:language>
  <cp:lastModifiedBy>Jean-cédric Thérond</cp:lastModifiedBy>
  <dcterms:modified xsi:type="dcterms:W3CDTF">2025-11-03T02:38:42Z</dcterms:modified>
  <cp:revision>5</cp:revision>
  <dc:subject/>
  <dc:title>Echo des Labos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